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1031931674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 w:rsidP="0057796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LUKRENA a. s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1031931674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Plzeňský kraj se sídlem v Plzni, Katastrální pracoviště Plzeň-jih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96/1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128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129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542/1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Netunice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Netunice</w:t>
      </w:r>
      <w:proofErr w:type="spellEnd"/>
      <w:r>
        <w:rPr>
          <w:sz w:val="20"/>
          <w:szCs w:val="20"/>
        </w:rPr>
        <w:tab/>
        <w:t>542/2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lastRenderedPageBreak/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proofErr w:type="gramStart"/>
      <w:r w:rsidR="00842ADC" w:rsidRPr="00E26F89">
        <w:t>Čl.II</w:t>
      </w:r>
      <w:proofErr w:type="spellEnd"/>
      <w:proofErr w:type="gramEnd"/>
      <w:r w:rsidR="00842ADC" w:rsidRPr="00E26F89">
        <w:t xml:space="preserve"> zákona č. 185/2016 Sb.).</w:t>
      </w:r>
    </w:p>
    <w:p w:rsidR="00421873" w:rsidRDefault="00421873">
      <w:pPr>
        <w:pStyle w:val="para"/>
        <w:widowControl/>
        <w:rPr>
          <w:color w:val="000000"/>
        </w:rPr>
      </w:pPr>
    </w:p>
    <w:p w:rsidR="00421873" w:rsidRDefault="00421873">
      <w:pPr>
        <w:pStyle w:val="para"/>
        <w:widowControl/>
        <w:rPr>
          <w:color w:val="000000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421873" w:rsidRDefault="00421873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77 770,00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96/1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13 810,00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97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1 710,00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128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6 580,00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10 040,00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542/1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220 350,00 Kč*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Netunice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542/2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60 960,00 Kč*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391 220,00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  <w:r w:rsidRPr="008A62B0">
        <w:rPr>
          <w:sz w:val="18"/>
          <w:szCs w:val="18"/>
        </w:rPr>
        <w:t xml:space="preserve">* Kupní cena pozemku je kupní cenou sníženou v souladu </w:t>
      </w:r>
      <w:r w:rsidR="00B35426" w:rsidRPr="00AF3293">
        <w:rPr>
          <w:sz w:val="18"/>
          <w:szCs w:val="18"/>
        </w:rPr>
        <w:t>§17 odst.</w:t>
      </w:r>
      <w:r w:rsidR="00B35426">
        <w:rPr>
          <w:sz w:val="18"/>
          <w:szCs w:val="18"/>
        </w:rPr>
        <w:t xml:space="preserve"> </w:t>
      </w:r>
      <w:r w:rsidR="00B35426" w:rsidRPr="00AF3293">
        <w:rPr>
          <w:sz w:val="18"/>
          <w:szCs w:val="18"/>
        </w:rPr>
        <w:t>2 zákona č. 503/2012</w:t>
      </w:r>
      <w:r w:rsidRPr="008A62B0">
        <w:rPr>
          <w:sz w:val="18"/>
          <w:szCs w:val="18"/>
        </w:rPr>
        <w:t>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D92D5E" w:rsidRDefault="00D92D5E">
      <w:pPr>
        <w:widowControl/>
        <w:tabs>
          <w:tab w:val="left" w:pos="426"/>
        </w:tabs>
      </w:pPr>
    </w:p>
    <w:p w:rsidR="00421873" w:rsidRDefault="00421873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Užívací vztah k prodávaným pozemkům je řešen: nájemní smlouvou č. 29N07/74, kterou s SPÚ, resp. dříve PF ČR uzavřel LUKRENA  a.s., jakožto nájemce. S obsahem nájemní smlouvy  byl kupující seznámen před podpisem této smlouvy, což stvrzuje svým podpisem.</w:t>
      </w:r>
    </w:p>
    <w:p w:rsidR="00F357C4" w:rsidRDefault="00F357C4" w:rsidP="00421873">
      <w:pPr>
        <w:pStyle w:val="para"/>
        <w:widowControl/>
        <w:jc w:val="left"/>
      </w:pPr>
    </w:p>
    <w:p w:rsidR="00421873" w:rsidRDefault="00421873" w:rsidP="00421873">
      <w:pPr>
        <w:pStyle w:val="para"/>
        <w:widowControl/>
        <w:jc w:val="left"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712BA6" w:rsidRPr="00864044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lastRenderedPageBreak/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</w:t>
      </w:r>
      <w:r w:rsidR="00421873">
        <w:t>u. Kupující obdrží 1 stejnopis</w:t>
      </w:r>
      <w:r>
        <w:t xml:space="preserve">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42ADC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vnitrniText"/>
        <w:widowControl/>
      </w:pPr>
    </w:p>
    <w:p w:rsidR="00421873" w:rsidRDefault="00421873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562C72" w:rsidRDefault="00136D24" w:rsidP="0042187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421873" w:rsidRDefault="002750DE" w:rsidP="00421873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421873" w:rsidRDefault="00421873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Plzni dne </w:t>
      </w:r>
      <w:proofErr w:type="gramStart"/>
      <w:r>
        <w:rPr>
          <w:sz w:val="24"/>
          <w:szCs w:val="24"/>
        </w:rPr>
        <w:t>23.11.2016</w:t>
      </w:r>
      <w:proofErr w:type="gramEnd"/>
      <w:r>
        <w:rPr>
          <w:sz w:val="24"/>
          <w:szCs w:val="24"/>
        </w:rPr>
        <w:tab/>
      </w:r>
      <w:r w:rsidR="00421873">
        <w:rPr>
          <w:sz w:val="24"/>
          <w:szCs w:val="24"/>
        </w:rPr>
        <w:t>V Plzni dne 23.11.2016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LUKRENA a. s.</w:t>
      </w:r>
    </w:p>
    <w:p w:rsidR="0057796A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</w:t>
      </w:r>
      <w:r w:rsidR="0057796A">
        <w:rPr>
          <w:sz w:val="24"/>
          <w:szCs w:val="24"/>
        </w:rPr>
        <w:t>tel Krajského pozemkového úřadu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883374, 883474, 883674, 883774, 883874, 885474, 885574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421873" w:rsidRDefault="00421873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842ADC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3" w:rsidRDefault="00421873">
      <w:r>
        <w:separator/>
      </w:r>
    </w:p>
  </w:endnote>
  <w:endnote w:type="continuationSeparator" w:id="0">
    <w:p w:rsidR="00421873" w:rsidRDefault="004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3" w:rsidRDefault="00421873">
      <w:r>
        <w:separator/>
      </w:r>
    </w:p>
  </w:footnote>
  <w:footnote w:type="continuationSeparator" w:id="0">
    <w:p w:rsidR="00421873" w:rsidRDefault="004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237EF"/>
    <w:rsid w:val="00371BEF"/>
    <w:rsid w:val="00421873"/>
    <w:rsid w:val="0043604A"/>
    <w:rsid w:val="00562C72"/>
    <w:rsid w:val="0056566C"/>
    <w:rsid w:val="0057796A"/>
    <w:rsid w:val="005A7486"/>
    <w:rsid w:val="005C47E0"/>
    <w:rsid w:val="00625710"/>
    <w:rsid w:val="00634F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A62B0"/>
    <w:rsid w:val="008C265A"/>
    <w:rsid w:val="00A31C3B"/>
    <w:rsid w:val="00A31FE2"/>
    <w:rsid w:val="00A75050"/>
    <w:rsid w:val="00A84EFA"/>
    <w:rsid w:val="00AF3293"/>
    <w:rsid w:val="00B201D6"/>
    <w:rsid w:val="00B35426"/>
    <w:rsid w:val="00B56780"/>
    <w:rsid w:val="00C02AD1"/>
    <w:rsid w:val="00C06373"/>
    <w:rsid w:val="00C70A46"/>
    <w:rsid w:val="00C9419D"/>
    <w:rsid w:val="00CD75A6"/>
    <w:rsid w:val="00D4440D"/>
    <w:rsid w:val="00D63429"/>
    <w:rsid w:val="00D65B9D"/>
    <w:rsid w:val="00D92D5E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2F536"/>
  <w14:defaultImageDpi w14:val="0"/>
  <w15:docId w15:val="{01F05E55-869D-41B0-99A2-A748F59F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2000-06-22T10:13:00Z</cp:lastPrinted>
  <dcterms:created xsi:type="dcterms:W3CDTF">2016-11-23T10:49:00Z</dcterms:created>
  <dcterms:modified xsi:type="dcterms:W3CDTF">2016-11-23T10:49:00Z</dcterms:modified>
</cp:coreProperties>
</file>