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72" w:rsidRDefault="00E15FDE">
      <w:pPr>
        <w:spacing w:after="97" w:line="259" w:lineRule="auto"/>
        <w:ind w:left="654" w:firstLine="0"/>
        <w:jc w:val="left"/>
      </w:pPr>
      <w:r>
        <w:rPr>
          <w:sz w:val="30"/>
        </w:rPr>
        <w:t>ŘEDITELSTVÍ SILNIC A DÁLNIC CR</w:t>
      </w:r>
    </w:p>
    <w:p w:rsidR="00B20072" w:rsidRDefault="00E15FDE">
      <w:pPr>
        <w:pStyle w:val="Nadpis1"/>
      </w:pPr>
      <w:r>
        <w:t>OBJEDNÁVKA</w:t>
      </w:r>
    </w:p>
    <w:p w:rsidR="00B20072" w:rsidRDefault="00E15FDE">
      <w:pPr>
        <w:spacing w:after="83" w:line="259" w:lineRule="auto"/>
        <w:ind w:firstLine="0"/>
        <w:jc w:val="center"/>
      </w:pPr>
      <w:r>
        <w:t>číslo objednávky: 29ZA-001950</w:t>
      </w:r>
    </w:p>
    <w:tbl>
      <w:tblPr>
        <w:tblStyle w:val="TableGrid"/>
        <w:tblW w:w="9555" w:type="dxa"/>
        <w:tblInd w:w="-10" w:type="dxa"/>
        <w:tblCellMar>
          <w:top w:w="0" w:type="dxa"/>
          <w:left w:w="0" w:type="dxa"/>
          <w:bottom w:w="0" w:type="dxa"/>
          <w:right w:w="0" w:type="dxa"/>
        </w:tblCellMar>
        <w:tblLook w:val="04A0" w:firstRow="1" w:lastRow="0" w:firstColumn="1" w:lastColumn="0" w:noHBand="0" w:noVBand="1"/>
      </w:tblPr>
      <w:tblGrid>
        <w:gridCol w:w="4777"/>
        <w:gridCol w:w="4778"/>
      </w:tblGrid>
      <w:tr w:rsidR="00B20072">
        <w:trPr>
          <w:trHeight w:val="328"/>
        </w:trPr>
        <w:tc>
          <w:tcPr>
            <w:tcW w:w="4778" w:type="dxa"/>
            <w:tcBorders>
              <w:top w:val="nil"/>
              <w:left w:val="nil"/>
              <w:bottom w:val="nil"/>
              <w:right w:val="nil"/>
            </w:tcBorders>
          </w:tcPr>
          <w:p w:rsidR="00B20072" w:rsidRDefault="00E15FDE">
            <w:pPr>
              <w:spacing w:after="0" w:line="259" w:lineRule="auto"/>
              <w:ind w:left="0" w:firstLine="0"/>
              <w:jc w:val="left"/>
            </w:pPr>
            <w:r>
              <w:rPr>
                <w:sz w:val="26"/>
              </w:rPr>
              <w:t>Objednatel:</w:t>
            </w:r>
          </w:p>
        </w:tc>
        <w:tc>
          <w:tcPr>
            <w:tcW w:w="4778" w:type="dxa"/>
            <w:tcBorders>
              <w:top w:val="nil"/>
              <w:left w:val="nil"/>
              <w:bottom w:val="nil"/>
              <w:right w:val="nil"/>
            </w:tcBorders>
          </w:tcPr>
          <w:p w:rsidR="00B20072" w:rsidRDefault="00E15FDE">
            <w:pPr>
              <w:spacing w:after="0" w:line="259" w:lineRule="auto"/>
              <w:ind w:left="827" w:firstLine="0"/>
              <w:jc w:val="left"/>
            </w:pPr>
            <w:r>
              <w:rPr>
                <w:sz w:val="26"/>
              </w:rPr>
              <w:t>Dodavatel:</w:t>
            </w:r>
          </w:p>
        </w:tc>
      </w:tr>
      <w:tr w:rsidR="00B20072" w:rsidRPr="004627BD">
        <w:trPr>
          <w:trHeight w:val="361"/>
        </w:trPr>
        <w:tc>
          <w:tcPr>
            <w:tcW w:w="4778" w:type="dxa"/>
            <w:tcBorders>
              <w:top w:val="nil"/>
              <w:left w:val="nil"/>
              <w:bottom w:val="nil"/>
              <w:right w:val="nil"/>
            </w:tcBorders>
          </w:tcPr>
          <w:p w:rsidR="00B20072" w:rsidRDefault="00E15FDE">
            <w:pPr>
              <w:spacing w:after="0" w:line="259" w:lineRule="auto"/>
              <w:ind w:left="10" w:firstLine="0"/>
              <w:jc w:val="left"/>
            </w:pPr>
            <w:r>
              <w:t>Ředitelství silnic a dálnic ČR</w:t>
            </w:r>
          </w:p>
        </w:tc>
        <w:tc>
          <w:tcPr>
            <w:tcW w:w="4778" w:type="dxa"/>
            <w:tcBorders>
              <w:top w:val="nil"/>
              <w:left w:val="nil"/>
              <w:bottom w:val="nil"/>
              <w:right w:val="nil"/>
            </w:tcBorders>
          </w:tcPr>
          <w:p w:rsidR="00B20072" w:rsidRPr="004627BD" w:rsidRDefault="00E15FDE" w:rsidP="004627BD">
            <w:pPr>
              <w:spacing w:after="0" w:line="259" w:lineRule="auto"/>
              <w:ind w:left="106" w:firstLine="0"/>
              <w:jc w:val="center"/>
              <w:rPr>
                <w:highlight w:val="black"/>
              </w:rPr>
            </w:pPr>
            <w:r w:rsidRPr="004627BD">
              <w:rPr>
                <w:highlight w:val="black"/>
              </w:rPr>
              <w:t xml:space="preserve">Obchodní jméno: </w:t>
            </w:r>
            <w:r w:rsidR="004627BD" w:rsidRPr="004627BD">
              <w:rPr>
                <w:highlight w:val="black"/>
              </w:rPr>
              <w:t>xxxxxxxxxxxxxx</w:t>
            </w:r>
          </w:p>
        </w:tc>
      </w:tr>
      <w:tr w:rsidR="00B20072" w:rsidRPr="004627BD">
        <w:trPr>
          <w:trHeight w:val="289"/>
        </w:trPr>
        <w:tc>
          <w:tcPr>
            <w:tcW w:w="4778" w:type="dxa"/>
            <w:tcBorders>
              <w:top w:val="nil"/>
              <w:left w:val="nil"/>
              <w:bottom w:val="nil"/>
              <w:right w:val="nil"/>
            </w:tcBorders>
          </w:tcPr>
          <w:p w:rsidR="00B20072" w:rsidRDefault="00E15FDE">
            <w:pPr>
              <w:spacing w:after="0" w:line="259" w:lineRule="auto"/>
              <w:ind w:left="10" w:firstLine="0"/>
              <w:jc w:val="left"/>
            </w:pPr>
            <w:r>
              <w:t>ssÚD 7,Podivín</w:t>
            </w:r>
          </w:p>
        </w:tc>
        <w:tc>
          <w:tcPr>
            <w:tcW w:w="4778" w:type="dxa"/>
            <w:tcBorders>
              <w:top w:val="nil"/>
              <w:left w:val="nil"/>
              <w:bottom w:val="nil"/>
              <w:right w:val="nil"/>
            </w:tcBorders>
          </w:tcPr>
          <w:p w:rsidR="00B20072" w:rsidRPr="004627BD" w:rsidRDefault="00E15FDE" w:rsidP="004627BD">
            <w:pPr>
              <w:spacing w:after="0" w:line="259" w:lineRule="auto"/>
              <w:ind w:left="0" w:firstLine="0"/>
              <w:jc w:val="right"/>
              <w:rPr>
                <w:highlight w:val="black"/>
              </w:rPr>
            </w:pPr>
            <w:r w:rsidRPr="004627BD">
              <w:rPr>
                <w:highlight w:val="black"/>
              </w:rPr>
              <w:t>Adresa:</w:t>
            </w:r>
            <w:r w:rsidR="004627BD" w:rsidRPr="004627BD">
              <w:rPr>
                <w:highlight w:val="black"/>
              </w:rPr>
              <w:t>xxxxxxxxxxxxxxxxxxxxxxxxxxxx</w:t>
            </w:r>
          </w:p>
        </w:tc>
      </w:tr>
      <w:tr w:rsidR="00B20072">
        <w:trPr>
          <w:trHeight w:val="308"/>
        </w:trPr>
        <w:tc>
          <w:tcPr>
            <w:tcW w:w="4778" w:type="dxa"/>
            <w:tcBorders>
              <w:top w:val="nil"/>
              <w:left w:val="nil"/>
              <w:bottom w:val="nil"/>
              <w:right w:val="nil"/>
            </w:tcBorders>
          </w:tcPr>
          <w:p w:rsidR="00B20072" w:rsidRDefault="00E15FDE">
            <w:pPr>
              <w:spacing w:after="0" w:line="259" w:lineRule="auto"/>
              <w:ind w:left="0" w:firstLine="0"/>
              <w:jc w:val="left"/>
            </w:pPr>
            <w:r>
              <w:t>Bankovní spojení: ČNB</w:t>
            </w:r>
          </w:p>
        </w:tc>
        <w:tc>
          <w:tcPr>
            <w:tcW w:w="4778" w:type="dxa"/>
            <w:tcBorders>
              <w:top w:val="nil"/>
              <w:left w:val="nil"/>
              <w:bottom w:val="nil"/>
              <w:right w:val="nil"/>
            </w:tcBorders>
          </w:tcPr>
          <w:p w:rsidR="00B20072" w:rsidRDefault="00E15FDE">
            <w:pPr>
              <w:spacing w:after="0" w:line="259" w:lineRule="auto"/>
              <w:ind w:left="817" w:firstLine="0"/>
              <w:jc w:val="left"/>
            </w:pPr>
            <w:r>
              <w:t>IČO: 29319366</w:t>
            </w:r>
          </w:p>
        </w:tc>
      </w:tr>
      <w:tr w:rsidR="00B20072">
        <w:trPr>
          <w:trHeight w:val="282"/>
        </w:trPr>
        <w:tc>
          <w:tcPr>
            <w:tcW w:w="4778" w:type="dxa"/>
            <w:tcBorders>
              <w:top w:val="nil"/>
              <w:left w:val="nil"/>
              <w:bottom w:val="nil"/>
              <w:right w:val="nil"/>
            </w:tcBorders>
          </w:tcPr>
          <w:p w:rsidR="00B20072" w:rsidRDefault="004627BD">
            <w:pPr>
              <w:spacing w:after="0" w:line="259" w:lineRule="auto"/>
              <w:ind w:left="0" w:firstLine="0"/>
              <w:jc w:val="left"/>
            </w:pPr>
            <w:r w:rsidRPr="004627BD">
              <w:rPr>
                <w:highlight w:val="black"/>
              </w:rPr>
              <w:t>xxxxxxxxxxxxxxxxxxxxxxxxxx</w:t>
            </w:r>
          </w:p>
        </w:tc>
        <w:tc>
          <w:tcPr>
            <w:tcW w:w="4778" w:type="dxa"/>
            <w:tcBorders>
              <w:top w:val="nil"/>
              <w:left w:val="nil"/>
              <w:bottom w:val="nil"/>
              <w:right w:val="nil"/>
            </w:tcBorders>
          </w:tcPr>
          <w:p w:rsidR="00B20072" w:rsidRDefault="00E15FDE">
            <w:pPr>
              <w:spacing w:after="0" w:line="259" w:lineRule="auto"/>
              <w:ind w:left="827" w:firstLine="0"/>
              <w:jc w:val="left"/>
            </w:pPr>
            <w:r>
              <w:t>DIČ: CZ29319366</w:t>
            </w:r>
          </w:p>
        </w:tc>
      </w:tr>
      <w:tr w:rsidR="00B20072">
        <w:trPr>
          <w:trHeight w:val="265"/>
        </w:trPr>
        <w:tc>
          <w:tcPr>
            <w:tcW w:w="4778" w:type="dxa"/>
            <w:tcBorders>
              <w:top w:val="nil"/>
              <w:left w:val="nil"/>
              <w:bottom w:val="nil"/>
              <w:right w:val="nil"/>
            </w:tcBorders>
          </w:tcPr>
          <w:p w:rsidR="00B20072" w:rsidRDefault="00E15FDE">
            <w:pPr>
              <w:spacing w:after="0" w:line="259" w:lineRule="auto"/>
              <w:ind w:left="10" w:firstLine="0"/>
              <w:jc w:val="left"/>
            </w:pPr>
            <w:r>
              <w:t>IČO: 65993390</w:t>
            </w:r>
          </w:p>
        </w:tc>
        <w:tc>
          <w:tcPr>
            <w:tcW w:w="4778" w:type="dxa"/>
            <w:tcBorders>
              <w:top w:val="nil"/>
              <w:left w:val="nil"/>
              <w:bottom w:val="nil"/>
              <w:right w:val="nil"/>
            </w:tcBorders>
          </w:tcPr>
          <w:p w:rsidR="00B20072" w:rsidRDefault="00E15FDE" w:rsidP="004627BD">
            <w:pPr>
              <w:spacing w:after="0" w:line="259" w:lineRule="auto"/>
              <w:ind w:left="827" w:firstLine="0"/>
              <w:jc w:val="left"/>
            </w:pPr>
            <w:r>
              <w:t xml:space="preserve">Kontaktní osoba: </w:t>
            </w:r>
            <w:r w:rsidR="004627BD" w:rsidRPr="004627BD">
              <w:rPr>
                <w:highlight w:val="black"/>
              </w:rPr>
              <w:t>xxxxxxxxxxxx</w:t>
            </w:r>
            <w:bookmarkStart w:id="0" w:name="_GoBack"/>
            <w:bookmarkEnd w:id="0"/>
          </w:p>
        </w:tc>
      </w:tr>
    </w:tbl>
    <w:p w:rsidR="00B20072" w:rsidRDefault="00E15FDE">
      <w:pPr>
        <w:pStyle w:val="Nadpis2"/>
        <w:spacing w:after="525"/>
        <w:ind w:left="0" w:firstLine="0"/>
      </w:pPr>
      <w:r>
        <w:rPr>
          <w:sz w:val="22"/>
        </w:rPr>
        <w:t>DIC: CZ-65993390</w:t>
      </w:r>
    </w:p>
    <w:p w:rsidR="00B20072" w:rsidRDefault="00E15FDE">
      <w:pPr>
        <w:ind w:left="683" w:right="115"/>
      </w:pPr>
      <w:r>
        <w:t>Tato objednávka Objednatele zavazuje po jejím potvrzení Dodavatelem obě smluvní strany ke splnění stanovených závazků a nahrazuje smlouvu. Dodavatel se zavazuje provést na svoj náklad a nebezpečí pro Objednatele dílo specifikované níže. Objednatel se zavaz</w:t>
      </w:r>
      <w:r>
        <w:t>uje zaplatit za dílo provedené v souladu s touto objednávkou cenu uvedenou níže.</w:t>
      </w:r>
    </w:p>
    <w:p w:rsidR="00B20072" w:rsidRDefault="00E15FDE">
      <w:pPr>
        <w:pStyle w:val="Nadpis2"/>
      </w:pPr>
      <w:r>
        <w:t>Místo dodání: areál SSCJD 7 Podivín</w:t>
      </w:r>
    </w:p>
    <w:p w:rsidR="00B20072" w:rsidRDefault="00E15FDE">
      <w:pPr>
        <w:ind w:left="692"/>
      </w:pPr>
      <w:r>
        <w:t xml:space="preserve">Kontaktní osoba </w:t>
      </w:r>
      <w:r w:rsidRPr="004627BD">
        <w:rPr>
          <w:highlight w:val="black"/>
        </w:rPr>
        <w:t>Objednatele</w:t>
      </w:r>
      <w:r w:rsidR="004627BD" w:rsidRPr="004627BD">
        <w:rPr>
          <w:highlight w:val="black"/>
        </w:rPr>
        <w:t>xxxxxxxxxxxxxxxxx</w:t>
      </w:r>
    </w:p>
    <w:p w:rsidR="00B20072" w:rsidRDefault="00E15FDE">
      <w:pPr>
        <w:spacing w:after="156"/>
        <w:ind w:left="692"/>
      </w:pPr>
      <w:r>
        <w:t>Fakturujte: Ředitelství silnic a dálnic ČR, SSÚD 7,BratisIavská 867,691 45 Podivín</w:t>
      </w:r>
    </w:p>
    <w:p w:rsidR="00B20072" w:rsidRDefault="00E15FDE">
      <w:pPr>
        <w:spacing w:after="169"/>
        <w:ind w:left="692" w:right="106"/>
      </w:pPr>
      <w:r>
        <w:t>Obchodn</w:t>
      </w:r>
      <w:r>
        <w:t>í a platební podmínky: Objednatel uhradí cenu jednorázovým bankovním převodem na účet Dodavatele uvedený na faktuře, termín splatnosti je stanoven na 30 dnů ode dne doručení faktury Objednateli. Fakturu lze předložit nejdříve po protokolárním převzetí stav</w:t>
      </w:r>
      <w:r>
        <w:t>ebních prací Objednatelem bez vad či nedodělků. Faktura musí obsahovat veškeré náležitosti stanovené platnými právními předpisy, číslo objednávky a místo dodání. Objednatel neposkytuje žádné zálohy na cenu, ani dílčí platby ceny. Potvrzením přijetí (akcept</w:t>
      </w:r>
      <w:r>
        <w:t>ací) této objednávky se Dodavatel zavazuje plnit veškeré povinnosti v této objednávce uvedené. Objednatel výslovně vylučuje akceptaci objednávky Dodavatelem s jakýmikoliv změnami jejího obsahu, k takovému právnímu jednání Dodavatele se nepřihlíží. Dodavate</w:t>
      </w:r>
      <w:r>
        <w:t>l poskytuje souhlas s uveřejněním objednávky a jejího potvrzení v registru smluv zřízeným zákonem č. 340/2015 Sb., o zvláštních podmínkách účinnosti některých smluv, uveřejňování těchto smluv a o registru smluv. ve znění pozdějších předpisů (dále jako „zák</w:t>
      </w:r>
      <w:r>
        <w:t>on o registru smluv”), Objednatelem. Objednávka je účinná okamžikem zveřejnění v registru smluv. Objednatel je oprávněn kdykoliv po uzavření objednávky tuto objednávku vypovědět s účinky od doručení písemné výpovědi Dodavateli, a to i bez uvedeni důvodu. V</w:t>
      </w:r>
      <w:r>
        <w:t>ýpověď objednávky dle předcházející věty nemá vliv na již řádně poskytnuté plnění včetně práv a povinností z něj vyplývajících.</w:t>
      </w:r>
    </w:p>
    <w:p w:rsidR="00B20072" w:rsidRDefault="00E15FDE">
      <w:pPr>
        <w:spacing w:after="499"/>
        <w:ind w:left="711"/>
      </w:pPr>
      <w:r>
        <w:t>Objednáváme u Vás: 511 areál — oprava oplocení v areálu SSt'JD 7</w:t>
      </w:r>
    </w:p>
    <w:p w:rsidR="00B20072" w:rsidRDefault="00E15FDE">
      <w:pPr>
        <w:spacing w:after="263" w:line="259" w:lineRule="auto"/>
        <w:ind w:left="760" w:right="163" w:hanging="10"/>
        <w:jc w:val="center"/>
      </w:pPr>
      <w:r>
        <w:rPr>
          <w:sz w:val="16"/>
        </w:rPr>
        <w:t>Stránka I z 2</w:t>
      </w:r>
    </w:p>
    <w:p w:rsidR="00B20072" w:rsidRDefault="00E15FDE">
      <w:pPr>
        <w:pStyle w:val="Nadpis2"/>
        <w:spacing w:after="150"/>
        <w:ind w:left="827"/>
      </w:pPr>
      <w:r>
        <w:t>Lhůta pro dodání či termín dodání: Plnění dodejte</w:t>
      </w:r>
      <w:r>
        <w:t xml:space="preserve"> ve lhůtě do 30,112018</w:t>
      </w:r>
    </w:p>
    <w:p w:rsidR="00B20072" w:rsidRDefault="00E15FDE">
      <w:pPr>
        <w:spacing w:after="100"/>
        <w:ind w:left="792"/>
      </w:pPr>
      <w:r>
        <w:t>Celková hodnota objednávky v Kč bez DPH / s DPH: 119.100,- Kč / 144.111,- Kč</w:t>
      </w:r>
    </w:p>
    <w:p w:rsidR="00B20072" w:rsidRDefault="00E15FDE">
      <w:pPr>
        <w:spacing w:after="99"/>
        <w:ind w:left="792"/>
      </w:pPr>
      <w:r>
        <w:lastRenderedPageBreak/>
        <w:t xml:space="preserve">V případě akceptace objednávky Objednatele Dodavatel objednávku písemně potvrdí prostřednictvím e-mailu zaslaného do e-mailové schránky Objednatele </w:t>
      </w:r>
      <w:r w:rsidR="004627BD" w:rsidRPr="004627BD">
        <w:rPr>
          <w:highlight w:val="black"/>
        </w:rPr>
        <w:t>xxxxxxxxxxxxxxxxxxx</w:t>
      </w:r>
      <w:r w:rsidRPr="004627BD">
        <w:rPr>
          <w:highlight w:val="black"/>
        </w:rPr>
        <w:t>.</w:t>
      </w:r>
      <w:r>
        <w:t xml:space="preserve"> V případě nepotvrzení akceptace objednávky Objednatele Dodavatelem ve lhůtě 3 pracovních dnů Ode dne odesláni objednávky Objednatelem platí, že Dodavatel objednávku neakceptoval a objednávka je bez dalšího zneplatněna.</w:t>
      </w:r>
    </w:p>
    <w:p w:rsidR="00B20072" w:rsidRDefault="00E15FDE">
      <w:pPr>
        <w:ind w:left="792"/>
      </w:pPr>
      <w:r>
        <w:t>Nedílnou součástí této objednávky jsou následující přílohy:</w:t>
      </w:r>
    </w:p>
    <w:p w:rsidR="00B20072" w:rsidRDefault="00E15FDE">
      <w:pPr>
        <w:ind w:left="792"/>
      </w:pPr>
      <w:r>
        <w:t>Příloha č. I — Specifikace Díla</w:t>
      </w:r>
    </w:p>
    <w:p w:rsidR="00B20072" w:rsidRDefault="00E15FDE">
      <w:pPr>
        <w:spacing w:after="225"/>
        <w:ind w:left="792"/>
      </w:pPr>
      <w:r>
        <w:t>Příloha Č. 2 — Položkový rozpis ceny</w:t>
      </w:r>
    </w:p>
    <w:p w:rsidR="00B20072" w:rsidRDefault="00E15FDE">
      <w:pPr>
        <w:ind w:left="792"/>
      </w:pPr>
      <w:r w:rsidRPr="004627BD">
        <w:rPr>
          <w:highlight w:val="black"/>
        </w:rPr>
        <w:t>V Podivíně dne</w:t>
      </w:r>
      <w:r w:rsidR="004627BD" w:rsidRPr="004627BD">
        <w:rPr>
          <w:highlight w:val="black"/>
        </w:rPr>
        <w:t>xxxxxxxxxxxxxxxxxxxxxxxxx</w:t>
      </w:r>
    </w:p>
    <w:p w:rsidR="00B20072" w:rsidRDefault="00E15FDE">
      <w:pPr>
        <w:ind w:left="792"/>
      </w:pPr>
      <w:r>
        <w:t xml:space="preserve">Za Objednatele: </w:t>
      </w:r>
      <w:r w:rsidR="004627BD" w:rsidRPr="004627BD">
        <w:rPr>
          <w:highlight w:val="black"/>
        </w:rPr>
        <w:t>xxxxxxxxxxxxxxxxxxxxxxx</w:t>
      </w:r>
      <w:r w:rsidRPr="004627BD">
        <w:rPr>
          <w:highlight w:val="black"/>
        </w:rPr>
        <w:t>)</w:t>
      </w:r>
      <w:r>
        <w:t xml:space="preserve"> 7</w:t>
      </w:r>
    </w:p>
    <w:p w:rsidR="00B20072" w:rsidRDefault="00E15FDE">
      <w:pPr>
        <w:spacing w:after="549"/>
        <w:ind w:left="792"/>
      </w:pPr>
      <w:r>
        <w:t>Podpis oprávněné osoby:</w:t>
      </w:r>
      <w:r>
        <w:rPr>
          <w:noProof/>
        </w:rPr>
        <w:drawing>
          <wp:inline distT="0" distB="0" distL="0" distR="0">
            <wp:extent cx="274689" cy="61001"/>
            <wp:effectExtent l="0" t="0" r="0" b="0"/>
            <wp:docPr id="38361" name="Picture 38361"/>
            <wp:cNvGraphicFramePr/>
            <a:graphic xmlns:a="http://schemas.openxmlformats.org/drawingml/2006/main">
              <a:graphicData uri="http://schemas.openxmlformats.org/drawingml/2006/picture">
                <pic:pic xmlns:pic="http://schemas.openxmlformats.org/drawingml/2006/picture">
                  <pic:nvPicPr>
                    <pic:cNvPr id="38361" name="Picture 38361"/>
                    <pic:cNvPicPr/>
                  </pic:nvPicPr>
                  <pic:blipFill>
                    <a:blip r:embed="rId7"/>
                    <a:stretch>
                      <a:fillRect/>
                    </a:stretch>
                  </pic:blipFill>
                  <pic:spPr>
                    <a:xfrm>
                      <a:off x="0" y="0"/>
                      <a:ext cx="274689" cy="61001"/>
                    </a:xfrm>
                    <a:prstGeom prst="rect">
                      <a:avLst/>
                    </a:prstGeom>
                  </pic:spPr>
                </pic:pic>
              </a:graphicData>
            </a:graphic>
          </wp:inline>
        </w:drawing>
      </w:r>
    </w:p>
    <w:p w:rsidR="00B20072" w:rsidRDefault="004627BD">
      <w:pPr>
        <w:pStyle w:val="Nadpis2"/>
        <w:spacing w:after="0"/>
        <w:ind w:left="615" w:right="67" w:firstLine="0"/>
        <w:jc w:val="center"/>
      </w:pPr>
      <w:r w:rsidRPr="004627BD">
        <w:rPr>
          <w:sz w:val="36"/>
          <w:highlight w:val="black"/>
        </w:rPr>
        <w:t>xxxxxxxxxx</w:t>
      </w:r>
    </w:p>
    <w:p w:rsidR="00B20072" w:rsidRDefault="004627BD">
      <w:pPr>
        <w:spacing w:after="7756" w:line="259" w:lineRule="auto"/>
        <w:ind w:left="615" w:firstLine="0"/>
        <w:jc w:val="center"/>
      </w:pPr>
      <w:r w:rsidRPr="004627BD">
        <w:rPr>
          <w:sz w:val="20"/>
          <w:highlight w:val="black"/>
        </w:rPr>
        <w:t>xxxxxxxxxxxxxxx</w:t>
      </w:r>
    </w:p>
    <w:p w:rsidR="00B20072" w:rsidRDefault="00E15FDE">
      <w:pPr>
        <w:spacing w:after="263" w:line="259" w:lineRule="auto"/>
        <w:ind w:left="760" w:hanging="10"/>
        <w:jc w:val="center"/>
      </w:pPr>
      <w:r>
        <w:rPr>
          <w:sz w:val="16"/>
        </w:rPr>
        <w:t>Stránka 2 z 2</w:t>
      </w:r>
    </w:p>
    <w:p w:rsidR="00B20072" w:rsidRDefault="00B20072">
      <w:pPr>
        <w:sectPr w:rsidR="00B20072">
          <w:headerReference w:type="even" r:id="rId8"/>
          <w:headerReference w:type="default" r:id="rId9"/>
          <w:footerReference w:type="even" r:id="rId10"/>
          <w:footerReference w:type="default" r:id="rId11"/>
          <w:headerReference w:type="first" r:id="rId12"/>
          <w:footerReference w:type="first" r:id="rId13"/>
          <w:pgSz w:w="11920" w:h="16840"/>
          <w:pgMar w:top="1451" w:right="1423" w:bottom="1233" w:left="577" w:header="708" w:footer="708" w:gutter="0"/>
          <w:cols w:space="708"/>
        </w:sectPr>
      </w:pPr>
    </w:p>
    <w:p w:rsidR="004627BD" w:rsidRDefault="004627BD" w:rsidP="004627BD">
      <w:pPr>
        <w:spacing w:after="0" w:line="259" w:lineRule="auto"/>
        <w:ind w:left="0" w:firstLine="0"/>
        <w:jc w:val="left"/>
        <w:rPr>
          <w:rFonts w:ascii="MS Mincho" w:eastAsia="MS Mincho" w:hAnsi="MS Mincho" w:cs="MS Mincho"/>
          <w:sz w:val="6"/>
        </w:rPr>
      </w:pPr>
    </w:p>
    <w:p w:rsidR="00B20072" w:rsidRDefault="00E15FDE">
      <w:pPr>
        <w:spacing w:after="0" w:line="259" w:lineRule="auto"/>
        <w:ind w:left="5" w:hanging="10"/>
        <w:jc w:val="left"/>
      </w:pPr>
      <w:r>
        <w:rPr>
          <w:rFonts w:ascii="MS Mincho" w:eastAsia="MS Mincho" w:hAnsi="MS Mincho" w:cs="MS Mincho"/>
          <w:sz w:val="6"/>
        </w:rPr>
        <w:t>ミ</w:t>
      </w:r>
    </w:p>
    <w:tbl>
      <w:tblPr>
        <w:tblStyle w:val="TableGrid"/>
        <w:tblpPr w:vertAnchor="text" w:horzAnchor="margin" w:tblpX="1082" w:tblpY="-32"/>
        <w:tblOverlap w:val="never"/>
        <w:tblW w:w="8295" w:type="dxa"/>
        <w:tblInd w:w="0" w:type="dxa"/>
        <w:tblCellMar>
          <w:top w:w="24" w:type="dxa"/>
          <w:left w:w="0" w:type="dxa"/>
          <w:bottom w:w="0" w:type="dxa"/>
          <w:right w:w="5" w:type="dxa"/>
        </w:tblCellMar>
        <w:tblLook w:val="04A0" w:firstRow="1" w:lastRow="0" w:firstColumn="1" w:lastColumn="0" w:noHBand="0" w:noVBand="1"/>
      </w:tblPr>
      <w:tblGrid>
        <w:gridCol w:w="372"/>
        <w:gridCol w:w="753"/>
        <w:gridCol w:w="381"/>
        <w:gridCol w:w="375"/>
        <w:gridCol w:w="759"/>
        <w:gridCol w:w="793"/>
        <w:gridCol w:w="360"/>
        <w:gridCol w:w="385"/>
        <w:gridCol w:w="375"/>
        <w:gridCol w:w="763"/>
        <w:gridCol w:w="1980"/>
        <w:gridCol w:w="381"/>
        <w:gridCol w:w="618"/>
      </w:tblGrid>
      <w:tr w:rsidR="00B20072">
        <w:trPr>
          <w:trHeight w:val="480"/>
        </w:trPr>
        <w:tc>
          <w:tcPr>
            <w:tcW w:w="371"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753" w:type="dxa"/>
            <w:tcBorders>
              <w:top w:val="single" w:sz="2" w:space="0" w:color="000000"/>
              <w:left w:val="single" w:sz="2" w:space="0" w:color="000000"/>
              <w:bottom w:val="nil"/>
              <w:right w:val="single" w:sz="2" w:space="0" w:color="000000"/>
            </w:tcBorders>
            <w:textDirection w:val="tbRlV"/>
          </w:tcPr>
          <w:p w:rsidR="00B20072" w:rsidRDefault="00B20072">
            <w:pPr>
              <w:spacing w:after="0" w:line="259" w:lineRule="auto"/>
              <w:ind w:left="0" w:right="26" w:firstLine="0"/>
              <w:jc w:val="center"/>
            </w:pPr>
          </w:p>
        </w:tc>
        <w:tc>
          <w:tcPr>
            <w:tcW w:w="381" w:type="dxa"/>
            <w:vMerge w:val="restart"/>
            <w:tcBorders>
              <w:top w:val="single" w:sz="2" w:space="0" w:color="000000"/>
              <w:left w:val="single" w:sz="2" w:space="0" w:color="000000"/>
              <w:bottom w:val="nil"/>
              <w:right w:val="single" w:sz="2" w:space="0" w:color="000000"/>
            </w:tcBorders>
            <w:textDirection w:val="tbRlV"/>
          </w:tcPr>
          <w:p w:rsidR="00B20072" w:rsidRDefault="00B20072">
            <w:pPr>
              <w:spacing w:after="0" w:line="259" w:lineRule="auto"/>
              <w:ind w:left="796"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759" w:type="dxa"/>
            <w:vMerge w:val="restart"/>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172" w:firstLine="0"/>
              <w:jc w:val="left"/>
            </w:pPr>
          </w:p>
        </w:tc>
        <w:tc>
          <w:tcPr>
            <w:tcW w:w="793" w:type="dxa"/>
            <w:vMerge w:val="restart"/>
            <w:tcBorders>
              <w:top w:val="single" w:sz="2" w:space="0" w:color="000000"/>
              <w:left w:val="single" w:sz="2" w:space="0" w:color="000000"/>
              <w:bottom w:val="single" w:sz="2" w:space="0" w:color="000000"/>
              <w:right w:val="nil"/>
            </w:tcBorders>
            <w:textDirection w:val="tbRlV"/>
          </w:tcPr>
          <w:p w:rsidR="00B20072" w:rsidRDefault="00B20072">
            <w:pPr>
              <w:spacing w:after="0" w:line="259" w:lineRule="auto"/>
              <w:ind w:left="1257" w:firstLine="0"/>
              <w:jc w:val="left"/>
            </w:pPr>
          </w:p>
        </w:tc>
        <w:tc>
          <w:tcPr>
            <w:tcW w:w="360" w:type="dxa"/>
            <w:vMerge w:val="restart"/>
            <w:tcBorders>
              <w:top w:val="single" w:sz="2" w:space="0" w:color="000000"/>
              <w:left w:val="nil"/>
              <w:bottom w:val="single" w:sz="2" w:space="0" w:color="000000"/>
              <w:right w:val="single" w:sz="2" w:space="0" w:color="000000"/>
            </w:tcBorders>
            <w:textDirection w:val="tbRlV"/>
          </w:tcPr>
          <w:p w:rsidR="00B20072" w:rsidRDefault="00B20072">
            <w:pPr>
              <w:spacing w:after="0" w:line="259" w:lineRule="auto"/>
              <w:ind w:left="1257" w:firstLine="0"/>
              <w:jc w:val="left"/>
            </w:pPr>
          </w:p>
        </w:tc>
        <w:tc>
          <w:tcPr>
            <w:tcW w:w="385" w:type="dxa"/>
            <w:vMerge w:val="restart"/>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815"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763" w:type="dxa"/>
            <w:vMerge w:val="restart"/>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8" w:firstLine="0"/>
              <w:jc w:val="left"/>
            </w:pPr>
          </w:p>
        </w:tc>
        <w:tc>
          <w:tcPr>
            <w:tcW w:w="1980"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B20072" w:rsidRDefault="00B20072">
            <w:pPr>
              <w:spacing w:after="0" w:line="259" w:lineRule="auto"/>
              <w:ind w:left="1228" w:right="1024" w:firstLine="0"/>
            </w:pPr>
          </w:p>
        </w:tc>
        <w:tc>
          <w:tcPr>
            <w:tcW w:w="381" w:type="dxa"/>
            <w:vMerge w:val="restart"/>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806" w:firstLine="0"/>
              <w:jc w:val="left"/>
            </w:pPr>
          </w:p>
        </w:tc>
        <w:tc>
          <w:tcPr>
            <w:tcW w:w="618" w:type="dxa"/>
            <w:vMerge w:val="restart"/>
            <w:tcBorders>
              <w:top w:val="single" w:sz="2" w:space="0" w:color="000000"/>
              <w:left w:val="single" w:sz="2" w:space="0" w:color="000000"/>
              <w:bottom w:val="single" w:sz="2" w:space="0" w:color="000000"/>
              <w:right w:val="nil"/>
            </w:tcBorders>
            <w:textDirection w:val="tbRlV"/>
            <w:vAlign w:val="bottom"/>
          </w:tcPr>
          <w:p w:rsidR="00B20072" w:rsidRDefault="00B20072">
            <w:pPr>
              <w:spacing w:before="38" w:after="0" w:line="259" w:lineRule="auto"/>
              <w:ind w:left="56" w:right="35" w:firstLine="0"/>
              <w:jc w:val="left"/>
            </w:pPr>
          </w:p>
        </w:tc>
      </w:tr>
      <w:tr w:rsidR="00B20072">
        <w:trPr>
          <w:trHeight w:val="777"/>
        </w:trPr>
        <w:tc>
          <w:tcPr>
            <w:tcW w:w="371" w:type="dxa"/>
            <w:vMerge w:val="restart"/>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383" w:firstLine="0"/>
              <w:jc w:val="left"/>
            </w:pPr>
          </w:p>
        </w:tc>
        <w:tc>
          <w:tcPr>
            <w:tcW w:w="753" w:type="dxa"/>
            <w:vMerge w:val="restart"/>
            <w:tcBorders>
              <w:top w:val="nil"/>
              <w:left w:val="single" w:sz="2" w:space="0" w:color="000000"/>
              <w:bottom w:val="single" w:sz="2" w:space="0" w:color="000000"/>
              <w:right w:val="single" w:sz="2" w:space="0" w:color="000000"/>
            </w:tcBorders>
            <w:textDirection w:val="tbRlV"/>
          </w:tcPr>
          <w:p w:rsidR="00B20072" w:rsidRDefault="00B20072">
            <w:pPr>
              <w:spacing w:after="0" w:line="259" w:lineRule="auto"/>
              <w:ind w:left="738"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375"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B20072" w:rsidRDefault="00B20072">
            <w:pPr>
              <w:spacing w:after="0" w:line="259" w:lineRule="auto"/>
              <w:ind w:left="402"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109" w:firstLine="0"/>
              <w:jc w:val="center"/>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5308"/>
        </w:trPr>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vAlign w:val="center"/>
          </w:tcPr>
          <w:p w:rsidR="00B20072" w:rsidRDefault="00B20072">
            <w:pPr>
              <w:spacing w:after="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538"/>
        </w:trPr>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922"/>
        </w:trPr>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381" w:type="dxa"/>
            <w:vMerge w:val="restart"/>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375" w:type="dxa"/>
            <w:vMerge w:val="restart"/>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0" w:right="35" w:firstLine="0"/>
              <w:jc w:val="righ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1013"/>
        </w:trPr>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1068"/>
        </w:trPr>
        <w:tc>
          <w:tcPr>
            <w:tcW w:w="371"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375"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394"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381"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nil"/>
            </w:tcBorders>
            <w:textDirection w:val="tbRlV"/>
          </w:tcPr>
          <w:p w:rsidR="00B20072" w:rsidRDefault="00B20072">
            <w:pPr>
              <w:spacing w:after="160" w:line="259" w:lineRule="auto"/>
              <w:ind w:left="0" w:firstLine="0"/>
              <w:jc w:val="left"/>
            </w:pPr>
          </w:p>
        </w:tc>
      </w:tr>
    </w:tbl>
    <w:p w:rsidR="00B20072" w:rsidRDefault="00E15FDE">
      <w:pPr>
        <w:numPr>
          <w:ilvl w:val="0"/>
          <w:numId w:val="1"/>
        </w:numPr>
        <w:spacing w:after="0" w:line="259" w:lineRule="auto"/>
        <w:ind w:right="5375" w:hanging="154"/>
        <w:jc w:val="left"/>
      </w:pPr>
      <w:r>
        <w:rPr>
          <w:rFonts w:ascii="MS Mincho" w:eastAsia="MS Mincho" w:hAnsi="MS Mincho" w:cs="MS Mincho"/>
          <w:sz w:val="2"/>
        </w:rPr>
        <w:t>コ</w:t>
      </w:r>
      <w:r>
        <w:rPr>
          <w:rFonts w:ascii="MS Mincho" w:eastAsia="MS Mincho" w:hAnsi="MS Mincho" w:cs="MS Mincho"/>
          <w:sz w:val="2"/>
        </w:rPr>
        <w:t>0</w:t>
      </w:r>
      <w:r>
        <w:rPr>
          <w:rFonts w:ascii="MS Mincho" w:eastAsia="MS Mincho" w:hAnsi="MS Mincho" w:cs="MS Mincho"/>
          <w:sz w:val="2"/>
        </w:rPr>
        <w:t>立</w:t>
      </w:r>
      <w:r>
        <w:rPr>
          <w:rFonts w:ascii="MS Mincho" w:eastAsia="MS Mincho" w:hAnsi="MS Mincho" w:cs="MS Mincho"/>
          <w:sz w:val="2"/>
        </w:rPr>
        <w:t>50-</w:t>
      </w:r>
      <w:r>
        <w:rPr>
          <w:rFonts w:ascii="MS Mincho" w:eastAsia="MS Mincho" w:hAnsi="MS Mincho" w:cs="MS Mincho"/>
          <w:sz w:val="2"/>
        </w:rPr>
        <w:t>三を当</w:t>
      </w:r>
      <w:r>
        <w:rPr>
          <w:rFonts w:ascii="MS Mincho" w:eastAsia="MS Mincho" w:hAnsi="MS Mincho" w:cs="MS Mincho"/>
          <w:sz w:val="2"/>
        </w:rPr>
        <w:t xml:space="preserve"> 18OTSKP-SPK</w:t>
      </w:r>
      <w:r>
        <w:rPr>
          <w:rFonts w:ascii="MS Mincho" w:eastAsia="MS Mincho" w:hAnsi="MS Mincho" w:cs="MS Mincho"/>
          <w:sz w:val="2"/>
        </w:rPr>
        <w:t>・</w:t>
      </w:r>
      <w:r>
        <w:rPr>
          <w:rFonts w:ascii="MS Mincho" w:eastAsia="MS Mincho" w:hAnsi="MS Mincho" w:cs="MS Mincho"/>
          <w:sz w:val="2"/>
        </w:rPr>
        <w:t xml:space="preserve">OTSKP-SPK2018Ex </w:t>
      </w:r>
      <w:r>
        <w:rPr>
          <w:rFonts w:ascii="MS Mincho" w:eastAsia="MS Mincho" w:hAnsi="MS Mincho" w:cs="MS Mincho"/>
          <w:sz w:val="2"/>
        </w:rPr>
        <w:t>一</w:t>
      </w:r>
      <w:r>
        <w:rPr>
          <w:rFonts w:ascii="MS Mincho" w:eastAsia="MS Mincho" w:hAnsi="MS Mincho" w:cs="MS Mincho"/>
          <w:sz w:val="2"/>
        </w:rPr>
        <w:t>0</w:t>
      </w:r>
      <w:r>
        <w:rPr>
          <w:rFonts w:ascii="MS Mincho" w:eastAsia="MS Mincho" w:hAnsi="MS Mincho" w:cs="MS Mincho"/>
          <w:sz w:val="2"/>
        </w:rPr>
        <w:t>粤</w:t>
      </w:r>
    </w:p>
    <w:p w:rsidR="00B20072" w:rsidRDefault="00B20072">
      <w:pPr>
        <w:sectPr w:rsidR="00B20072">
          <w:pgSz w:w="11920" w:h="16840"/>
          <w:pgMar w:top="1105" w:right="1298" w:bottom="11009" w:left="441" w:header="708" w:footer="708" w:gutter="0"/>
          <w:cols w:space="708"/>
          <w:textDirection w:val="tbRl"/>
        </w:sectPr>
      </w:pPr>
    </w:p>
    <w:p w:rsidR="00B20072" w:rsidRDefault="00B20072">
      <w:pPr>
        <w:sectPr w:rsidR="00B20072">
          <w:type w:val="continuous"/>
          <w:pgSz w:w="11920" w:h="16840"/>
          <w:pgMar w:top="8089" w:right="1298" w:bottom="8127" w:left="441" w:header="708" w:footer="708" w:gutter="0"/>
          <w:cols w:space="708"/>
          <w:textDirection w:val="tbRl"/>
        </w:sectPr>
      </w:pPr>
    </w:p>
    <w:p w:rsidR="00B20072" w:rsidRDefault="00B20072">
      <w:pPr>
        <w:spacing w:after="0" w:line="259" w:lineRule="auto"/>
        <w:ind w:left="-1440" w:right="10480" w:firstLine="0"/>
        <w:jc w:val="left"/>
      </w:pPr>
    </w:p>
    <w:p w:rsidR="00B20072" w:rsidRDefault="00B20072">
      <w:pPr>
        <w:sectPr w:rsidR="00B20072">
          <w:pgSz w:w="11920" w:h="16840"/>
          <w:pgMar w:top="1440" w:right="1440" w:bottom="1440" w:left="1440" w:header="708" w:footer="708" w:gutter="0"/>
          <w:cols w:space="708"/>
        </w:sectPr>
      </w:pPr>
    </w:p>
    <w:p w:rsidR="00B20072" w:rsidRDefault="00B20072">
      <w:pPr>
        <w:numPr>
          <w:ilvl w:val="0"/>
          <w:numId w:val="1"/>
        </w:numPr>
        <w:spacing w:after="0" w:line="216" w:lineRule="auto"/>
        <w:ind w:right="5375" w:hanging="154"/>
        <w:jc w:val="left"/>
      </w:pPr>
    </w:p>
    <w:tbl>
      <w:tblPr>
        <w:tblStyle w:val="TableGrid"/>
        <w:tblpPr w:vertAnchor="text" w:horzAnchor="margin" w:tblpX="2290" w:tblpY="-35"/>
        <w:tblOverlap w:val="never"/>
        <w:tblW w:w="6050" w:type="dxa"/>
        <w:tblInd w:w="0" w:type="dxa"/>
        <w:tblCellMar>
          <w:top w:w="24" w:type="dxa"/>
          <w:left w:w="0" w:type="dxa"/>
          <w:bottom w:w="19" w:type="dxa"/>
          <w:right w:w="0" w:type="dxa"/>
        </w:tblCellMar>
        <w:tblLook w:val="04A0" w:firstRow="1" w:lastRow="0" w:firstColumn="1" w:lastColumn="0" w:noHBand="0" w:noVBand="1"/>
      </w:tblPr>
      <w:tblGrid>
        <w:gridCol w:w="398"/>
        <w:gridCol w:w="1121"/>
        <w:gridCol w:w="375"/>
        <w:gridCol w:w="1250"/>
        <w:gridCol w:w="388"/>
        <w:gridCol w:w="375"/>
        <w:gridCol w:w="1557"/>
        <w:gridCol w:w="586"/>
      </w:tblGrid>
      <w:tr w:rsidR="00B20072">
        <w:trPr>
          <w:trHeight w:val="482"/>
        </w:trPr>
        <w:tc>
          <w:tcPr>
            <w:tcW w:w="398"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1121" w:type="dxa"/>
            <w:vMerge w:val="restart"/>
            <w:tcBorders>
              <w:top w:val="single" w:sz="2" w:space="0" w:color="000000"/>
              <w:left w:val="nil"/>
              <w:bottom w:val="single" w:sz="2" w:space="0" w:color="000000"/>
              <w:right w:val="single" w:sz="2" w:space="0" w:color="000000"/>
            </w:tcBorders>
            <w:textDirection w:val="tbRlV"/>
          </w:tcPr>
          <w:p w:rsidR="00B20072" w:rsidRDefault="00B20072">
            <w:pPr>
              <w:spacing w:after="0" w:line="259" w:lineRule="auto"/>
              <w:ind w:left="1"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1250" w:type="dxa"/>
            <w:vMerge w:val="restart"/>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1260" w:firstLine="0"/>
              <w:jc w:val="left"/>
            </w:pPr>
          </w:p>
        </w:tc>
        <w:tc>
          <w:tcPr>
            <w:tcW w:w="388" w:type="dxa"/>
            <w:vMerge w:val="restart"/>
            <w:tcBorders>
              <w:top w:val="single" w:sz="2" w:space="0" w:color="000000"/>
              <w:left w:val="single" w:sz="2" w:space="0" w:color="000000"/>
              <w:bottom w:val="single" w:sz="2" w:space="0" w:color="000000"/>
              <w:right w:val="single" w:sz="2" w:space="0" w:color="000000"/>
            </w:tcBorders>
            <w:textDirection w:val="tbRlV"/>
          </w:tcPr>
          <w:p w:rsidR="00B20072" w:rsidRDefault="00B20072">
            <w:pPr>
              <w:tabs>
                <w:tab w:val="center" w:pos="2355"/>
                <w:tab w:val="center" w:pos="8003"/>
              </w:tabs>
              <w:spacing w:after="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1557" w:type="dxa"/>
            <w:vMerge w:val="restart"/>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1269" w:firstLine="0"/>
              <w:jc w:val="left"/>
            </w:pPr>
          </w:p>
        </w:tc>
        <w:tc>
          <w:tcPr>
            <w:tcW w:w="586" w:type="dxa"/>
            <w:vMerge w:val="restart"/>
            <w:tcBorders>
              <w:top w:val="single" w:sz="2" w:space="0" w:color="000000"/>
              <w:left w:val="single" w:sz="2" w:space="0" w:color="000000"/>
              <w:bottom w:val="single" w:sz="2" w:space="0" w:color="000000"/>
              <w:right w:val="nil"/>
            </w:tcBorders>
            <w:textDirection w:val="tbRlV"/>
          </w:tcPr>
          <w:p w:rsidR="00B20072" w:rsidRDefault="00B20072">
            <w:pPr>
              <w:spacing w:after="0" w:line="259" w:lineRule="auto"/>
              <w:ind w:left="59" w:firstLine="0"/>
              <w:jc w:val="left"/>
            </w:pPr>
          </w:p>
        </w:tc>
      </w:tr>
      <w:tr w:rsidR="00B20072">
        <w:trPr>
          <w:trHeight w:val="769"/>
        </w:trPr>
        <w:tc>
          <w:tcPr>
            <w:tcW w:w="398"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139" w:firstLine="0"/>
              <w:jc w:val="center"/>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375"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B20072" w:rsidRDefault="00B20072">
            <w:pPr>
              <w:spacing w:after="0" w:line="259" w:lineRule="auto"/>
              <w:ind w:left="394"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5303"/>
        </w:trPr>
        <w:tc>
          <w:tcPr>
            <w:tcW w:w="398" w:type="dxa"/>
            <w:vMerge w:val="restart"/>
            <w:tcBorders>
              <w:top w:val="single" w:sz="2" w:space="0" w:color="000000"/>
              <w:left w:val="single" w:sz="2" w:space="0" w:color="000000"/>
              <w:bottom w:val="single" w:sz="2" w:space="0" w:color="000000"/>
              <w:right w:val="nil"/>
            </w:tcBorders>
            <w:textDirection w:val="tbRlV"/>
            <w:vAlign w:val="center"/>
          </w:tcPr>
          <w:p w:rsidR="00B20072" w:rsidRDefault="00B20072">
            <w:pPr>
              <w:tabs>
                <w:tab w:val="right" w:pos="8819"/>
              </w:tabs>
              <w:spacing w:after="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vAlign w:val="center"/>
          </w:tcPr>
          <w:p w:rsidR="00B20072" w:rsidRDefault="00B20072">
            <w:pPr>
              <w:spacing w:after="0" w:line="259" w:lineRule="auto"/>
              <w:ind w:left="1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548"/>
        </w:trPr>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922"/>
        </w:trPr>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1013"/>
        </w:trPr>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nil"/>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nil"/>
              <w:right w:val="nil"/>
            </w:tcBorders>
            <w:textDirection w:val="tbRlV"/>
          </w:tcPr>
          <w:p w:rsidR="00B20072" w:rsidRDefault="00B20072">
            <w:pPr>
              <w:spacing w:after="160" w:line="259" w:lineRule="auto"/>
              <w:ind w:left="0" w:firstLine="0"/>
              <w:jc w:val="left"/>
            </w:pPr>
          </w:p>
        </w:tc>
      </w:tr>
      <w:tr w:rsidR="00B20072">
        <w:trPr>
          <w:trHeight w:val="1076"/>
        </w:trPr>
        <w:tc>
          <w:tcPr>
            <w:tcW w:w="0" w:type="auto"/>
            <w:vMerge/>
            <w:tcBorders>
              <w:top w:val="nil"/>
              <w:left w:val="single" w:sz="2" w:space="0" w:color="000000"/>
              <w:bottom w:val="single" w:sz="2" w:space="0" w:color="000000"/>
              <w:right w:val="nil"/>
            </w:tcBorders>
            <w:textDirection w:val="tbRlV"/>
          </w:tcPr>
          <w:p w:rsidR="00B20072" w:rsidRDefault="00B20072">
            <w:pPr>
              <w:spacing w:after="160" w:line="259" w:lineRule="auto"/>
              <w:ind w:left="0" w:firstLine="0"/>
              <w:jc w:val="left"/>
            </w:pPr>
          </w:p>
        </w:tc>
        <w:tc>
          <w:tcPr>
            <w:tcW w:w="0" w:type="auto"/>
            <w:vMerge/>
            <w:tcBorders>
              <w:top w:val="nil"/>
              <w:left w:val="nil"/>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0" w:right="29" w:firstLine="0"/>
              <w:jc w:val="righ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375" w:type="dxa"/>
            <w:tcBorders>
              <w:top w:val="single" w:sz="2" w:space="0" w:color="000000"/>
              <w:left w:val="single" w:sz="2" w:space="0" w:color="000000"/>
              <w:bottom w:val="single" w:sz="2" w:space="0" w:color="000000"/>
              <w:right w:val="single" w:sz="2" w:space="0" w:color="000000"/>
            </w:tcBorders>
            <w:textDirection w:val="tbRlV"/>
          </w:tcPr>
          <w:p w:rsidR="00B20072" w:rsidRDefault="00B20072">
            <w:pPr>
              <w:spacing w:after="0" w:line="259" w:lineRule="auto"/>
              <w:ind w:left="379" w:firstLine="0"/>
              <w:jc w:val="left"/>
            </w:pPr>
          </w:p>
        </w:tc>
        <w:tc>
          <w:tcPr>
            <w:tcW w:w="0" w:type="auto"/>
            <w:vMerge/>
            <w:tcBorders>
              <w:top w:val="nil"/>
              <w:left w:val="single" w:sz="2" w:space="0" w:color="000000"/>
              <w:bottom w:val="single" w:sz="2" w:space="0" w:color="000000"/>
              <w:right w:val="single" w:sz="2" w:space="0" w:color="000000"/>
            </w:tcBorders>
            <w:textDirection w:val="tbRlV"/>
          </w:tcPr>
          <w:p w:rsidR="00B20072" w:rsidRDefault="00B20072">
            <w:pPr>
              <w:spacing w:after="160" w:line="259" w:lineRule="auto"/>
              <w:ind w:left="0" w:firstLine="0"/>
              <w:jc w:val="left"/>
            </w:pPr>
          </w:p>
        </w:tc>
        <w:tc>
          <w:tcPr>
            <w:tcW w:w="0" w:type="auto"/>
            <w:vMerge/>
            <w:tcBorders>
              <w:top w:val="nil"/>
              <w:left w:val="single" w:sz="2" w:space="0" w:color="000000"/>
              <w:bottom w:val="single" w:sz="2" w:space="0" w:color="000000"/>
              <w:right w:val="nil"/>
            </w:tcBorders>
            <w:textDirection w:val="tbRlV"/>
          </w:tcPr>
          <w:p w:rsidR="00B20072" w:rsidRDefault="00B20072">
            <w:pPr>
              <w:spacing w:after="160" w:line="259" w:lineRule="auto"/>
              <w:ind w:left="0" w:firstLine="0"/>
              <w:jc w:val="left"/>
            </w:pPr>
          </w:p>
        </w:tc>
      </w:tr>
    </w:tbl>
    <w:p w:rsidR="00B20072" w:rsidRDefault="00B20072">
      <w:pPr>
        <w:sectPr w:rsidR="00B20072">
          <w:pgSz w:w="11920" w:h="16840"/>
          <w:pgMar w:top="1124" w:right="1440" w:bottom="1440" w:left="1440" w:header="708" w:footer="708" w:gutter="0"/>
          <w:cols w:space="708"/>
          <w:textDirection w:val="tbRl"/>
        </w:sectPr>
      </w:pPr>
    </w:p>
    <w:p w:rsidR="00B20072" w:rsidRDefault="00E15FDE">
      <w:pPr>
        <w:pStyle w:val="Nadpis2"/>
        <w:spacing w:after="0"/>
        <w:ind w:left="48" w:firstLine="0"/>
        <w:jc w:val="center"/>
      </w:pPr>
      <w:r>
        <w:rPr>
          <w:sz w:val="38"/>
        </w:rPr>
        <w:lastRenderedPageBreak/>
        <w:t>SPECIFIKACE PRACÍ</w:t>
      </w:r>
    </w:p>
    <w:p w:rsidR="00B20072" w:rsidRDefault="00E15FDE">
      <w:pPr>
        <w:pStyle w:val="Nadpis3"/>
        <w:ind w:left="14"/>
      </w:pPr>
      <w:r>
        <w:rPr>
          <w:rFonts w:ascii="MS Mincho" w:eastAsia="MS Mincho" w:hAnsi="MS Mincho" w:cs="MS Mincho"/>
        </w:rPr>
        <w:t>Oprava oplocení v areálu SSÚD Podivín v délce 160 m</w:t>
      </w:r>
    </w:p>
    <w:p w:rsidR="00B20072" w:rsidRDefault="00E15FDE">
      <w:pPr>
        <w:spacing w:after="59"/>
        <w:ind w:left="10"/>
      </w:pPr>
      <w:r>
        <w:rPr>
          <w:rFonts w:ascii="MS Mincho" w:eastAsia="MS Mincho" w:hAnsi="MS Mincho" w:cs="MS Mincho"/>
        </w:rPr>
        <w:t>Předmětem zakázky je výměna stávąiícího oplocení v areálu SSÚD 7 za poplastované pletivo o výšce 2 m. Vzdálenost mezi sloupky bude 3m, krajní sloupky budou mít I vzpěru a každých 25 m bude mít sloupek 2 vzpěry. Nad pletivem bude ve dvou řadách nad sebou os</w:t>
      </w:r>
      <w:r>
        <w:rPr>
          <w:rFonts w:ascii="MS Mincho" w:eastAsia="MS Mincho" w:hAnsi="MS Mincho" w:cs="MS Mincho"/>
        </w:rPr>
        <w:t>azen ostnatý drát v celkové délce 320 m.</w:t>
      </w:r>
    </w:p>
    <w:p w:rsidR="00B20072" w:rsidRDefault="00E15FDE">
      <w:pPr>
        <w:spacing w:after="1803"/>
        <w:ind w:left="0"/>
      </w:pPr>
      <w:r>
        <w:rPr>
          <w:rFonts w:ascii="MS Mincho" w:eastAsia="MS Mincho" w:hAnsi="MS Mincho" w:cs="MS Mincho"/>
        </w:rPr>
        <w:t>Zhotovitel je povinen před zahájením prací předložit doklad o platném školení a vstup na dálnici hlásit zástupci objednatele. Zhotovitel je povinen dodržovat veškeré platné technické a právní předpisy, týkající se z</w:t>
      </w:r>
      <w:r>
        <w:rPr>
          <w:rFonts w:ascii="MS Mincho" w:eastAsia="MS Mincho" w:hAnsi="MS Mincho" w:cs="MS Mincho"/>
        </w:rPr>
        <w:t>ajištění bezpečnosti a ochrany zdraví při práci a bezpečnosti technických zařízení, zejména nařízení vlády č. 591/2006 Sb. Zhotovitel se zavazuje vysílat k provádění prací zaměstnance odborně a zdravotně způsobilé a řádně proškolené v předpisech bezpečnost</w:t>
      </w:r>
      <w:r>
        <w:rPr>
          <w:rFonts w:ascii="MS Mincho" w:eastAsia="MS Mincho" w:hAnsi="MS Mincho" w:cs="MS Mincho"/>
        </w:rPr>
        <w:t>i a ochrany zdraví při práci. V případě pracovního úrazu zaměstnance poskytovatele vyšetří a sepíše záznam o pracovním úrazu vedoucí zaměstnanec poskytovatele ve spolupráci s vedoucím zaměstnancem objednatele a poskytovatel následně splní veškeré povinnost</w:t>
      </w:r>
      <w:r>
        <w:rPr>
          <w:rFonts w:ascii="MS Mincho" w:eastAsia="MS Mincho" w:hAnsi="MS Mincho" w:cs="MS Mincho"/>
        </w:rPr>
        <w:t>i v souladu s Š 105 Zákoníku práce v platném znění a nařízením vlády č. 201/2010 Sb.</w:t>
      </w:r>
    </w:p>
    <w:p w:rsidR="00B20072" w:rsidRDefault="004627BD">
      <w:pPr>
        <w:pStyle w:val="Nadpis3"/>
        <w:spacing w:after="0"/>
        <w:ind w:left="0" w:right="1259" w:firstLine="0"/>
        <w:jc w:val="right"/>
      </w:pPr>
      <w:r w:rsidRPr="004627BD">
        <w:rPr>
          <w:sz w:val="36"/>
          <w:highlight w:val="black"/>
        </w:rPr>
        <w:t>xxxxxxxxxxxxxx</w:t>
      </w:r>
    </w:p>
    <w:p w:rsidR="00B20072" w:rsidRDefault="004627BD">
      <w:pPr>
        <w:spacing w:after="0" w:line="216" w:lineRule="auto"/>
        <w:ind w:left="6883" w:right="1134" w:hanging="663"/>
        <w:jc w:val="left"/>
      </w:pPr>
      <w:r w:rsidRPr="004627BD">
        <w:rPr>
          <w:sz w:val="20"/>
          <w:highlight w:val="black"/>
        </w:rPr>
        <w:t>xxxxxxxxxxxxxxxx</w:t>
      </w:r>
    </w:p>
    <w:p w:rsidR="00B20072" w:rsidRDefault="00E15FDE">
      <w:pPr>
        <w:pStyle w:val="Nadpis4"/>
      </w:pPr>
      <w:r>
        <w:t>DIČ: CZ2'319</w:t>
      </w:r>
    </w:p>
    <w:p w:rsidR="00B20072" w:rsidRDefault="00E15FDE">
      <w:pPr>
        <w:spacing w:after="65" w:line="234" w:lineRule="auto"/>
        <w:ind w:left="125" w:right="7402" w:firstLine="10"/>
        <w:jc w:val="left"/>
      </w:pPr>
      <w:r>
        <w:rPr>
          <w:sz w:val="20"/>
        </w:rPr>
        <w:t>Smlouva o zpracováni osobnich údajů</w:t>
      </w:r>
    </w:p>
    <w:p w:rsidR="00B20072" w:rsidRDefault="00E15FDE">
      <w:pPr>
        <w:tabs>
          <w:tab w:val="center" w:pos="1754"/>
        </w:tabs>
        <w:spacing w:after="248"/>
        <w:ind w:left="0" w:firstLine="0"/>
        <w:jc w:val="left"/>
      </w:pPr>
      <w:r>
        <w:t>Obsah</w:t>
      </w:r>
      <w:r>
        <w:tab/>
        <w:t>Vážení,</w:t>
      </w:r>
    </w:p>
    <w:p w:rsidR="00B20072" w:rsidRDefault="00E15FDE">
      <w:pPr>
        <w:spacing w:after="254"/>
        <w:ind w:left="1384"/>
      </w:pPr>
      <w:r>
        <w:t>vzhledem k většímu množství dotazů na totožné téma předkládáme informace ke vzorové smlouvě o zpracování osobních údajů.</w:t>
      </w:r>
    </w:p>
    <w:p w:rsidR="00B20072" w:rsidRDefault="00E15FDE">
      <w:pPr>
        <w:numPr>
          <w:ilvl w:val="0"/>
          <w:numId w:val="2"/>
        </w:numPr>
        <w:spacing w:after="229"/>
        <w:ind w:right="144"/>
      </w:pPr>
      <w:r>
        <w:t>Smlouva o zpracování osobních údąiů se přikládá do všech zakázek jako příloha hlavní smlouvy (hlavní smlouvou je myšlena smlouva, jejíž</w:t>
      </w:r>
      <w:r>
        <w:t xml:space="preserve"> je smlouva o zpracování osobních údajů přílohou).</w:t>
      </w:r>
    </w:p>
    <w:p w:rsidR="00B20072" w:rsidRDefault="00E15FDE">
      <w:pPr>
        <w:numPr>
          <w:ilvl w:val="0"/>
          <w:numId w:val="2"/>
        </w:numPr>
        <w:spacing w:after="253"/>
        <w:ind w:right="144"/>
      </w:pPr>
      <w:r>
        <w:lastRenderedPageBreak/>
        <w:t>Do nabídky se přikládá spolu s hlavní smlouvou dodavatelem nevyplněná a nepodepsaná, pokud konkrétní vzor nestanoví jinak.</w:t>
      </w:r>
    </w:p>
    <w:p w:rsidR="00B20072" w:rsidRDefault="00E15FDE">
      <w:pPr>
        <w:numPr>
          <w:ilvl w:val="0"/>
          <w:numId w:val="2"/>
        </w:numPr>
        <w:spacing w:after="260"/>
        <w:ind w:right="144"/>
      </w:pPr>
      <w:r>
        <w:t>Ve všech případech se používá proto, aby nebylo čistě na znalostech konkrétniho pr</w:t>
      </w:r>
      <w:r>
        <w:t>acovníka, zda se v daném případě může či nemůže při plnění po věcné stránce použít. Tj. aby nenastala situace, kdy bude nutné zpracování osobních údąjů řešit a hlavní smlouva na to nebude myslet. V tomto ohledu je důležité si uvědomit. že hlavni smlouvy ob</w:t>
      </w:r>
      <w:r>
        <w:t>sahují ustanovení, které přenáší odpovědnost za včasné uzavření smlouvy o zpracování osobních údajů na dodavatele - tj. v případě uděleni sankce ŘSD za související porušení GDPR by mělo být možné se na dodavateli zhojit z titulu náhrady škody vzniklé poruš</w:t>
      </w:r>
      <w:r>
        <w:t>ením jeho ohlašovací smluvní povinnosti.</w:t>
      </w:r>
    </w:p>
    <w:p w:rsidR="00B20072" w:rsidRDefault="00E15FDE">
      <w:pPr>
        <w:numPr>
          <w:ilvl w:val="0"/>
          <w:numId w:val="2"/>
        </w:numPr>
        <w:spacing w:after="292" w:line="216" w:lineRule="auto"/>
        <w:ind w:right="144"/>
      </w:pPr>
      <w:r>
        <w:t>Smlouva o zpracování osobních údąiů se případně s dodavatelem uzavře v rámci realizace hlavní smlouvy (po podpisu hlavní smlouvy). Nepodepisuje se tedy vždy spolu s hlavní smlouvou, ale podepisuje se pouze v případě</w:t>
      </w:r>
      <w:r>
        <w:t>, kdy je její uzavření věcně relevantní. Samozřejmě pokud jste si jistí, že se v rámci realizaci zakázky bude smlouva o zpracování osobních údajů uzavírat. je možné její uzavření spojit s uzavřením hlavní smlouvy (tj. prakticky podepsat či uzavřít obě smlo</w:t>
      </w:r>
      <w:r>
        <w:t>uvy současně (ve stejný den)).</w:t>
      </w:r>
    </w:p>
    <w:p w:rsidR="00B20072" w:rsidRDefault="00E15FDE">
      <w:pPr>
        <w:numPr>
          <w:ilvl w:val="0"/>
          <w:numId w:val="2"/>
        </w:numPr>
        <w:spacing w:after="254"/>
        <w:ind w:right="144"/>
      </w:pPr>
      <w:r>
        <w:t>Uzavřená smlouva o zpracování osobních údajů se nezveřejňuje v registru smluv. V registru smluv se však smlouva o zpracování osobních údajů zveřejňuje nevyplněná a nepodepsaná coby příloha smlouvy na plnění předmětu veřejné z</w:t>
      </w:r>
      <w:r>
        <w:t>akázky.</w:t>
      </w:r>
    </w:p>
    <w:p w:rsidR="00B20072" w:rsidRDefault="00E15FDE">
      <w:pPr>
        <w:numPr>
          <w:ilvl w:val="0"/>
          <w:numId w:val="2"/>
        </w:numPr>
        <w:spacing w:after="677" w:line="216" w:lineRule="auto"/>
        <w:ind w:right="144"/>
      </w:pPr>
      <w:r>
        <w:t>Do budoucna nevylučujeme další vývoj, včetně odstranění této smlouvy z některých typů hlavních smluv nebo větší volnosti s jejím přikládáním do dokumentací, ale to není otázkou příštích dnů či týdnů.</w:t>
      </w:r>
    </w:p>
    <w:p w:rsidR="00B20072" w:rsidRDefault="004627BD">
      <w:pPr>
        <w:spacing w:after="222" w:line="259" w:lineRule="auto"/>
        <w:ind w:left="106" w:firstLine="0"/>
        <w:jc w:val="left"/>
      </w:pPr>
      <w:r w:rsidRPr="004627BD">
        <w:rPr>
          <w:highlight w:val="black"/>
          <w:u w:val="single" w:color="000000"/>
        </w:rPr>
        <w:t>xxxxxxxxxxxxxxxxxxxx</w:t>
      </w:r>
    </w:p>
    <w:sectPr w:rsidR="00B20072">
      <w:pgSz w:w="11920" w:h="16840"/>
      <w:pgMar w:top="1489" w:right="1452" w:bottom="2334" w:left="134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DE" w:rsidRDefault="00E15FDE" w:rsidP="00E15FDE">
      <w:pPr>
        <w:spacing w:after="0" w:line="240" w:lineRule="auto"/>
      </w:pPr>
      <w:r>
        <w:separator/>
      </w:r>
    </w:p>
  </w:endnote>
  <w:endnote w:type="continuationSeparator" w:id="0">
    <w:p w:rsidR="00E15FDE" w:rsidRDefault="00E15FDE" w:rsidP="00E1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DE" w:rsidRDefault="00E15F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DE" w:rsidRDefault="00E15F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DE" w:rsidRDefault="00E15F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DE" w:rsidRDefault="00E15FDE" w:rsidP="00E15FDE">
      <w:pPr>
        <w:spacing w:after="0" w:line="240" w:lineRule="auto"/>
      </w:pPr>
      <w:r>
        <w:separator/>
      </w:r>
    </w:p>
  </w:footnote>
  <w:footnote w:type="continuationSeparator" w:id="0">
    <w:p w:rsidR="00E15FDE" w:rsidRDefault="00E15FDE" w:rsidP="00E15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DE" w:rsidRDefault="00E15F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DE" w:rsidRDefault="00E15FD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DE" w:rsidRDefault="00E15F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1686"/>
    <w:multiLevelType w:val="hybridMultilevel"/>
    <w:tmpl w:val="8D5EF162"/>
    <w:lvl w:ilvl="0" w:tplc="E77ABE8E">
      <w:start w:val="1"/>
      <w:numFmt w:val="decimal"/>
      <w:lvlText w:val="%1)"/>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18A97C">
      <w:start w:val="1"/>
      <w:numFmt w:val="lowerLetter"/>
      <w:lvlText w:val="%2"/>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4E01AA">
      <w:start w:val="1"/>
      <w:numFmt w:val="lowerRoman"/>
      <w:lvlText w:val="%3"/>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020992">
      <w:start w:val="1"/>
      <w:numFmt w:val="decimal"/>
      <w:lvlText w:val="%4"/>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F4521C">
      <w:start w:val="1"/>
      <w:numFmt w:val="lowerLetter"/>
      <w:lvlText w:val="%5"/>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CEE570">
      <w:start w:val="1"/>
      <w:numFmt w:val="lowerRoman"/>
      <w:lvlText w:val="%6"/>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C85F7E">
      <w:start w:val="1"/>
      <w:numFmt w:val="decimal"/>
      <w:lvlText w:val="%7"/>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0210A6">
      <w:start w:val="1"/>
      <w:numFmt w:val="lowerLetter"/>
      <w:lvlText w:val="%8"/>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BADCDC">
      <w:start w:val="1"/>
      <w:numFmt w:val="lowerRoman"/>
      <w:lvlText w:val="%9"/>
      <w:lvlJc w:val="left"/>
      <w:pPr>
        <w:ind w:left="7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AB3098A"/>
    <w:multiLevelType w:val="hybridMultilevel"/>
    <w:tmpl w:val="59408626"/>
    <w:lvl w:ilvl="0" w:tplc="CA8E3AEC">
      <w:start w:val="1"/>
      <w:numFmt w:val="bullet"/>
      <w:lvlText w:val="o"/>
      <w:lvlJc w:val="left"/>
      <w:pPr>
        <w:ind w:left="154"/>
      </w:pPr>
      <w:rPr>
        <w:rFonts w:ascii="MS Mincho" w:eastAsia="MS Mincho" w:hAnsi="MS Mincho" w:cs="MS Mincho"/>
        <w:b w:val="0"/>
        <w:i w:val="0"/>
        <w:strike w:val="0"/>
        <w:dstrike w:val="0"/>
        <w:color w:val="000000"/>
        <w:sz w:val="12"/>
        <w:szCs w:val="12"/>
        <w:u w:val="none" w:color="000000"/>
        <w:bdr w:val="none" w:sz="0" w:space="0" w:color="auto"/>
        <w:shd w:val="clear" w:color="auto" w:fill="auto"/>
        <w:vertAlign w:val="baseline"/>
      </w:rPr>
    </w:lvl>
    <w:lvl w:ilvl="1" w:tplc="E55A4E1A">
      <w:start w:val="1"/>
      <w:numFmt w:val="bullet"/>
      <w:lvlText w:val="o"/>
      <w:lvlJc w:val="left"/>
      <w:pPr>
        <w:ind w:left="1080"/>
      </w:pPr>
      <w:rPr>
        <w:rFonts w:ascii="MS Mincho" w:eastAsia="MS Mincho" w:hAnsi="MS Mincho" w:cs="MS Mincho"/>
        <w:b w:val="0"/>
        <w:i w:val="0"/>
        <w:strike w:val="0"/>
        <w:dstrike w:val="0"/>
        <w:color w:val="000000"/>
        <w:sz w:val="12"/>
        <w:szCs w:val="12"/>
        <w:u w:val="none" w:color="000000"/>
        <w:bdr w:val="none" w:sz="0" w:space="0" w:color="auto"/>
        <w:shd w:val="clear" w:color="auto" w:fill="auto"/>
        <w:vertAlign w:val="baseline"/>
      </w:rPr>
    </w:lvl>
    <w:lvl w:ilvl="2" w:tplc="8EA8698A">
      <w:start w:val="1"/>
      <w:numFmt w:val="bullet"/>
      <w:lvlText w:val="▪"/>
      <w:lvlJc w:val="left"/>
      <w:pPr>
        <w:ind w:left="1800"/>
      </w:pPr>
      <w:rPr>
        <w:rFonts w:ascii="MS Mincho" w:eastAsia="MS Mincho" w:hAnsi="MS Mincho" w:cs="MS Mincho"/>
        <w:b w:val="0"/>
        <w:i w:val="0"/>
        <w:strike w:val="0"/>
        <w:dstrike w:val="0"/>
        <w:color w:val="000000"/>
        <w:sz w:val="12"/>
        <w:szCs w:val="12"/>
        <w:u w:val="none" w:color="000000"/>
        <w:bdr w:val="none" w:sz="0" w:space="0" w:color="auto"/>
        <w:shd w:val="clear" w:color="auto" w:fill="auto"/>
        <w:vertAlign w:val="baseline"/>
      </w:rPr>
    </w:lvl>
    <w:lvl w:ilvl="3" w:tplc="57EA231C">
      <w:start w:val="1"/>
      <w:numFmt w:val="bullet"/>
      <w:lvlText w:val="•"/>
      <w:lvlJc w:val="left"/>
      <w:pPr>
        <w:ind w:left="2520"/>
      </w:pPr>
      <w:rPr>
        <w:rFonts w:ascii="MS Mincho" w:eastAsia="MS Mincho" w:hAnsi="MS Mincho" w:cs="MS Mincho"/>
        <w:b w:val="0"/>
        <w:i w:val="0"/>
        <w:strike w:val="0"/>
        <w:dstrike w:val="0"/>
        <w:color w:val="000000"/>
        <w:sz w:val="12"/>
        <w:szCs w:val="12"/>
        <w:u w:val="none" w:color="000000"/>
        <w:bdr w:val="none" w:sz="0" w:space="0" w:color="auto"/>
        <w:shd w:val="clear" w:color="auto" w:fill="auto"/>
        <w:vertAlign w:val="baseline"/>
      </w:rPr>
    </w:lvl>
    <w:lvl w:ilvl="4" w:tplc="3E18A290">
      <w:start w:val="1"/>
      <w:numFmt w:val="bullet"/>
      <w:lvlText w:val="o"/>
      <w:lvlJc w:val="left"/>
      <w:pPr>
        <w:ind w:left="3240"/>
      </w:pPr>
      <w:rPr>
        <w:rFonts w:ascii="MS Mincho" w:eastAsia="MS Mincho" w:hAnsi="MS Mincho" w:cs="MS Mincho"/>
        <w:b w:val="0"/>
        <w:i w:val="0"/>
        <w:strike w:val="0"/>
        <w:dstrike w:val="0"/>
        <w:color w:val="000000"/>
        <w:sz w:val="12"/>
        <w:szCs w:val="12"/>
        <w:u w:val="none" w:color="000000"/>
        <w:bdr w:val="none" w:sz="0" w:space="0" w:color="auto"/>
        <w:shd w:val="clear" w:color="auto" w:fill="auto"/>
        <w:vertAlign w:val="baseline"/>
      </w:rPr>
    </w:lvl>
    <w:lvl w:ilvl="5" w:tplc="091A67B6">
      <w:start w:val="1"/>
      <w:numFmt w:val="bullet"/>
      <w:lvlText w:val="▪"/>
      <w:lvlJc w:val="left"/>
      <w:pPr>
        <w:ind w:left="3960"/>
      </w:pPr>
      <w:rPr>
        <w:rFonts w:ascii="MS Mincho" w:eastAsia="MS Mincho" w:hAnsi="MS Mincho" w:cs="MS Mincho"/>
        <w:b w:val="0"/>
        <w:i w:val="0"/>
        <w:strike w:val="0"/>
        <w:dstrike w:val="0"/>
        <w:color w:val="000000"/>
        <w:sz w:val="12"/>
        <w:szCs w:val="12"/>
        <w:u w:val="none" w:color="000000"/>
        <w:bdr w:val="none" w:sz="0" w:space="0" w:color="auto"/>
        <w:shd w:val="clear" w:color="auto" w:fill="auto"/>
        <w:vertAlign w:val="baseline"/>
      </w:rPr>
    </w:lvl>
    <w:lvl w:ilvl="6" w:tplc="399C9090">
      <w:start w:val="1"/>
      <w:numFmt w:val="bullet"/>
      <w:lvlText w:val="•"/>
      <w:lvlJc w:val="left"/>
      <w:pPr>
        <w:ind w:left="4680"/>
      </w:pPr>
      <w:rPr>
        <w:rFonts w:ascii="MS Mincho" w:eastAsia="MS Mincho" w:hAnsi="MS Mincho" w:cs="MS Mincho"/>
        <w:b w:val="0"/>
        <w:i w:val="0"/>
        <w:strike w:val="0"/>
        <w:dstrike w:val="0"/>
        <w:color w:val="000000"/>
        <w:sz w:val="12"/>
        <w:szCs w:val="12"/>
        <w:u w:val="none" w:color="000000"/>
        <w:bdr w:val="none" w:sz="0" w:space="0" w:color="auto"/>
        <w:shd w:val="clear" w:color="auto" w:fill="auto"/>
        <w:vertAlign w:val="baseline"/>
      </w:rPr>
    </w:lvl>
    <w:lvl w:ilvl="7" w:tplc="518E1962">
      <w:start w:val="1"/>
      <w:numFmt w:val="bullet"/>
      <w:lvlText w:val="o"/>
      <w:lvlJc w:val="left"/>
      <w:pPr>
        <w:ind w:left="5400"/>
      </w:pPr>
      <w:rPr>
        <w:rFonts w:ascii="MS Mincho" w:eastAsia="MS Mincho" w:hAnsi="MS Mincho" w:cs="MS Mincho"/>
        <w:b w:val="0"/>
        <w:i w:val="0"/>
        <w:strike w:val="0"/>
        <w:dstrike w:val="0"/>
        <w:color w:val="000000"/>
        <w:sz w:val="12"/>
        <w:szCs w:val="12"/>
        <w:u w:val="none" w:color="000000"/>
        <w:bdr w:val="none" w:sz="0" w:space="0" w:color="auto"/>
        <w:shd w:val="clear" w:color="auto" w:fill="auto"/>
        <w:vertAlign w:val="baseline"/>
      </w:rPr>
    </w:lvl>
    <w:lvl w:ilvl="8" w:tplc="0CEC0728">
      <w:start w:val="1"/>
      <w:numFmt w:val="bullet"/>
      <w:lvlText w:val="▪"/>
      <w:lvlJc w:val="left"/>
      <w:pPr>
        <w:ind w:left="6120"/>
      </w:pPr>
      <w:rPr>
        <w:rFonts w:ascii="MS Mincho" w:eastAsia="MS Mincho" w:hAnsi="MS Mincho" w:cs="MS Mincho"/>
        <w:b w:val="0"/>
        <w:i w:val="0"/>
        <w:strike w:val="0"/>
        <w:dstrike w:val="0"/>
        <w:color w:val="000000"/>
        <w:sz w:val="12"/>
        <w:szCs w:val="1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72"/>
    <w:rsid w:val="004627BD"/>
    <w:rsid w:val="00B20072"/>
    <w:rsid w:val="00E15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4" w:line="267" w:lineRule="auto"/>
      <w:ind w:left="538" w:firstLine="9"/>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548"/>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113"/>
      <w:ind w:left="702" w:hanging="10"/>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113"/>
      <w:ind w:left="702" w:hanging="10"/>
      <w:outlineLvl w:val="2"/>
    </w:pPr>
    <w:rPr>
      <w:rFonts w:ascii="Times New Roman" w:eastAsia="Times New Roman" w:hAnsi="Times New Roman" w:cs="Times New Roman"/>
      <w:color w:val="000000"/>
      <w:sz w:val="26"/>
    </w:rPr>
  </w:style>
  <w:style w:type="paragraph" w:styleId="Nadpis4">
    <w:name w:val="heading 4"/>
    <w:next w:val="Normln"/>
    <w:link w:val="Nadpis4Char"/>
    <w:uiPriority w:val="9"/>
    <w:unhideWhenUsed/>
    <w:qFormat/>
    <w:pPr>
      <w:keepNext/>
      <w:keepLines/>
      <w:spacing w:after="0"/>
      <w:ind w:right="1173"/>
      <w:jc w:val="right"/>
      <w:outlineLvl w:val="3"/>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color w:val="000000"/>
      <w:sz w:val="24"/>
    </w:rPr>
  </w:style>
  <w:style w:type="character" w:customStyle="1" w:styleId="Nadpis1Char">
    <w:name w:val="Nadpis 1 Char"/>
    <w:link w:val="Nadpis1"/>
    <w:rPr>
      <w:rFonts w:ascii="Times New Roman" w:eastAsia="Times New Roman" w:hAnsi="Times New Roman" w:cs="Times New Roman"/>
      <w:color w:val="000000"/>
      <w:sz w:val="56"/>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3Char">
    <w:name w:val="Nadpis 3 Char"/>
    <w:link w:val="Nadpis3"/>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E15F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5FDE"/>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E15F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15FD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966</Words>
  <Characters>5706</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2018-10-02T09:56:00Z</dcterms:created>
  <dcterms:modified xsi:type="dcterms:W3CDTF">2018-10-02T09:56:00Z</dcterms:modified>
</cp:coreProperties>
</file>