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60D7" w14:textId="11051D51" w:rsidR="00597070" w:rsidRPr="001A2A81" w:rsidRDefault="0020091A" w:rsidP="00597070">
      <w:pPr>
        <w:pStyle w:val="Nzev"/>
        <w:rPr>
          <w:rFonts w:ascii="Tahoma" w:hAnsi="Tahoma" w:cs="Tahoma"/>
          <w:sz w:val="16"/>
          <w:szCs w:val="16"/>
        </w:rPr>
      </w:pPr>
      <w:bookmarkStart w:id="0" w:name="_GoBack"/>
      <w:bookmarkEnd w:id="0"/>
      <w:r>
        <w:rPr>
          <w:rFonts w:ascii="Tahoma" w:hAnsi="Tahoma" w:cs="Tahoma"/>
          <w:sz w:val="16"/>
          <w:szCs w:val="16"/>
        </w:rPr>
        <w:t>LICENČNÍ SMLOUVA</w:t>
      </w:r>
    </w:p>
    <w:p w14:paraId="7A55FB3B" w14:textId="77777777" w:rsidR="00597070" w:rsidRPr="001A2A81" w:rsidRDefault="00597070" w:rsidP="00597070">
      <w:pPr>
        <w:pStyle w:val="Nzev"/>
        <w:rPr>
          <w:rFonts w:ascii="Tahoma" w:hAnsi="Tahoma" w:cs="Tahoma"/>
          <w:sz w:val="16"/>
          <w:szCs w:val="16"/>
        </w:rPr>
      </w:pPr>
    </w:p>
    <w:p w14:paraId="475CA8B0" w14:textId="530E9710" w:rsidR="0060173D" w:rsidRPr="00BD6D8D" w:rsidRDefault="0060173D" w:rsidP="00597070">
      <w:pPr>
        <w:rPr>
          <w:rFonts w:ascii="Tahoma" w:hAnsi="Tahoma" w:cs="Tahoma"/>
          <w:b/>
          <w:sz w:val="16"/>
          <w:szCs w:val="16"/>
        </w:rPr>
      </w:pPr>
      <w:r w:rsidRPr="00BD6D8D">
        <w:rPr>
          <w:rFonts w:ascii="Tahoma" w:hAnsi="Tahoma" w:cs="Tahoma"/>
          <w:b/>
          <w:noProof/>
          <w:sz w:val="16"/>
          <w:szCs w:val="16"/>
        </w:rPr>
        <w:t>DYNEX TECHNOLOGIES, spol. s r.o</w:t>
      </w:r>
      <w:r w:rsidRPr="00BD6D8D">
        <w:rPr>
          <w:rFonts w:ascii="Tahoma" w:hAnsi="Tahoma" w:cs="Tahoma"/>
          <w:b/>
          <w:sz w:val="16"/>
          <w:szCs w:val="16"/>
        </w:rPr>
        <w:t>.</w:t>
      </w:r>
    </w:p>
    <w:p w14:paraId="7E987878" w14:textId="688CCC29" w:rsidR="00597070" w:rsidRPr="00BD6D8D" w:rsidRDefault="00597070" w:rsidP="00BD6D8D">
      <w:pPr>
        <w:tabs>
          <w:tab w:val="left" w:pos="0"/>
          <w:tab w:val="left" w:pos="284"/>
          <w:tab w:val="left" w:pos="1701"/>
        </w:tabs>
        <w:spacing w:line="276" w:lineRule="auto"/>
        <w:contextualSpacing/>
        <w:jc w:val="both"/>
        <w:rPr>
          <w:rFonts w:ascii="Tahoma" w:hAnsi="Tahoma" w:cs="Tahoma"/>
          <w:sz w:val="16"/>
          <w:szCs w:val="16"/>
        </w:rPr>
      </w:pPr>
      <w:r w:rsidRPr="00BD6D8D">
        <w:rPr>
          <w:rFonts w:ascii="Tahoma" w:hAnsi="Tahoma" w:cs="Tahoma"/>
          <w:sz w:val="16"/>
          <w:szCs w:val="16"/>
        </w:rPr>
        <w:t xml:space="preserve">zapsána: </w:t>
      </w:r>
      <w:r w:rsidR="0060173D" w:rsidRPr="00BD6D8D">
        <w:rPr>
          <w:rFonts w:ascii="Tahoma" w:hAnsi="Tahoma" w:cs="Tahoma"/>
          <w:sz w:val="16"/>
          <w:szCs w:val="16"/>
        </w:rPr>
        <w:tab/>
      </w:r>
      <w:r w:rsidR="0060173D" w:rsidRPr="00BD6D8D">
        <w:rPr>
          <w:rFonts w:ascii="Tahoma" w:hAnsi="Tahoma" w:cs="Tahoma"/>
          <w:sz w:val="16"/>
          <w:szCs w:val="16"/>
        </w:rPr>
        <w:tab/>
      </w:r>
      <w:r w:rsidR="00651F88" w:rsidRPr="00BD6D8D">
        <w:rPr>
          <w:rFonts w:ascii="Tahoma" w:hAnsi="Tahoma" w:cs="Tahoma"/>
          <w:sz w:val="16"/>
          <w:szCs w:val="16"/>
        </w:rPr>
        <w:t>v</w:t>
      </w:r>
      <w:r w:rsidR="00651F88" w:rsidRPr="00BD6D8D">
        <w:rPr>
          <w:rStyle w:val="platne1"/>
          <w:rFonts w:ascii="Tahoma" w:hAnsi="Tahoma" w:cs="Tahoma"/>
          <w:color w:val="000000" w:themeColor="text1"/>
          <w:sz w:val="16"/>
          <w:szCs w:val="16"/>
        </w:rPr>
        <w:t xml:space="preserve"> obchodním rejstříku vedeného</w:t>
      </w:r>
      <w:r w:rsidR="00651F88" w:rsidRPr="00BD6D8D">
        <w:rPr>
          <w:rFonts w:ascii="Tahoma" w:hAnsi="Tahoma" w:cs="Tahoma"/>
          <w:sz w:val="16"/>
          <w:szCs w:val="16"/>
        </w:rPr>
        <w:t xml:space="preserve"> </w:t>
      </w:r>
      <w:r w:rsidR="00651F88" w:rsidRPr="00BD6D8D">
        <w:rPr>
          <w:rStyle w:val="platne1"/>
          <w:rFonts w:ascii="Tahoma" w:hAnsi="Tahoma" w:cs="Tahoma"/>
          <w:color w:val="000000" w:themeColor="text1"/>
          <w:sz w:val="16"/>
          <w:szCs w:val="16"/>
        </w:rPr>
        <w:t>Městským soudem v Praze</w:t>
      </w:r>
      <w:r w:rsidR="00651F88" w:rsidRPr="00BD6D8D">
        <w:rPr>
          <w:rFonts w:ascii="Tahoma" w:hAnsi="Tahoma" w:cs="Tahoma"/>
          <w:sz w:val="16"/>
          <w:szCs w:val="16"/>
        </w:rPr>
        <w:t xml:space="preserve"> oddíl C, vložka 15914</w:t>
      </w:r>
      <w:r w:rsidR="00651F88" w:rsidRPr="00BD6D8D" w:rsidDel="0060173D">
        <w:rPr>
          <w:rFonts w:ascii="Tahoma" w:hAnsi="Tahoma" w:cs="Tahoma"/>
          <w:b/>
          <w:sz w:val="16"/>
          <w:szCs w:val="16"/>
        </w:rPr>
        <w:t xml:space="preserve"> </w:t>
      </w:r>
    </w:p>
    <w:p w14:paraId="3A529E36" w14:textId="5AD4AECD" w:rsidR="00597070" w:rsidRPr="00BD6D8D" w:rsidRDefault="00597070" w:rsidP="00597070">
      <w:pPr>
        <w:rPr>
          <w:rFonts w:ascii="Tahoma" w:hAnsi="Tahoma" w:cs="Tahoma"/>
          <w:b/>
          <w:sz w:val="16"/>
          <w:szCs w:val="16"/>
        </w:rPr>
      </w:pPr>
      <w:r w:rsidRPr="00BD6D8D">
        <w:rPr>
          <w:rFonts w:ascii="Tahoma" w:hAnsi="Tahoma" w:cs="Tahoma"/>
          <w:sz w:val="16"/>
          <w:szCs w:val="16"/>
        </w:rPr>
        <w:t>se sídlem:</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noProof/>
          <w:sz w:val="16"/>
          <w:szCs w:val="16"/>
        </w:rPr>
        <w:t>Praha 1, Nové Město, Vodičkova 791/41, PSČ 110 00</w:t>
      </w:r>
      <w:r w:rsidR="0060173D" w:rsidRPr="00BD6D8D" w:rsidDel="0060173D">
        <w:rPr>
          <w:rFonts w:ascii="Tahoma" w:hAnsi="Tahoma" w:cs="Tahoma"/>
          <w:b/>
          <w:sz w:val="16"/>
          <w:szCs w:val="16"/>
        </w:rPr>
        <w:t xml:space="preserve"> </w:t>
      </w:r>
    </w:p>
    <w:p w14:paraId="0E8C58F5" w14:textId="675BFD97" w:rsidR="00597070" w:rsidRPr="00BD6D8D" w:rsidRDefault="00597070" w:rsidP="00597070">
      <w:pPr>
        <w:rPr>
          <w:rFonts w:ascii="Tahoma" w:hAnsi="Tahoma" w:cs="Tahoma"/>
          <w:b/>
          <w:sz w:val="16"/>
          <w:szCs w:val="16"/>
        </w:rPr>
      </w:pPr>
      <w:r w:rsidRPr="00BD6D8D">
        <w:rPr>
          <w:rFonts w:ascii="Tahoma" w:hAnsi="Tahoma" w:cs="Tahoma"/>
          <w:sz w:val="16"/>
          <w:szCs w:val="16"/>
        </w:rPr>
        <w:t>IČ:</w:t>
      </w:r>
      <w:r w:rsidRPr="00BD6D8D">
        <w:rPr>
          <w:rFonts w:ascii="Tahoma" w:hAnsi="Tahoma" w:cs="Tahoma"/>
          <w:b/>
          <w:sz w:val="16"/>
          <w:szCs w:val="16"/>
        </w:rPr>
        <w:t xml:space="preserve"> </w:t>
      </w:r>
      <w:r w:rsidR="0060173D" w:rsidRPr="00BD6D8D">
        <w:rPr>
          <w:rFonts w:ascii="Tahoma" w:hAnsi="Tahoma" w:cs="Tahoma"/>
          <w:noProof/>
          <w:sz w:val="16"/>
          <w:szCs w:val="16"/>
        </w:rPr>
        <w:t>481 08 731</w:t>
      </w:r>
      <w:r w:rsidR="0060173D" w:rsidRPr="00BD6D8D" w:rsidDel="0060173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Pr="00BD6D8D">
        <w:rPr>
          <w:rFonts w:ascii="Tahoma" w:hAnsi="Tahoma" w:cs="Tahoma"/>
          <w:sz w:val="16"/>
          <w:szCs w:val="16"/>
        </w:rPr>
        <w:t xml:space="preserve">DIČ: </w:t>
      </w:r>
      <w:r w:rsidR="0060173D" w:rsidRPr="00BD6D8D">
        <w:rPr>
          <w:rFonts w:ascii="Tahoma" w:hAnsi="Tahoma" w:cs="Tahoma"/>
          <w:noProof/>
          <w:sz w:val="16"/>
          <w:szCs w:val="16"/>
        </w:rPr>
        <w:t>CZ48108731</w:t>
      </w:r>
      <w:r w:rsidR="0060173D" w:rsidRPr="00BD6D8D" w:rsidDel="0060173D">
        <w:rPr>
          <w:rFonts w:ascii="Tahoma" w:hAnsi="Tahoma" w:cs="Tahoma"/>
          <w:b/>
          <w:sz w:val="16"/>
          <w:szCs w:val="16"/>
        </w:rPr>
        <w:t xml:space="preserve"> </w:t>
      </w:r>
    </w:p>
    <w:p w14:paraId="393D7297" w14:textId="41171E25" w:rsidR="00597070" w:rsidRPr="00BD6D8D" w:rsidRDefault="00052AA2" w:rsidP="00597070">
      <w:pPr>
        <w:rPr>
          <w:rFonts w:ascii="Tahoma" w:hAnsi="Tahoma" w:cs="Tahoma"/>
          <w:b/>
          <w:sz w:val="16"/>
          <w:szCs w:val="16"/>
        </w:rPr>
      </w:pPr>
      <w:r>
        <w:rPr>
          <w:rFonts w:ascii="Tahoma" w:hAnsi="Tahoma" w:cs="Tahoma"/>
          <w:sz w:val="16"/>
          <w:szCs w:val="16"/>
        </w:rPr>
        <w:t>zastoupená</w:t>
      </w:r>
      <w:r w:rsidR="00597070" w:rsidRPr="00BD6D8D">
        <w:rPr>
          <w:rFonts w:ascii="Tahoma" w:hAnsi="Tahoma" w:cs="Tahoma"/>
          <w:sz w:val="16"/>
          <w:szCs w:val="16"/>
        </w:rPr>
        <w:t>:</w:t>
      </w:r>
      <w:r w:rsidR="00597070"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sz w:val="16"/>
          <w:szCs w:val="16"/>
        </w:rPr>
        <w:t>Ing. Zorou Hanzlíkovou</w:t>
      </w:r>
      <w:r w:rsidR="0060173D" w:rsidRPr="00BD6D8D" w:rsidDel="0060173D">
        <w:rPr>
          <w:rFonts w:ascii="Tahoma" w:hAnsi="Tahoma" w:cs="Tahoma"/>
          <w:b/>
          <w:sz w:val="16"/>
          <w:szCs w:val="16"/>
        </w:rPr>
        <w:t xml:space="preserve"> </w:t>
      </w:r>
    </w:p>
    <w:p w14:paraId="0561DE8E" w14:textId="6BF2E113" w:rsidR="00597070" w:rsidRPr="00BD6D8D" w:rsidRDefault="00597070" w:rsidP="00597070">
      <w:pPr>
        <w:rPr>
          <w:rFonts w:ascii="Tahoma" w:hAnsi="Tahoma" w:cs="Tahoma"/>
          <w:sz w:val="16"/>
          <w:szCs w:val="16"/>
        </w:rPr>
      </w:pPr>
      <w:r w:rsidRPr="00BD6D8D">
        <w:rPr>
          <w:rFonts w:ascii="Tahoma" w:hAnsi="Tahoma" w:cs="Tahoma"/>
          <w:sz w:val="16"/>
          <w:szCs w:val="16"/>
        </w:rPr>
        <w:t xml:space="preserve">bankovní spojení: </w:t>
      </w:r>
      <w:r w:rsidR="0060173D" w:rsidRPr="00BD6D8D">
        <w:rPr>
          <w:rFonts w:ascii="Tahoma" w:hAnsi="Tahoma" w:cs="Tahoma"/>
          <w:sz w:val="16"/>
          <w:szCs w:val="16"/>
        </w:rPr>
        <w:tab/>
      </w:r>
      <w:r w:rsidR="0060173D" w:rsidRPr="00BD6D8D">
        <w:rPr>
          <w:rFonts w:ascii="Tahoma" w:hAnsi="Tahoma" w:cs="Tahoma"/>
          <w:sz w:val="16"/>
          <w:szCs w:val="16"/>
        </w:rPr>
        <w:tab/>
        <w:t>UniCredit Bank, a. s.</w:t>
      </w:r>
      <w:r w:rsidR="0060173D" w:rsidRPr="00BD6D8D" w:rsidDel="0060173D">
        <w:rPr>
          <w:rFonts w:ascii="Tahoma" w:hAnsi="Tahoma" w:cs="Tahoma"/>
          <w:b/>
          <w:sz w:val="16"/>
          <w:szCs w:val="16"/>
        </w:rPr>
        <w:t xml:space="preserve"> </w:t>
      </w:r>
    </w:p>
    <w:p w14:paraId="50A12780" w14:textId="004F07EB" w:rsidR="0060173D" w:rsidRPr="00BD6D8D" w:rsidRDefault="00597070" w:rsidP="002A4411">
      <w:pPr>
        <w:jc w:val="both"/>
        <w:rPr>
          <w:rFonts w:ascii="Tahoma" w:hAnsi="Tahoma" w:cs="Tahoma"/>
          <w:sz w:val="16"/>
          <w:szCs w:val="16"/>
        </w:rPr>
      </w:pPr>
      <w:r w:rsidRPr="00BD6D8D">
        <w:rPr>
          <w:rFonts w:ascii="Tahoma" w:hAnsi="Tahoma" w:cs="Tahoma"/>
          <w:sz w:val="16"/>
          <w:szCs w:val="16"/>
        </w:rPr>
        <w:t xml:space="preserve">číslo účtu: </w:t>
      </w:r>
      <w:r w:rsidR="0060173D" w:rsidRPr="00BD6D8D">
        <w:rPr>
          <w:rFonts w:ascii="Tahoma" w:hAnsi="Tahoma" w:cs="Tahoma"/>
          <w:sz w:val="16"/>
          <w:szCs w:val="16"/>
        </w:rPr>
        <w:tab/>
      </w:r>
      <w:r w:rsidR="0060173D" w:rsidRPr="00BD6D8D">
        <w:rPr>
          <w:rFonts w:ascii="Tahoma" w:hAnsi="Tahoma" w:cs="Tahoma"/>
          <w:sz w:val="16"/>
          <w:szCs w:val="16"/>
        </w:rPr>
        <w:tab/>
      </w:r>
      <w:r w:rsidR="0060173D" w:rsidRPr="00BD6D8D">
        <w:rPr>
          <w:rFonts w:ascii="Tahoma" w:eastAsia="Calibri" w:hAnsi="Tahoma" w:cs="Tahoma"/>
          <w:sz w:val="16"/>
          <w:szCs w:val="16"/>
        </w:rPr>
        <w:t>3278722001/2700</w:t>
      </w:r>
    </w:p>
    <w:p w14:paraId="34061273" w14:textId="60F1D6EC"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00016C6F">
        <w:rPr>
          <w:rFonts w:ascii="Tahoma" w:hAnsi="Tahoma" w:cs="Tahoma"/>
          <w:b/>
          <w:sz w:val="16"/>
          <w:szCs w:val="16"/>
        </w:rPr>
        <w:t>poskytovatel</w:t>
      </w:r>
      <w:r w:rsidR="00AB688F">
        <w:rPr>
          <w:rFonts w:ascii="Tahoma" w:hAnsi="Tahoma" w:cs="Tahoma"/>
          <w:b/>
          <w:sz w:val="16"/>
          <w:szCs w:val="16"/>
        </w:rPr>
        <w:t xml:space="preserve"> </w:t>
      </w:r>
      <w:r w:rsidRPr="001A2A81">
        <w:rPr>
          <w:rFonts w:ascii="Tahoma" w:hAnsi="Tahoma" w:cs="Tahoma"/>
          <w:sz w:val="16"/>
          <w:szCs w:val="16"/>
        </w:rPr>
        <w:t>na straně jedné (dále jen „</w:t>
      </w:r>
      <w:r w:rsidR="00016C6F">
        <w:rPr>
          <w:rFonts w:ascii="Tahoma" w:hAnsi="Tahoma" w:cs="Tahoma"/>
          <w:sz w:val="16"/>
          <w:szCs w:val="16"/>
        </w:rPr>
        <w:t>poskytovatel</w:t>
      </w:r>
      <w:r w:rsidRPr="001A2A81">
        <w:rPr>
          <w:rFonts w:ascii="Tahoma" w:hAnsi="Tahoma" w:cs="Tahoma"/>
          <w:sz w:val="16"/>
          <w:szCs w:val="16"/>
        </w:rPr>
        <w:t>“)</w:t>
      </w:r>
    </w:p>
    <w:p w14:paraId="67FEA5C2" w14:textId="77777777" w:rsidR="00597070" w:rsidRPr="001A2A81" w:rsidRDefault="00597070" w:rsidP="00597070">
      <w:pPr>
        <w:pStyle w:val="Nzev"/>
        <w:jc w:val="left"/>
        <w:rPr>
          <w:rFonts w:ascii="Tahoma" w:hAnsi="Tahoma" w:cs="Tahoma"/>
          <w:sz w:val="16"/>
          <w:szCs w:val="16"/>
        </w:rPr>
      </w:pPr>
    </w:p>
    <w:p w14:paraId="2F29F778"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a</w:t>
      </w:r>
    </w:p>
    <w:p w14:paraId="780770F6" w14:textId="77777777" w:rsidR="00597070" w:rsidRPr="001A2A81" w:rsidRDefault="00597070" w:rsidP="00597070">
      <w:pPr>
        <w:pStyle w:val="Nzev"/>
        <w:rPr>
          <w:rFonts w:ascii="Tahoma" w:hAnsi="Tahoma" w:cs="Tahoma"/>
          <w:sz w:val="16"/>
          <w:szCs w:val="16"/>
        </w:rPr>
      </w:pPr>
    </w:p>
    <w:p w14:paraId="50857A50" w14:textId="77777777" w:rsidR="00597070" w:rsidRPr="001A2A81" w:rsidRDefault="00597070" w:rsidP="00597070">
      <w:pPr>
        <w:jc w:val="both"/>
        <w:rPr>
          <w:rFonts w:ascii="Tahoma" w:hAnsi="Tahoma" w:cs="Tahoma"/>
          <w:sz w:val="16"/>
          <w:szCs w:val="16"/>
        </w:rPr>
      </w:pPr>
      <w:r w:rsidRPr="001A2A81">
        <w:rPr>
          <w:rFonts w:ascii="Tahoma" w:hAnsi="Tahoma" w:cs="Tahoma"/>
          <w:b/>
          <w:sz w:val="16"/>
          <w:szCs w:val="16"/>
        </w:rPr>
        <w:t>Všeobecná fakultní nemocnice v Praze</w:t>
      </w:r>
    </w:p>
    <w:p w14:paraId="2BB22D19"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se sídlem:</w:t>
      </w:r>
      <w:r w:rsidRPr="001A2A81">
        <w:rPr>
          <w:rFonts w:ascii="Tahoma" w:hAnsi="Tahoma" w:cs="Tahoma"/>
          <w:sz w:val="16"/>
          <w:szCs w:val="16"/>
        </w:rPr>
        <w:tab/>
      </w:r>
      <w:r w:rsidRPr="001A2A81">
        <w:rPr>
          <w:rFonts w:ascii="Tahoma" w:hAnsi="Tahoma" w:cs="Tahoma"/>
          <w:sz w:val="16"/>
          <w:szCs w:val="16"/>
        </w:rPr>
        <w:tab/>
        <w:t>U Nemocnice 499/2, 128 08 Praha 2</w:t>
      </w:r>
    </w:p>
    <w:p w14:paraId="6D78F058"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IČ: 000 64 165</w:t>
      </w:r>
      <w:r w:rsidRPr="001A2A81">
        <w:rPr>
          <w:rFonts w:ascii="Tahoma" w:hAnsi="Tahoma" w:cs="Tahoma"/>
          <w:sz w:val="16"/>
          <w:szCs w:val="16"/>
        </w:rPr>
        <w:tab/>
      </w:r>
      <w:r w:rsidRPr="001A2A81">
        <w:rPr>
          <w:rFonts w:ascii="Tahoma" w:hAnsi="Tahoma" w:cs="Tahoma"/>
          <w:sz w:val="16"/>
          <w:szCs w:val="16"/>
        </w:rPr>
        <w:tab/>
        <w:t>DIČ: CZ00064165</w:t>
      </w:r>
    </w:p>
    <w:p w14:paraId="53A95F1F" w14:textId="77777777" w:rsidR="00597070" w:rsidRPr="001A2A81" w:rsidRDefault="00597070" w:rsidP="00597070">
      <w:pPr>
        <w:widowControl w:val="0"/>
        <w:jc w:val="both"/>
        <w:outlineLvl w:val="0"/>
        <w:rPr>
          <w:rFonts w:ascii="Tahoma" w:hAnsi="Tahoma" w:cs="Tahoma"/>
          <w:sz w:val="16"/>
          <w:szCs w:val="16"/>
        </w:rPr>
      </w:pPr>
      <w:r w:rsidRPr="001A2A81">
        <w:rPr>
          <w:rFonts w:ascii="Tahoma" w:hAnsi="Tahoma" w:cs="Tahoma"/>
          <w:sz w:val="16"/>
          <w:szCs w:val="16"/>
        </w:rPr>
        <w:t>zastoupená:</w:t>
      </w:r>
      <w:r w:rsidRPr="001A2A81">
        <w:rPr>
          <w:rFonts w:ascii="Tahoma" w:hAnsi="Tahoma" w:cs="Tahoma"/>
          <w:sz w:val="16"/>
          <w:szCs w:val="16"/>
        </w:rPr>
        <w:tab/>
      </w:r>
      <w:r w:rsidRPr="001A2A81">
        <w:rPr>
          <w:rFonts w:ascii="Tahoma" w:hAnsi="Tahoma" w:cs="Tahoma"/>
          <w:sz w:val="16"/>
          <w:szCs w:val="16"/>
        </w:rPr>
        <w:tab/>
        <w:t>Mgr. Danou Juráskovou, Ph.D., MBA, ředitelkou</w:t>
      </w:r>
    </w:p>
    <w:p w14:paraId="23B30B8B" w14:textId="0E96E1A4" w:rsidR="00597070" w:rsidRPr="001A2A81" w:rsidRDefault="00597070" w:rsidP="00597070">
      <w:pPr>
        <w:jc w:val="both"/>
        <w:rPr>
          <w:rFonts w:ascii="Tahoma" w:hAnsi="Tahoma" w:cs="Tahoma"/>
          <w:sz w:val="16"/>
          <w:szCs w:val="16"/>
        </w:rPr>
      </w:pPr>
      <w:r w:rsidRPr="001A2A81">
        <w:rPr>
          <w:rFonts w:ascii="Tahoma" w:hAnsi="Tahoma" w:cs="Tahoma"/>
          <w:sz w:val="16"/>
          <w:szCs w:val="16"/>
        </w:rPr>
        <w:t>bankovní spojení:</w:t>
      </w:r>
      <w:r w:rsidRPr="001A2A81">
        <w:rPr>
          <w:rFonts w:ascii="Tahoma" w:hAnsi="Tahoma" w:cs="Tahoma"/>
          <w:sz w:val="16"/>
          <w:szCs w:val="16"/>
        </w:rPr>
        <w:tab/>
      </w:r>
      <w:r w:rsidRPr="001A2A81">
        <w:rPr>
          <w:rFonts w:ascii="Tahoma" w:hAnsi="Tahoma" w:cs="Tahoma"/>
          <w:sz w:val="16"/>
          <w:szCs w:val="16"/>
        </w:rPr>
        <w:tab/>
      </w:r>
      <w:r w:rsidR="007E67CB">
        <w:rPr>
          <w:rFonts w:ascii="Tahoma" w:hAnsi="Tahoma" w:cs="Tahoma"/>
          <w:sz w:val="16"/>
          <w:szCs w:val="16"/>
        </w:rPr>
        <w:t>ČNB</w:t>
      </w:r>
    </w:p>
    <w:p w14:paraId="26CEA0D3" w14:textId="72EF6FA0"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číslo účtu: </w:t>
      </w:r>
      <w:r w:rsidR="00052AA2">
        <w:rPr>
          <w:rFonts w:ascii="Tahoma" w:hAnsi="Tahoma" w:cs="Tahoma"/>
          <w:sz w:val="16"/>
          <w:szCs w:val="16"/>
        </w:rPr>
        <w:tab/>
      </w:r>
      <w:r w:rsidRPr="001A2A81">
        <w:rPr>
          <w:rFonts w:ascii="Tahoma" w:hAnsi="Tahoma" w:cs="Tahoma"/>
          <w:sz w:val="16"/>
          <w:szCs w:val="16"/>
        </w:rPr>
        <w:t>24035021/</w:t>
      </w:r>
      <w:r w:rsidR="007E67CB">
        <w:rPr>
          <w:rFonts w:ascii="Tahoma" w:hAnsi="Tahoma" w:cs="Tahoma"/>
          <w:sz w:val="16"/>
          <w:szCs w:val="16"/>
        </w:rPr>
        <w:t>0710</w:t>
      </w:r>
    </w:p>
    <w:p w14:paraId="5FFC8383" w14:textId="3172BD6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00AB688F">
        <w:rPr>
          <w:rFonts w:ascii="Tahoma" w:hAnsi="Tahoma" w:cs="Tahoma"/>
          <w:b/>
          <w:sz w:val="16"/>
          <w:szCs w:val="16"/>
        </w:rPr>
        <w:t>nabyvatel</w:t>
      </w:r>
      <w:r w:rsidRPr="001A2A81">
        <w:rPr>
          <w:rFonts w:ascii="Tahoma" w:hAnsi="Tahoma" w:cs="Tahoma"/>
          <w:b/>
          <w:sz w:val="16"/>
          <w:szCs w:val="16"/>
        </w:rPr>
        <w:t xml:space="preserve"> </w:t>
      </w:r>
      <w:r w:rsidR="00AB688F">
        <w:rPr>
          <w:rFonts w:ascii="Tahoma" w:hAnsi="Tahoma" w:cs="Tahoma"/>
          <w:sz w:val="16"/>
          <w:szCs w:val="16"/>
        </w:rPr>
        <w:t>na straně jedné (dál jen „nabyvatel</w:t>
      </w:r>
      <w:r w:rsidRPr="001A2A81">
        <w:rPr>
          <w:rFonts w:ascii="Tahoma" w:hAnsi="Tahoma" w:cs="Tahoma"/>
          <w:sz w:val="16"/>
          <w:szCs w:val="16"/>
        </w:rPr>
        <w:t>“)</w:t>
      </w:r>
    </w:p>
    <w:p w14:paraId="754E0FA7" w14:textId="77777777" w:rsidR="00597070" w:rsidRPr="001A2A81" w:rsidRDefault="00597070" w:rsidP="00597070">
      <w:pPr>
        <w:jc w:val="both"/>
        <w:rPr>
          <w:rFonts w:ascii="Tahoma" w:hAnsi="Tahoma" w:cs="Tahoma"/>
          <w:sz w:val="16"/>
          <w:szCs w:val="16"/>
        </w:rPr>
      </w:pPr>
    </w:p>
    <w:p w14:paraId="4EBB7C6B" w14:textId="77777777" w:rsidR="00597070" w:rsidRPr="001A2A81" w:rsidRDefault="00597070" w:rsidP="00597070">
      <w:pPr>
        <w:jc w:val="both"/>
        <w:rPr>
          <w:rFonts w:ascii="Tahoma" w:hAnsi="Tahoma" w:cs="Tahoma"/>
          <w:sz w:val="16"/>
          <w:szCs w:val="16"/>
        </w:rPr>
      </w:pPr>
    </w:p>
    <w:p w14:paraId="09A0ED5D" w14:textId="1FC2835E"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uzavírají dnešního dne na základě výsledku </w:t>
      </w:r>
      <w:r w:rsidRPr="001A2A81">
        <w:rPr>
          <w:rFonts w:ascii="Tahoma" w:hAnsi="Tahoma" w:cs="Tahoma"/>
          <w:b/>
          <w:sz w:val="16"/>
          <w:szCs w:val="16"/>
        </w:rPr>
        <w:t xml:space="preserve">veřejné zakázky malého rozsahu </w:t>
      </w:r>
      <w:r w:rsidRPr="001A2A81">
        <w:rPr>
          <w:rFonts w:ascii="Tahoma" w:hAnsi="Tahoma" w:cs="Tahoma"/>
          <w:sz w:val="16"/>
          <w:szCs w:val="16"/>
        </w:rPr>
        <w:t>s názvem „</w:t>
      </w:r>
      <w:r w:rsidR="00024373">
        <w:rPr>
          <w:rFonts w:ascii="Tahoma" w:hAnsi="Tahoma" w:cs="Tahoma"/>
          <w:b/>
          <w:sz w:val="16"/>
          <w:szCs w:val="16"/>
        </w:rPr>
        <w:t xml:space="preserve">Zajištění přístupu do databáze </w:t>
      </w:r>
      <w:r w:rsidR="0020091A">
        <w:rPr>
          <w:rFonts w:ascii="Tahoma" w:hAnsi="Tahoma" w:cs="Tahoma"/>
          <w:b/>
          <w:sz w:val="16"/>
          <w:szCs w:val="16"/>
        </w:rPr>
        <w:t xml:space="preserve">The </w:t>
      </w:r>
      <w:r w:rsidR="00024373">
        <w:rPr>
          <w:rFonts w:ascii="Tahoma" w:hAnsi="Tahoma" w:cs="Tahoma"/>
          <w:b/>
          <w:sz w:val="16"/>
          <w:szCs w:val="16"/>
        </w:rPr>
        <w:t>Human Gene Mutation Database Profes</w:t>
      </w:r>
      <w:r w:rsidR="00480845">
        <w:rPr>
          <w:rFonts w:ascii="Tahoma" w:hAnsi="Tahoma" w:cs="Tahoma"/>
          <w:b/>
          <w:sz w:val="16"/>
          <w:szCs w:val="16"/>
        </w:rPr>
        <w:t>s</w:t>
      </w:r>
      <w:r w:rsidR="00024373">
        <w:rPr>
          <w:rFonts w:ascii="Tahoma" w:hAnsi="Tahoma" w:cs="Tahoma"/>
          <w:b/>
          <w:sz w:val="16"/>
          <w:szCs w:val="16"/>
        </w:rPr>
        <w:t>ional</w:t>
      </w:r>
      <w:r w:rsidR="005F6B05">
        <w:rPr>
          <w:rFonts w:ascii="Tahoma" w:hAnsi="Tahoma" w:cs="Tahoma"/>
          <w:b/>
          <w:sz w:val="16"/>
          <w:szCs w:val="16"/>
        </w:rPr>
        <w:t xml:space="preserve"> výrobce QIAGEN</w:t>
      </w:r>
      <w:r w:rsidR="00024373">
        <w:rPr>
          <w:rFonts w:ascii="Tahoma" w:hAnsi="Tahoma" w:cs="Tahoma"/>
          <w:b/>
          <w:sz w:val="16"/>
          <w:szCs w:val="16"/>
        </w:rPr>
        <w:t xml:space="preserve"> (HGMD)</w:t>
      </w:r>
      <w:r w:rsidRPr="001A2A81">
        <w:rPr>
          <w:rFonts w:ascii="Tahoma" w:hAnsi="Tahoma" w:cs="Tahoma"/>
          <w:sz w:val="16"/>
          <w:szCs w:val="16"/>
        </w:rPr>
        <w:t xml:space="preserve">“, zadávané v otevřeném řízení (dále jen „veřejná zakázka“), v souladu s ustanovením </w:t>
      </w:r>
      <w:r w:rsidRPr="001A2A81">
        <w:rPr>
          <w:rFonts w:ascii="Tahoma" w:hAnsi="Tahoma" w:cs="Tahoma"/>
          <w:iCs/>
          <w:sz w:val="16"/>
          <w:szCs w:val="16"/>
        </w:rPr>
        <w:t xml:space="preserve">§ </w:t>
      </w:r>
      <w:r w:rsidR="00912855" w:rsidRPr="001A2A81">
        <w:rPr>
          <w:rFonts w:ascii="Tahoma" w:hAnsi="Tahoma" w:cs="Tahoma"/>
          <w:iCs/>
          <w:sz w:val="16"/>
          <w:szCs w:val="16"/>
        </w:rPr>
        <w:t>2358 a násl.</w:t>
      </w:r>
      <w:r w:rsidRPr="001A2A81">
        <w:rPr>
          <w:rFonts w:ascii="Tahoma" w:hAnsi="Tahoma" w:cs="Tahoma"/>
          <w:iCs/>
          <w:sz w:val="16"/>
          <w:szCs w:val="16"/>
        </w:rPr>
        <w:t>, zákona č. 89/2012 Sb., občanský zákoník</w:t>
      </w:r>
      <w:r w:rsidRPr="001A2A81">
        <w:rPr>
          <w:rFonts w:ascii="Tahoma" w:hAnsi="Tahoma" w:cs="Tahoma"/>
          <w:sz w:val="16"/>
          <w:szCs w:val="16"/>
        </w:rPr>
        <w:t>, v platném znění, (dále jen „zákon č. 89/2012 Sb.“), tuto</w:t>
      </w:r>
    </w:p>
    <w:p w14:paraId="7DBED01D" w14:textId="77777777" w:rsidR="00597070" w:rsidRPr="001A2A81" w:rsidRDefault="00597070" w:rsidP="00597070">
      <w:pPr>
        <w:rPr>
          <w:rFonts w:ascii="Tahoma" w:hAnsi="Tahoma" w:cs="Tahoma"/>
          <w:sz w:val="16"/>
          <w:szCs w:val="16"/>
        </w:rPr>
      </w:pPr>
    </w:p>
    <w:p w14:paraId="1C42E5BE" w14:textId="77777777" w:rsidR="00597070" w:rsidRPr="001A2A81" w:rsidRDefault="00597070" w:rsidP="00597070">
      <w:pPr>
        <w:rPr>
          <w:rFonts w:ascii="Tahoma" w:hAnsi="Tahoma" w:cs="Tahoma"/>
          <w:sz w:val="16"/>
          <w:szCs w:val="16"/>
        </w:rPr>
      </w:pPr>
    </w:p>
    <w:p w14:paraId="790922B3" w14:textId="77777777" w:rsidR="002A4411" w:rsidRDefault="0020091A" w:rsidP="00597070">
      <w:pPr>
        <w:jc w:val="center"/>
        <w:rPr>
          <w:rFonts w:ascii="Tahoma" w:hAnsi="Tahoma" w:cs="Tahoma"/>
          <w:b/>
          <w:sz w:val="16"/>
          <w:szCs w:val="16"/>
        </w:rPr>
      </w:pPr>
      <w:r>
        <w:rPr>
          <w:rFonts w:ascii="Tahoma" w:hAnsi="Tahoma" w:cs="Tahoma"/>
          <w:b/>
          <w:sz w:val="16"/>
          <w:szCs w:val="16"/>
        </w:rPr>
        <w:t xml:space="preserve">Licenční </w:t>
      </w:r>
      <w:r w:rsidR="00024373">
        <w:rPr>
          <w:rFonts w:ascii="Tahoma" w:hAnsi="Tahoma" w:cs="Tahoma"/>
          <w:b/>
          <w:sz w:val="16"/>
          <w:szCs w:val="16"/>
        </w:rPr>
        <w:t xml:space="preserve">smlouvu </w:t>
      </w:r>
    </w:p>
    <w:p w14:paraId="4D747194" w14:textId="789EA411" w:rsidR="00597070" w:rsidRPr="001A2A81" w:rsidRDefault="00597070" w:rsidP="00597070">
      <w:pPr>
        <w:jc w:val="center"/>
        <w:rPr>
          <w:rFonts w:ascii="Tahoma" w:hAnsi="Tahoma" w:cs="Tahoma"/>
          <w:b/>
          <w:sz w:val="16"/>
          <w:szCs w:val="16"/>
        </w:rPr>
      </w:pPr>
      <w:r w:rsidRPr="001A2A81">
        <w:rPr>
          <w:rFonts w:ascii="Tahoma" w:hAnsi="Tahoma" w:cs="Tahoma"/>
          <w:b/>
          <w:sz w:val="16"/>
          <w:szCs w:val="16"/>
        </w:rPr>
        <w:t>(dále jen smlouva)</w:t>
      </w:r>
    </w:p>
    <w:p w14:paraId="07362684" w14:textId="77777777" w:rsidR="00597070" w:rsidRPr="001A2A81" w:rsidRDefault="00597070" w:rsidP="00597070">
      <w:pPr>
        <w:widowControl w:val="0"/>
        <w:rPr>
          <w:rFonts w:ascii="Tahoma" w:hAnsi="Tahoma" w:cs="Tahoma"/>
          <w:b/>
          <w:spacing w:val="80"/>
          <w:sz w:val="16"/>
          <w:szCs w:val="16"/>
        </w:rPr>
      </w:pPr>
    </w:p>
    <w:p w14:paraId="43705112"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46E30571"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0E549B18" w14:textId="6CB5C48D" w:rsidR="00597070" w:rsidRDefault="00597070"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1A2A81">
        <w:rPr>
          <w:rFonts w:ascii="Tahoma" w:hAnsi="Tahoma" w:cs="Tahoma"/>
          <w:sz w:val="16"/>
          <w:szCs w:val="16"/>
        </w:rPr>
        <w:t>Předmětem této smlouvy je</w:t>
      </w:r>
      <w:r w:rsidR="00EF0EEB">
        <w:rPr>
          <w:rFonts w:ascii="Tahoma" w:hAnsi="Tahoma" w:cs="Tahoma"/>
          <w:sz w:val="16"/>
          <w:szCs w:val="16"/>
        </w:rPr>
        <w:t xml:space="preserve"> poskytnutí oprávnění k výkonu práva duševního vlastnictví (licenci), a to konkrétně k</w:t>
      </w:r>
      <w:r w:rsidR="00024373">
        <w:rPr>
          <w:rFonts w:ascii="Tahoma" w:hAnsi="Tahoma" w:cs="Tahoma"/>
          <w:sz w:val="16"/>
          <w:szCs w:val="16"/>
        </w:rPr>
        <w:t xml:space="preserve"> </w:t>
      </w:r>
      <w:r w:rsidR="0020091A">
        <w:rPr>
          <w:rFonts w:ascii="Tahoma" w:hAnsi="Tahoma" w:cs="Tahoma"/>
          <w:sz w:val="16"/>
          <w:szCs w:val="16"/>
        </w:rPr>
        <w:t xml:space="preserve">online </w:t>
      </w:r>
      <w:r w:rsidR="00EF0EEB">
        <w:rPr>
          <w:rFonts w:ascii="Tahoma" w:hAnsi="Tahoma" w:cs="Tahoma"/>
          <w:sz w:val="16"/>
          <w:szCs w:val="16"/>
        </w:rPr>
        <w:t>přístupu k</w:t>
      </w:r>
      <w:r w:rsidR="0020091A">
        <w:rPr>
          <w:rFonts w:ascii="Tahoma" w:hAnsi="Tahoma" w:cs="Tahoma"/>
          <w:sz w:val="16"/>
          <w:szCs w:val="16"/>
        </w:rPr>
        <w:t xml:space="preserve"> databázi </w:t>
      </w:r>
      <w:r w:rsidR="00024373">
        <w:rPr>
          <w:rFonts w:ascii="Tahoma" w:hAnsi="Tahoma" w:cs="Tahoma"/>
          <w:sz w:val="16"/>
          <w:szCs w:val="16"/>
        </w:rPr>
        <w:t>HGMD</w:t>
      </w:r>
      <w:r w:rsidR="00AB688F">
        <w:rPr>
          <w:rFonts w:ascii="Tahoma" w:hAnsi="Tahoma" w:cs="Tahoma"/>
          <w:sz w:val="16"/>
          <w:szCs w:val="16"/>
        </w:rPr>
        <w:t xml:space="preserve"> (dále jen „</w:t>
      </w:r>
      <w:r w:rsidR="00226C17">
        <w:rPr>
          <w:rFonts w:ascii="Tahoma" w:hAnsi="Tahoma" w:cs="Tahoma"/>
          <w:sz w:val="16"/>
          <w:szCs w:val="16"/>
        </w:rPr>
        <w:t xml:space="preserve">SW </w:t>
      </w:r>
      <w:r w:rsidR="00AB688F">
        <w:rPr>
          <w:rFonts w:ascii="Tahoma" w:hAnsi="Tahoma" w:cs="Tahoma"/>
          <w:sz w:val="16"/>
          <w:szCs w:val="16"/>
        </w:rPr>
        <w:t>produkt“</w:t>
      </w:r>
      <w:r w:rsidR="008E1103">
        <w:rPr>
          <w:rFonts w:ascii="Tahoma" w:hAnsi="Tahoma" w:cs="Tahoma"/>
          <w:sz w:val="16"/>
          <w:szCs w:val="16"/>
        </w:rPr>
        <w:t>)</w:t>
      </w:r>
      <w:r w:rsidR="00554679">
        <w:rPr>
          <w:rFonts w:ascii="Tahoma" w:hAnsi="Tahoma" w:cs="Tahoma"/>
          <w:sz w:val="16"/>
          <w:szCs w:val="16"/>
        </w:rPr>
        <w:t xml:space="preserve"> pro 5 uživatelů </w:t>
      </w:r>
      <w:r w:rsidR="008E1103">
        <w:rPr>
          <w:rFonts w:ascii="Tahoma" w:hAnsi="Tahoma" w:cs="Tahoma"/>
          <w:sz w:val="16"/>
          <w:szCs w:val="16"/>
        </w:rPr>
        <w:t>nabyvatel</w:t>
      </w:r>
      <w:r w:rsidR="00554679">
        <w:rPr>
          <w:rFonts w:ascii="Tahoma" w:hAnsi="Tahoma" w:cs="Tahoma"/>
          <w:sz w:val="16"/>
          <w:szCs w:val="16"/>
        </w:rPr>
        <w:t>e</w:t>
      </w:r>
      <w:r w:rsidR="00016C6F">
        <w:rPr>
          <w:rFonts w:ascii="Tahoma" w:hAnsi="Tahoma" w:cs="Tahoma"/>
          <w:sz w:val="16"/>
          <w:szCs w:val="16"/>
        </w:rPr>
        <w:t xml:space="preserve"> n</w:t>
      </w:r>
      <w:r w:rsidR="00AB688F">
        <w:rPr>
          <w:rFonts w:ascii="Tahoma" w:hAnsi="Tahoma" w:cs="Tahoma"/>
          <w:sz w:val="16"/>
          <w:szCs w:val="16"/>
        </w:rPr>
        <w:t xml:space="preserve">a dvanáctiměsíční období počínaje datem prokazatelného zpřístupnění produktu nabyvateli. </w:t>
      </w:r>
    </w:p>
    <w:p w14:paraId="0D1D8FFA" w14:textId="196D61E6" w:rsidR="00AB688F" w:rsidRPr="00844AF7" w:rsidRDefault="005F6B05"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w:t>
      </w:r>
      <w:r w:rsidR="00AB688F">
        <w:rPr>
          <w:rFonts w:ascii="Tahoma" w:hAnsi="Tahoma" w:cs="Tahoma"/>
          <w:sz w:val="16"/>
          <w:szCs w:val="16"/>
        </w:rPr>
        <w:t xml:space="preserve">je smluvním partnerem </w:t>
      </w:r>
      <w:r>
        <w:rPr>
          <w:rFonts w:ascii="Tahoma" w:hAnsi="Tahoma" w:cs="Tahoma"/>
          <w:sz w:val="16"/>
          <w:szCs w:val="16"/>
        </w:rPr>
        <w:t xml:space="preserve">výrobce QIAGEN  </w:t>
      </w:r>
      <w:r w:rsidR="008E1103">
        <w:rPr>
          <w:rFonts w:ascii="Tahoma" w:hAnsi="Tahoma" w:cs="Tahoma"/>
          <w:sz w:val="16"/>
          <w:szCs w:val="16"/>
        </w:rPr>
        <w:t>a zároveň jeh</w:t>
      </w:r>
      <w:r>
        <w:rPr>
          <w:rFonts w:ascii="Tahoma" w:hAnsi="Tahoma" w:cs="Tahoma"/>
          <w:sz w:val="16"/>
          <w:szCs w:val="16"/>
        </w:rPr>
        <w:t>o</w:t>
      </w:r>
      <w:r w:rsidR="008E1103">
        <w:rPr>
          <w:rFonts w:ascii="Tahoma" w:hAnsi="Tahoma" w:cs="Tahoma"/>
          <w:sz w:val="16"/>
          <w:szCs w:val="16"/>
        </w:rPr>
        <w:t xml:space="preserve"> oprávněným autorizovaným distributorem, který</w:t>
      </w:r>
      <w:r w:rsidR="005567F4">
        <w:rPr>
          <w:rFonts w:ascii="Tahoma" w:hAnsi="Tahoma" w:cs="Tahoma"/>
          <w:sz w:val="16"/>
          <w:szCs w:val="16"/>
        </w:rPr>
        <w:t xml:space="preserve"> je oprávněn dodat tyto licence k</w:t>
      </w:r>
      <w:r w:rsidR="00226C17">
        <w:rPr>
          <w:rFonts w:ascii="Tahoma" w:hAnsi="Tahoma" w:cs="Tahoma"/>
          <w:sz w:val="16"/>
          <w:szCs w:val="16"/>
        </w:rPr>
        <w:t xml:space="preserve"> SW</w:t>
      </w:r>
      <w:r w:rsidR="005567F4">
        <w:rPr>
          <w:rFonts w:ascii="Tahoma" w:hAnsi="Tahoma" w:cs="Tahoma"/>
          <w:sz w:val="16"/>
          <w:szCs w:val="16"/>
        </w:rPr>
        <w:t xml:space="preserve"> produktům v ČR. </w:t>
      </w:r>
    </w:p>
    <w:p w14:paraId="380CAA55" w14:textId="77777777" w:rsidR="00AB688F" w:rsidRPr="001A2A81" w:rsidRDefault="00AB688F" w:rsidP="00597070">
      <w:pPr>
        <w:widowControl w:val="0"/>
        <w:jc w:val="center"/>
        <w:outlineLvl w:val="0"/>
        <w:rPr>
          <w:rFonts w:ascii="Tahoma" w:hAnsi="Tahoma" w:cs="Tahoma"/>
          <w:b/>
          <w:snapToGrid w:val="0"/>
          <w:sz w:val="16"/>
          <w:szCs w:val="16"/>
        </w:rPr>
      </w:pPr>
    </w:p>
    <w:p w14:paraId="7F939558"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5BD54016"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4793B343" w14:textId="522A8A18" w:rsidR="005245F0" w:rsidRPr="005245F0" w:rsidRDefault="005245F0" w:rsidP="005245F0">
      <w:pPr>
        <w:numPr>
          <w:ilvl w:val="0"/>
          <w:numId w:val="10"/>
        </w:numPr>
        <w:tabs>
          <w:tab w:val="clear" w:pos="720"/>
          <w:tab w:val="num" w:pos="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45F0">
        <w:rPr>
          <w:rFonts w:ascii="Tahoma" w:hAnsi="Tahoma" w:cs="Tahoma"/>
          <w:sz w:val="16"/>
          <w:szCs w:val="16"/>
        </w:rPr>
        <w:t xml:space="preserve">Poskytovatel se zavazuje poskytnout veškeré podklady a informace potřebné k výkonu licence (zejména licenční kódy) nejpozději do </w:t>
      </w:r>
      <w:r>
        <w:rPr>
          <w:rFonts w:ascii="Tahoma" w:hAnsi="Tahoma" w:cs="Tahoma"/>
          <w:sz w:val="16"/>
          <w:szCs w:val="16"/>
        </w:rPr>
        <w:t>14 dní od</w:t>
      </w:r>
      <w:r w:rsidR="005E6D2D">
        <w:rPr>
          <w:rFonts w:ascii="Tahoma" w:hAnsi="Tahoma" w:cs="Tahoma"/>
          <w:sz w:val="16"/>
          <w:szCs w:val="16"/>
        </w:rPr>
        <w:t>e dne účinnosti</w:t>
      </w:r>
      <w:r>
        <w:rPr>
          <w:rFonts w:ascii="Tahoma" w:hAnsi="Tahoma" w:cs="Tahoma"/>
          <w:sz w:val="16"/>
          <w:szCs w:val="16"/>
        </w:rPr>
        <w:t xml:space="preserve"> této smlouvy.</w:t>
      </w:r>
    </w:p>
    <w:p w14:paraId="7BAD3A18" w14:textId="77777777" w:rsidR="00F23569" w:rsidRPr="001A2A81" w:rsidRDefault="00F23569" w:rsidP="00F23569">
      <w:pPr>
        <w:widowControl w:val="0"/>
        <w:ind w:left="397"/>
        <w:jc w:val="both"/>
        <w:rPr>
          <w:rFonts w:ascii="Tahoma" w:hAnsi="Tahoma" w:cs="Tahoma"/>
          <w:snapToGrid w:val="0"/>
          <w:sz w:val="16"/>
          <w:szCs w:val="16"/>
        </w:rPr>
      </w:pPr>
    </w:p>
    <w:p w14:paraId="64B0C7B1"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6CE9AB70"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Licence k software</w:t>
      </w:r>
    </w:p>
    <w:p w14:paraId="5054B3DB" w14:textId="1A009228"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226C17">
        <w:rPr>
          <w:rFonts w:ascii="Tahoma" w:eastAsia="Helvetica" w:hAnsi="Tahoma" w:cs="Tahoma"/>
          <w:color w:val="000000"/>
          <w:sz w:val="16"/>
          <w:szCs w:val="16"/>
        </w:rPr>
        <w:t>SW produkt</w:t>
      </w:r>
      <w:r w:rsidRPr="001A2A81">
        <w:rPr>
          <w:rFonts w:ascii="Tahoma" w:eastAsia="Helvetica" w:hAnsi="Tahoma" w:cs="Tahoma"/>
          <w:color w:val="000000"/>
          <w:sz w:val="16"/>
          <w:szCs w:val="16"/>
        </w:rPr>
        <w:t xml:space="preserve"> užít pouze k účelu vyplývajícímu z licenční smlouvy a v souladu s určením </w:t>
      </w:r>
      <w:r w:rsidR="00226C17">
        <w:rPr>
          <w:rFonts w:ascii="Tahoma" w:eastAsia="Helvetica" w:hAnsi="Tahoma" w:cs="Tahoma"/>
          <w:color w:val="000000"/>
          <w:sz w:val="16"/>
          <w:szCs w:val="16"/>
        </w:rPr>
        <w:t>SW produktu</w:t>
      </w:r>
      <w:r w:rsidRPr="001A2A81">
        <w:rPr>
          <w:rFonts w:ascii="Tahoma" w:eastAsia="Helvetica" w:hAnsi="Tahoma" w:cs="Tahoma"/>
          <w:color w:val="000000"/>
          <w:sz w:val="16"/>
          <w:szCs w:val="16"/>
        </w:rPr>
        <w:t>.</w:t>
      </w:r>
    </w:p>
    <w:p w14:paraId="5C84B47F"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(patches), aktualizací (updates), vylepšení (upgrades) či jiných změn software ze strany poskytovatele je licence poskytnuta i k takto změněnému software.</w:t>
      </w:r>
    </w:p>
    <w:p w14:paraId="6A0D411A"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198781E7"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7E8F2D44"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55C88C4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09BB56E5"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73013866" w14:textId="77777777" w:rsidR="00597070" w:rsidRPr="001A2A81"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10DD9D84" w14:textId="79252FC2" w:rsidR="00597070" w:rsidRPr="00BD6D8D" w:rsidRDefault="00597070" w:rsidP="00597070">
      <w:pPr>
        <w:widowControl w:val="0"/>
        <w:tabs>
          <w:tab w:val="num" w:pos="360"/>
        </w:tabs>
        <w:ind w:left="360" w:firstLine="360"/>
        <w:rPr>
          <w:rFonts w:ascii="Tahoma" w:hAnsi="Tahoma" w:cs="Tahoma"/>
          <w:b/>
          <w:snapToGrid w:val="0"/>
          <w:sz w:val="16"/>
          <w:szCs w:val="16"/>
        </w:rPr>
      </w:pPr>
      <w:r w:rsidRPr="001A2A81">
        <w:rPr>
          <w:rFonts w:ascii="Tahoma" w:hAnsi="Tahoma" w:cs="Tahoma"/>
          <w:b/>
          <w:snapToGrid w:val="0"/>
          <w:sz w:val="16"/>
          <w:szCs w:val="16"/>
        </w:rPr>
        <w:t>Cena bez DPH</w:t>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00BA6194">
        <w:rPr>
          <w:rFonts w:ascii="Tahoma" w:hAnsi="Tahoma" w:cs="Tahoma"/>
          <w:b/>
          <w:snapToGrid w:val="0"/>
          <w:sz w:val="16"/>
          <w:szCs w:val="16"/>
        </w:rPr>
        <w:t>248</w:t>
      </w:r>
      <w:r w:rsidR="00E13546">
        <w:rPr>
          <w:rFonts w:ascii="Tahoma" w:hAnsi="Tahoma" w:cs="Tahoma"/>
          <w:b/>
          <w:snapToGrid w:val="0"/>
          <w:sz w:val="16"/>
          <w:szCs w:val="16"/>
        </w:rPr>
        <w:t> </w:t>
      </w:r>
      <w:r w:rsidR="00BA6194">
        <w:rPr>
          <w:rFonts w:ascii="Tahoma" w:hAnsi="Tahoma" w:cs="Tahoma"/>
          <w:b/>
          <w:snapToGrid w:val="0"/>
          <w:sz w:val="16"/>
          <w:szCs w:val="16"/>
        </w:rPr>
        <w:t>427</w:t>
      </w:r>
      <w:r w:rsidR="00E13546">
        <w:rPr>
          <w:rFonts w:ascii="Tahoma" w:hAnsi="Tahoma" w:cs="Tahoma"/>
          <w:b/>
          <w:snapToGrid w:val="0"/>
          <w:sz w:val="16"/>
          <w:szCs w:val="16"/>
        </w:rPr>
        <w:t>,00</w:t>
      </w:r>
      <w:r w:rsidRPr="00BD6D8D">
        <w:rPr>
          <w:rFonts w:ascii="Tahoma" w:hAnsi="Tahoma" w:cs="Tahoma"/>
          <w:b/>
          <w:snapToGrid w:val="0"/>
          <w:sz w:val="16"/>
          <w:szCs w:val="16"/>
        </w:rPr>
        <w:t xml:space="preserve"> Kč</w:t>
      </w:r>
    </w:p>
    <w:p w14:paraId="20F07931" w14:textId="22A617D2" w:rsidR="00597070" w:rsidRPr="00BD6D8D"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00B57119">
        <w:rPr>
          <w:rFonts w:ascii="Tahoma" w:hAnsi="Tahoma" w:cs="Tahoma"/>
          <w:b/>
          <w:snapToGrid w:val="0"/>
          <w:sz w:val="16"/>
          <w:szCs w:val="16"/>
        </w:rPr>
        <w:t>52 170,00</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44661508" w14:textId="58EC8DF5" w:rsidR="00597070" w:rsidRPr="001A2A81"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Cena vč. 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00E13546">
        <w:rPr>
          <w:rFonts w:ascii="Tahoma" w:hAnsi="Tahoma" w:cs="Tahoma"/>
          <w:b/>
          <w:snapToGrid w:val="0"/>
          <w:sz w:val="16"/>
          <w:szCs w:val="16"/>
        </w:rPr>
        <w:t>300 597,00</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1B41B1A5" w14:textId="77777777" w:rsidR="00597070" w:rsidRPr="001A2A81" w:rsidRDefault="00597070" w:rsidP="00597070">
      <w:pPr>
        <w:widowControl w:val="0"/>
        <w:tabs>
          <w:tab w:val="num" w:pos="360"/>
        </w:tabs>
        <w:ind w:left="360" w:firstLine="360"/>
        <w:rPr>
          <w:rFonts w:ascii="Tahoma" w:hAnsi="Tahoma" w:cs="Tahoma"/>
          <w:snapToGrid w:val="0"/>
          <w:sz w:val="16"/>
          <w:szCs w:val="16"/>
        </w:rPr>
      </w:pPr>
      <w:r w:rsidRPr="001A2A81">
        <w:rPr>
          <w:rFonts w:ascii="Tahoma" w:hAnsi="Tahoma" w:cs="Tahoma"/>
          <w:snapToGrid w:val="0"/>
          <w:sz w:val="16"/>
          <w:szCs w:val="16"/>
        </w:rPr>
        <w:t>(dále jen „cena“)</w:t>
      </w:r>
    </w:p>
    <w:p w14:paraId="4248C355" w14:textId="77777777" w:rsidR="00597070" w:rsidRPr="001A2A81" w:rsidRDefault="00597070" w:rsidP="00597070">
      <w:pPr>
        <w:widowControl w:val="0"/>
        <w:numPr>
          <w:ilvl w:val="0"/>
          <w:numId w:val="8"/>
        </w:numPr>
        <w:tabs>
          <w:tab w:val="clear" w:pos="720"/>
          <w:tab w:val="num" w:pos="360"/>
        </w:tabs>
        <w:ind w:left="360"/>
        <w:jc w:val="both"/>
        <w:outlineLvl w:val="0"/>
        <w:rPr>
          <w:rFonts w:ascii="Tahoma" w:hAnsi="Tahoma" w:cs="Tahoma"/>
          <w:sz w:val="16"/>
          <w:szCs w:val="16"/>
        </w:rPr>
      </w:pPr>
      <w:r w:rsidRPr="001A2A81">
        <w:rPr>
          <w:rFonts w:ascii="Tahoma" w:hAnsi="Tahoma" w:cs="Tahoma"/>
          <w:sz w:val="16"/>
          <w:szCs w:val="16"/>
        </w:rPr>
        <w:t xml:space="preserve">Cena uvedená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w:t>
      </w:r>
      <w:r w:rsidRPr="001A2A81">
        <w:rPr>
          <w:rFonts w:ascii="Tahoma" w:hAnsi="Tahoma" w:cs="Tahoma"/>
          <w:snapToGrid w:val="0"/>
          <w:sz w:val="16"/>
          <w:szCs w:val="16"/>
        </w:rPr>
        <w:t>DPH bude účtována ve výši platné při vystavení účetního dokladu.</w:t>
      </w:r>
    </w:p>
    <w:p w14:paraId="25E6BFD2" w14:textId="6C332CD0" w:rsidR="00597070" w:rsidRDefault="00597070" w:rsidP="00597070">
      <w:pPr>
        <w:widowControl w:val="0"/>
        <w:ind w:left="360"/>
        <w:jc w:val="both"/>
        <w:outlineLvl w:val="0"/>
        <w:rPr>
          <w:rFonts w:ascii="Tahoma" w:hAnsi="Tahoma" w:cs="Tahoma"/>
          <w:sz w:val="16"/>
          <w:szCs w:val="16"/>
        </w:rPr>
      </w:pPr>
    </w:p>
    <w:p w14:paraId="2ADA4EE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1412F760"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36A8DB78" w14:textId="77777777" w:rsidR="00597070" w:rsidRPr="001A2A81" w:rsidRDefault="00597070" w:rsidP="008838E2">
      <w:pPr>
        <w:widowControl w:val="0"/>
        <w:numPr>
          <w:ilvl w:val="0"/>
          <w:numId w:val="18"/>
        </w:numPr>
        <w:ind w:left="426" w:hanging="426"/>
        <w:jc w:val="both"/>
        <w:outlineLvl w:val="0"/>
        <w:rPr>
          <w:rFonts w:ascii="Tahoma" w:hAnsi="Tahoma" w:cs="Tahoma"/>
          <w:sz w:val="16"/>
          <w:szCs w:val="16"/>
        </w:rPr>
      </w:pPr>
      <w:r w:rsidRPr="001A2A81">
        <w:rPr>
          <w:rFonts w:ascii="Tahoma" w:hAnsi="Tahoma" w:cs="Tahoma"/>
          <w:sz w:val="16"/>
          <w:szCs w:val="16"/>
        </w:rPr>
        <w:t xml:space="preserve">Nabyvatel nebude poskytovat zálohy. </w:t>
      </w:r>
    </w:p>
    <w:p w14:paraId="06F849E9" w14:textId="24BAADB0" w:rsidR="00597070" w:rsidRPr="001A2A81" w:rsidRDefault="00597070" w:rsidP="008838E2">
      <w:pPr>
        <w:pStyle w:val="Zkladntext"/>
        <w:widowControl/>
        <w:numPr>
          <w:ilvl w:val="0"/>
          <w:numId w:val="18"/>
        </w:numPr>
        <w:autoSpaceDE/>
        <w:autoSpaceDN/>
        <w:ind w:left="426" w:hanging="426"/>
        <w:rPr>
          <w:rFonts w:ascii="Tahoma" w:hAnsi="Tahoma" w:cs="Tahoma"/>
          <w:sz w:val="16"/>
          <w:szCs w:val="16"/>
        </w:rPr>
      </w:pPr>
      <w:r w:rsidRPr="001A2A81">
        <w:rPr>
          <w:rFonts w:ascii="Tahoma" w:hAnsi="Tahoma" w:cs="Tahoma"/>
          <w:sz w:val="16"/>
          <w:szCs w:val="16"/>
        </w:rPr>
        <w:t xml:space="preserve">Nabyvatel se zavazuje zaplatit sjednanou cenu na základě faktury vystavené poskytovatelem do 14ti dnů po řádném předání a převzetí předmětu plnění v celém jeho rozsahu dle podmínek uvedených v této smlouvě. Splatnost faktury činí </w:t>
      </w:r>
      <w:r w:rsidR="00016C6F">
        <w:rPr>
          <w:rFonts w:ascii="Tahoma" w:hAnsi="Tahoma" w:cs="Tahoma"/>
          <w:sz w:val="16"/>
          <w:szCs w:val="16"/>
        </w:rPr>
        <w:t>14</w:t>
      </w:r>
      <w:r w:rsidRPr="001A2A81">
        <w:rPr>
          <w:rFonts w:ascii="Tahoma" w:hAnsi="Tahoma" w:cs="Tahoma"/>
          <w:sz w:val="16"/>
          <w:szCs w:val="16"/>
        </w:rPr>
        <w:t xml:space="preserve"> dnů od jejího doručení nabyvateli. Faktura může být zaslána elektronicky ve formátu PDF nebo ISDOC na e-mailovou adresu: </w:t>
      </w:r>
      <w:hyperlink r:id="rId12" w:history="1">
        <w:r w:rsidRPr="001A2A81">
          <w:rPr>
            <w:rStyle w:val="Hypertextovodkaz"/>
            <w:rFonts w:ascii="Tahoma" w:hAnsi="Tahoma" w:cs="Tahoma"/>
            <w:sz w:val="16"/>
            <w:szCs w:val="16"/>
          </w:rPr>
          <w:t>faktury@vfn.cz</w:t>
        </w:r>
      </w:hyperlink>
      <w:r w:rsidRPr="001A2A81">
        <w:rPr>
          <w:rFonts w:ascii="Tahoma" w:hAnsi="Tahoma" w:cs="Tahoma"/>
          <w:sz w:val="16"/>
          <w:szCs w:val="16"/>
        </w:rPr>
        <w:t xml:space="preserve"> nebo zaslána poštou ve dvou vyhotoveních na Ekonomický úsek nabyvatele, odbor účetnictví. K faktuře bude přiložena kopie řádně opatřeného </w:t>
      </w:r>
      <w:r w:rsidR="00016C6F">
        <w:rPr>
          <w:rFonts w:ascii="Tahoma" w:hAnsi="Tahoma" w:cs="Tahoma"/>
          <w:sz w:val="16"/>
          <w:szCs w:val="16"/>
        </w:rPr>
        <w:t>předávacího</w:t>
      </w:r>
      <w:r w:rsidRPr="001A2A81">
        <w:rPr>
          <w:rFonts w:ascii="Tahoma" w:hAnsi="Tahoma" w:cs="Tahoma"/>
          <w:sz w:val="16"/>
          <w:szCs w:val="16"/>
        </w:rPr>
        <w:t xml:space="preserve"> protokolu způsobem sjednaným níže. V případě zaslání faktury elektronicky bude </w:t>
      </w:r>
      <w:r w:rsidR="00016C6F">
        <w:rPr>
          <w:rFonts w:ascii="Tahoma" w:hAnsi="Tahoma" w:cs="Tahoma"/>
          <w:sz w:val="16"/>
          <w:szCs w:val="16"/>
        </w:rPr>
        <w:t>předávací</w:t>
      </w:r>
      <w:r w:rsidRPr="001A2A81">
        <w:rPr>
          <w:rFonts w:ascii="Tahoma" w:hAnsi="Tahoma" w:cs="Tahoma"/>
          <w:sz w:val="16"/>
          <w:szCs w:val="16"/>
        </w:rPr>
        <w:t xml:space="preserve"> protokol přiložen v neskenované podobě.</w:t>
      </w:r>
    </w:p>
    <w:p w14:paraId="4D73EDBB"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Poskytovatel se touto smlouvou zavazuje, že jím vystavená faktura bude obsahovat všechny náležitosti řádného daňového dokladu dle platné právní úpravy.</w:t>
      </w:r>
    </w:p>
    <w:p w14:paraId="73740210"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44800591" w14:textId="77777777" w:rsidR="00597070" w:rsidRPr="001A2A81" w:rsidRDefault="00597070" w:rsidP="008838E2">
      <w:pPr>
        <w:pStyle w:val="Zkladntextodsazen3"/>
        <w:numPr>
          <w:ilvl w:val="0"/>
          <w:numId w:val="18"/>
        </w:numPr>
        <w:autoSpaceDE/>
        <w:autoSpaceDN/>
        <w:spacing w:after="0"/>
        <w:ind w:left="426" w:hanging="426"/>
        <w:jc w:val="both"/>
        <w:rPr>
          <w:rFonts w:ascii="Tahoma" w:hAnsi="Tahoma" w:cs="Tahoma"/>
        </w:rPr>
      </w:pPr>
      <w:r w:rsidRPr="001A2A81">
        <w:rPr>
          <w:rFonts w:ascii="Tahoma" w:hAnsi="Tahoma" w:cs="Tahoma"/>
        </w:rPr>
        <w:t xml:space="preserve">Platby budou probíhat výhradně v CZK. </w:t>
      </w:r>
    </w:p>
    <w:p w14:paraId="7E6258EC" w14:textId="77777777" w:rsidR="00597070" w:rsidRPr="001A2A81" w:rsidRDefault="00597070" w:rsidP="00597070">
      <w:pPr>
        <w:widowControl w:val="0"/>
        <w:jc w:val="center"/>
        <w:outlineLvl w:val="0"/>
        <w:rPr>
          <w:rFonts w:ascii="Tahoma" w:hAnsi="Tahoma" w:cs="Tahoma"/>
          <w:b/>
          <w:snapToGrid w:val="0"/>
          <w:sz w:val="16"/>
          <w:szCs w:val="16"/>
        </w:rPr>
      </w:pPr>
    </w:p>
    <w:p w14:paraId="1DFA605B"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94F3809"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266C6F4A" w14:textId="77777777" w:rsidR="005245F0" w:rsidRPr="001A2A81" w:rsidRDefault="005245F0" w:rsidP="005245F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nabyvateli </w:t>
      </w:r>
      <w:r>
        <w:rPr>
          <w:rFonts w:ascii="Tahoma" w:eastAsia="Helvetica" w:hAnsi="Tahoma" w:cs="Tahoma"/>
          <w:color w:val="000000"/>
          <w:sz w:val="16"/>
          <w:szCs w:val="16"/>
        </w:rPr>
        <w:t>veškeré podklady a informace potřebné k výkonu licence, a to zejména licenční kódy a příslušnou dokumentaci.</w:t>
      </w:r>
    </w:p>
    <w:p w14:paraId="448D0CDC" w14:textId="2896DCE2" w:rsidR="000772D9" w:rsidRPr="000772D9" w:rsidRDefault="00597070" w:rsidP="00E26703">
      <w:pPr>
        <w:numPr>
          <w:ilvl w:val="0"/>
          <w:numId w:val="2"/>
        </w:numPr>
        <w:autoSpaceDE/>
        <w:autoSpaceDN/>
        <w:jc w:val="both"/>
        <w:rPr>
          <w:rFonts w:ascii="Tahoma" w:eastAsia="Helvetica" w:hAnsi="Tahoma" w:cs="Tahoma"/>
          <w:color w:val="000000"/>
          <w:sz w:val="16"/>
          <w:szCs w:val="16"/>
        </w:rPr>
      </w:pPr>
      <w:r w:rsidRPr="000772D9">
        <w:rPr>
          <w:rFonts w:ascii="Tahoma" w:hAnsi="Tahoma" w:cs="Tahoma"/>
          <w:sz w:val="16"/>
          <w:szCs w:val="16"/>
        </w:rPr>
        <w:t>Kontaktní osobou a odpovědným zaměstnancem nabyvatele je pro účely této smlouvy určen</w:t>
      </w:r>
      <w:r w:rsidR="00BD6D8D" w:rsidRPr="000772D9">
        <w:rPr>
          <w:rFonts w:ascii="Tahoma" w:hAnsi="Tahoma" w:cs="Tahoma"/>
          <w:sz w:val="16"/>
          <w:szCs w:val="16"/>
        </w:rPr>
        <w:t xml:space="preserve"> </w:t>
      </w:r>
      <w:r w:rsidR="00AE0EF3">
        <w:rPr>
          <w:rFonts w:ascii="Tahoma" w:hAnsi="Tahoma" w:cs="Tahoma"/>
          <w:sz w:val="16"/>
          <w:szCs w:val="16"/>
        </w:rPr>
        <w:t>xxxxxxxxxxxxxx</w:t>
      </w:r>
      <w:r w:rsidR="00BD6D8D" w:rsidRPr="000772D9">
        <w:rPr>
          <w:rFonts w:ascii="Tahoma" w:hAnsi="Tahoma" w:cs="Tahoma"/>
          <w:sz w:val="16"/>
          <w:szCs w:val="16"/>
        </w:rPr>
        <w:t>,</w:t>
      </w:r>
      <w:r w:rsidRPr="000772D9">
        <w:rPr>
          <w:rFonts w:ascii="Tahoma" w:hAnsi="Tahoma" w:cs="Tahoma"/>
          <w:sz w:val="16"/>
          <w:szCs w:val="16"/>
        </w:rPr>
        <w:t xml:space="preserve"> </w:t>
      </w:r>
      <w:r w:rsidRPr="000B1C90">
        <w:rPr>
          <w:rFonts w:ascii="Tahoma" w:hAnsi="Tahoma" w:cs="Tahoma"/>
          <w:sz w:val="16"/>
          <w:szCs w:val="16"/>
        </w:rPr>
        <w:t>tel.:</w:t>
      </w:r>
      <w:r w:rsidR="00BD6D8D" w:rsidRPr="000B1C90">
        <w:rPr>
          <w:rFonts w:ascii="Tahoma" w:hAnsi="Tahoma" w:cs="Tahoma"/>
          <w:sz w:val="16"/>
          <w:szCs w:val="16"/>
        </w:rPr>
        <w:t xml:space="preserve"> </w:t>
      </w:r>
      <w:r w:rsidR="00AE0EF3">
        <w:rPr>
          <w:rFonts w:ascii="Tahoma" w:hAnsi="Tahoma" w:cs="Tahoma"/>
          <w:sz w:val="16"/>
          <w:szCs w:val="16"/>
        </w:rPr>
        <w:t>xxxxxxxxxxxxxx</w:t>
      </w:r>
      <w:r w:rsidRPr="000772D9">
        <w:rPr>
          <w:rFonts w:ascii="Tahoma" w:hAnsi="Tahoma" w:cs="Tahoma"/>
          <w:sz w:val="16"/>
          <w:szCs w:val="16"/>
        </w:rPr>
        <w:t>, e-mail:</w:t>
      </w:r>
      <w:r w:rsidR="000B1C90">
        <w:rPr>
          <w:rFonts w:ascii="Tahoma" w:hAnsi="Tahoma" w:cs="Tahoma"/>
          <w:sz w:val="16"/>
          <w:szCs w:val="16"/>
        </w:rPr>
        <w:t xml:space="preserve"> </w:t>
      </w:r>
      <w:r w:rsidR="00AE0EF3">
        <w:rPr>
          <w:rFonts w:ascii="Tahoma" w:hAnsi="Tahoma" w:cs="Tahoma"/>
          <w:sz w:val="16"/>
          <w:szCs w:val="16"/>
        </w:rPr>
        <w:t>xxxxxxxxxxxxxx</w:t>
      </w:r>
      <w:r w:rsidR="00BD6D8D" w:rsidRPr="000772D9">
        <w:rPr>
          <w:rFonts w:ascii="Tahoma" w:hAnsi="Tahoma" w:cs="Tahoma"/>
          <w:sz w:val="16"/>
          <w:szCs w:val="16"/>
        </w:rPr>
        <w:t xml:space="preserve">. </w:t>
      </w:r>
      <w:r w:rsidRPr="000772D9">
        <w:rPr>
          <w:rFonts w:ascii="Tahoma" w:hAnsi="Tahoma" w:cs="Tahoma"/>
          <w:sz w:val="16"/>
          <w:szCs w:val="16"/>
        </w:rPr>
        <w:t>Kontaktní oso</w:t>
      </w:r>
      <w:r w:rsidR="00E07271" w:rsidRPr="000772D9">
        <w:rPr>
          <w:rFonts w:ascii="Tahoma" w:hAnsi="Tahoma" w:cs="Tahoma"/>
          <w:sz w:val="16"/>
          <w:szCs w:val="16"/>
        </w:rPr>
        <w:t>bou poskytovatele je pro účely této smlouvy</w:t>
      </w:r>
      <w:r w:rsidRPr="000772D9">
        <w:rPr>
          <w:rFonts w:ascii="Tahoma" w:hAnsi="Tahoma" w:cs="Tahoma"/>
          <w:sz w:val="16"/>
          <w:szCs w:val="16"/>
        </w:rPr>
        <w:t xml:space="preserve"> určen:</w:t>
      </w:r>
      <w:r w:rsidR="00D56288">
        <w:rPr>
          <w:rFonts w:ascii="Tahoma" w:hAnsi="Tahoma" w:cs="Tahoma"/>
          <w:sz w:val="16"/>
          <w:szCs w:val="16"/>
        </w:rPr>
        <w:t xml:space="preserve"> </w:t>
      </w:r>
      <w:r w:rsidR="00AE0EF3">
        <w:rPr>
          <w:rFonts w:ascii="Tahoma" w:hAnsi="Tahoma" w:cs="Tahoma"/>
          <w:sz w:val="16"/>
          <w:szCs w:val="16"/>
        </w:rPr>
        <w:t>xxxxxxxxxxxxxx</w:t>
      </w:r>
      <w:r w:rsidRPr="000772D9">
        <w:rPr>
          <w:rFonts w:ascii="Tahoma" w:hAnsi="Tahoma" w:cs="Tahoma"/>
          <w:sz w:val="16"/>
          <w:szCs w:val="16"/>
        </w:rPr>
        <w:t xml:space="preserve">, tel: </w:t>
      </w:r>
      <w:r w:rsidR="00AE0EF3">
        <w:rPr>
          <w:rFonts w:ascii="Tahoma" w:hAnsi="Tahoma" w:cs="Tahoma"/>
          <w:sz w:val="16"/>
          <w:szCs w:val="16"/>
        </w:rPr>
        <w:t>xxxxxxxxxxxxxx</w:t>
      </w:r>
      <w:r w:rsidRPr="000772D9">
        <w:rPr>
          <w:rFonts w:ascii="Tahoma" w:hAnsi="Tahoma" w:cs="Tahoma"/>
          <w:sz w:val="16"/>
          <w:szCs w:val="16"/>
        </w:rPr>
        <w:t>, e-mail</w:t>
      </w:r>
      <w:r w:rsidR="0080682D" w:rsidRPr="000772D9">
        <w:rPr>
          <w:rFonts w:ascii="Tahoma" w:hAnsi="Tahoma" w:cs="Tahoma"/>
          <w:sz w:val="16"/>
          <w:szCs w:val="16"/>
        </w:rPr>
        <w:t xml:space="preserve">: </w:t>
      </w:r>
      <w:r w:rsidR="00AE0EF3">
        <w:rPr>
          <w:rFonts w:ascii="Tahoma" w:hAnsi="Tahoma" w:cs="Tahoma"/>
          <w:sz w:val="16"/>
          <w:szCs w:val="16"/>
        </w:rPr>
        <w:t>xxxxxxxxxxxxxx</w:t>
      </w:r>
      <w:r w:rsidR="009913BF">
        <w:rPr>
          <w:rFonts w:ascii="Tahoma" w:hAnsi="Tahoma" w:cs="Tahoma"/>
          <w:sz w:val="16"/>
          <w:szCs w:val="16"/>
        </w:rPr>
        <w:t xml:space="preserve"> </w:t>
      </w:r>
      <w:r w:rsidR="000772D9" w:rsidRPr="00BD6D8D">
        <w:rPr>
          <w:rFonts w:ascii="Tahoma" w:hAnsi="Tahoma" w:cs="Tahoma"/>
          <w:sz w:val="16"/>
          <w:szCs w:val="16"/>
        </w:rPr>
        <w:t xml:space="preserve"> </w:t>
      </w:r>
    </w:p>
    <w:p w14:paraId="3B00C941" w14:textId="4EBD059C" w:rsidR="00597070" w:rsidRPr="000772D9" w:rsidRDefault="00ED7469" w:rsidP="00597070">
      <w:pPr>
        <w:numPr>
          <w:ilvl w:val="0"/>
          <w:numId w:val="2"/>
        </w:numPr>
        <w:autoSpaceDE/>
        <w:autoSpaceDN/>
        <w:jc w:val="both"/>
        <w:rPr>
          <w:rFonts w:ascii="Tahoma" w:eastAsia="Helvetica" w:hAnsi="Tahoma" w:cs="Tahoma"/>
          <w:color w:val="000000"/>
          <w:sz w:val="16"/>
          <w:szCs w:val="16"/>
        </w:rPr>
      </w:pPr>
      <w:r w:rsidRPr="000772D9">
        <w:rPr>
          <w:rFonts w:ascii="Tahoma" w:eastAsia="Helvetica" w:hAnsi="Tahoma" w:cs="Tahoma"/>
          <w:color w:val="000000"/>
          <w:sz w:val="16"/>
          <w:szCs w:val="16"/>
        </w:rPr>
        <w:t>Předmět plnění</w:t>
      </w:r>
      <w:r w:rsidR="00597070" w:rsidRPr="000772D9">
        <w:rPr>
          <w:rFonts w:ascii="Tahoma" w:eastAsia="Helvetica" w:hAnsi="Tahoma" w:cs="Tahoma"/>
          <w:color w:val="000000"/>
          <w:sz w:val="16"/>
          <w:szCs w:val="16"/>
        </w:rPr>
        <w:t xml:space="preserve"> bude nabyvateli poskytnut výhradně s využitím hardwarových prostředků nabyvatele </w:t>
      </w:r>
    </w:p>
    <w:p w14:paraId="7957AA50" w14:textId="3415DF13" w:rsidR="00597070" w:rsidRPr="001A2A81" w:rsidRDefault="00597070" w:rsidP="00597070">
      <w:pPr>
        <w:numPr>
          <w:ilvl w:val="0"/>
          <w:numId w:val="2"/>
        </w:numPr>
        <w:tabs>
          <w:tab w:val="left" w:pos="360"/>
        </w:tabs>
        <w:jc w:val="both"/>
        <w:rPr>
          <w:rFonts w:ascii="Tahoma" w:hAnsi="Tahoma" w:cs="Tahoma"/>
          <w:sz w:val="16"/>
          <w:szCs w:val="16"/>
        </w:rPr>
      </w:pPr>
      <w:r w:rsidRPr="001A2A81">
        <w:rPr>
          <w:rFonts w:ascii="Tahoma" w:hAnsi="Tahoma" w:cs="Tahoma"/>
          <w:sz w:val="16"/>
          <w:szCs w:val="16"/>
        </w:rPr>
        <w:t xml:space="preserve">O řádném předání a převzetí předmětu plnění bude sepsán </w:t>
      </w:r>
      <w:r w:rsidR="00226C17">
        <w:rPr>
          <w:rFonts w:ascii="Tahoma" w:hAnsi="Tahoma" w:cs="Tahoma"/>
          <w:sz w:val="16"/>
          <w:szCs w:val="16"/>
        </w:rPr>
        <w:t>předávací</w:t>
      </w:r>
      <w:r w:rsidRPr="001A2A81">
        <w:rPr>
          <w:rFonts w:ascii="Tahoma" w:hAnsi="Tahoma" w:cs="Tahoma"/>
          <w:sz w:val="16"/>
          <w:szCs w:val="16"/>
        </w:rPr>
        <w:t xml:space="preserve"> protokol, který podepíší obě smluvní strany. Podpisem </w:t>
      </w:r>
      <w:r w:rsidR="00226C17">
        <w:rPr>
          <w:rFonts w:ascii="Tahoma" w:hAnsi="Tahoma" w:cs="Tahoma"/>
          <w:sz w:val="16"/>
          <w:szCs w:val="16"/>
        </w:rPr>
        <w:t>předávacího</w:t>
      </w:r>
      <w:r w:rsidRPr="001A2A81">
        <w:rPr>
          <w:rFonts w:ascii="Tahoma" w:hAnsi="Tahoma" w:cs="Tahoma"/>
          <w:sz w:val="16"/>
          <w:szCs w:val="16"/>
        </w:rPr>
        <w:t xml:space="preserve"> protokolu o předání a převzetí předmětu plnění dochází k předání předmětu plnění poskytovatelem nabyvateli.</w:t>
      </w:r>
    </w:p>
    <w:p w14:paraId="2B655FE4" w14:textId="77777777" w:rsidR="00316EE2" w:rsidRPr="00316EE2" w:rsidRDefault="00316EE2" w:rsidP="00316EE2">
      <w:pPr>
        <w:tabs>
          <w:tab w:val="left" w:pos="360"/>
        </w:tabs>
        <w:jc w:val="center"/>
        <w:rPr>
          <w:rFonts w:ascii="Tahoma" w:hAnsi="Tahoma" w:cs="Tahoma"/>
          <w:b/>
          <w:sz w:val="16"/>
          <w:szCs w:val="16"/>
        </w:rPr>
      </w:pPr>
    </w:p>
    <w:p w14:paraId="462AC014" w14:textId="43E8A2A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597070" w:rsidRPr="001A2A81">
        <w:rPr>
          <w:rFonts w:ascii="Tahoma" w:hAnsi="Tahoma" w:cs="Tahoma"/>
          <w:b/>
          <w:snapToGrid w:val="0"/>
          <w:sz w:val="16"/>
          <w:szCs w:val="16"/>
        </w:rPr>
        <w:t>I.</w:t>
      </w:r>
    </w:p>
    <w:p w14:paraId="711790B6"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01780F7" w14:textId="77777777"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 xml:space="preserve">Pro případ prodlení nabyvatele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10BB5E79" w14:textId="3DF198FF" w:rsidR="00597070"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354239">
        <w:rPr>
          <w:rFonts w:ascii="Tahoma" w:hAnsi="Tahoma" w:cs="Tahoma"/>
          <w:sz w:val="16"/>
          <w:szCs w:val="16"/>
        </w:rPr>
        <w:t>u</w:t>
      </w:r>
      <w:r w:rsidRPr="001A2A81">
        <w:rPr>
          <w:rFonts w:ascii="Tahoma" w:hAnsi="Tahoma" w:cs="Tahoma"/>
          <w:sz w:val="16"/>
          <w:szCs w:val="16"/>
        </w:rPr>
        <w:t xml:space="preserve"> uveden</w:t>
      </w:r>
      <w:r w:rsidR="00354239">
        <w:rPr>
          <w:rFonts w:ascii="Tahoma" w:hAnsi="Tahoma" w:cs="Tahoma"/>
          <w:sz w:val="16"/>
          <w:szCs w:val="16"/>
        </w:rPr>
        <w:t>ého</w:t>
      </w:r>
      <w:r w:rsidRPr="001A2A81">
        <w:rPr>
          <w:rFonts w:ascii="Tahoma" w:hAnsi="Tahoma" w:cs="Tahoma"/>
          <w:sz w:val="16"/>
          <w:szCs w:val="16"/>
        </w:rPr>
        <w:t xml:space="preserve"> v čl. II </w:t>
      </w:r>
      <w:r w:rsidR="00226C17">
        <w:rPr>
          <w:rFonts w:ascii="Tahoma" w:hAnsi="Tahoma" w:cs="Tahoma"/>
          <w:sz w:val="16"/>
          <w:szCs w:val="16"/>
        </w:rPr>
        <w:t xml:space="preserve">této </w:t>
      </w:r>
      <w:r w:rsidRPr="001A2A81">
        <w:rPr>
          <w:rFonts w:ascii="Tahoma" w:hAnsi="Tahoma" w:cs="Tahoma"/>
          <w:sz w:val="16"/>
          <w:szCs w:val="16"/>
        </w:rPr>
        <w:t>smlouvy je nabyvatel oprávněn požadovat zaplacení smluvní pokuty ve výši 0,1% z celkové sjednané ceny bez DPH za každý i započatý den prodlení s</w:t>
      </w:r>
      <w:r w:rsidR="00226C17">
        <w:rPr>
          <w:rFonts w:ascii="Tahoma" w:hAnsi="Tahoma" w:cs="Tahoma"/>
          <w:sz w:val="16"/>
          <w:szCs w:val="16"/>
        </w:rPr>
        <w:t> </w:t>
      </w:r>
      <w:r w:rsidRPr="001A2A81">
        <w:rPr>
          <w:rFonts w:ascii="Tahoma" w:hAnsi="Tahoma" w:cs="Tahoma"/>
          <w:sz w:val="16"/>
          <w:szCs w:val="16"/>
        </w:rPr>
        <w:t>dodáním</w:t>
      </w:r>
      <w:r w:rsidR="00226C17">
        <w:rPr>
          <w:rFonts w:ascii="Tahoma" w:hAnsi="Tahoma" w:cs="Tahoma"/>
          <w:sz w:val="16"/>
          <w:szCs w:val="16"/>
        </w:rPr>
        <w:t>.</w:t>
      </w:r>
      <w:r w:rsidRPr="001A2A81">
        <w:rPr>
          <w:rFonts w:ascii="Tahoma" w:hAnsi="Tahoma" w:cs="Tahoma"/>
          <w:sz w:val="16"/>
          <w:szCs w:val="16"/>
        </w:rPr>
        <w:t xml:space="preserve"> Nabyvatel je dále v těchto případech oprávněn odmítnout převzetí předmětu plnění a odstoupit od smlouvy.   </w:t>
      </w:r>
    </w:p>
    <w:p w14:paraId="78873537" w14:textId="0C257A58" w:rsidR="006E68D1" w:rsidRPr="006E68D1" w:rsidRDefault="006E68D1" w:rsidP="006E68D1">
      <w:pPr>
        <w:numPr>
          <w:ilvl w:val="0"/>
          <w:numId w:val="6"/>
        </w:numPr>
        <w:tabs>
          <w:tab w:val="clear" w:pos="720"/>
          <w:tab w:val="num" w:pos="360"/>
        </w:tabs>
        <w:autoSpaceDE/>
        <w:autoSpaceDN/>
        <w:ind w:left="360"/>
        <w:jc w:val="both"/>
        <w:rPr>
          <w:rFonts w:ascii="Tahoma" w:hAnsi="Tahoma" w:cs="Tahoma"/>
          <w:sz w:val="16"/>
          <w:szCs w:val="16"/>
        </w:rPr>
      </w:pPr>
      <w:r w:rsidRPr="007E5031">
        <w:rPr>
          <w:rFonts w:ascii="Tahoma" w:hAnsi="Tahoma" w:cs="Tahoma"/>
          <w:sz w:val="16"/>
          <w:szCs w:val="16"/>
        </w:rPr>
        <w:t xml:space="preserve">V případě nedodržení povinnosti stanovené v čl. </w:t>
      </w:r>
      <w:r w:rsidR="00C51746">
        <w:rPr>
          <w:rFonts w:ascii="Tahoma" w:hAnsi="Tahoma" w:cs="Tahoma"/>
          <w:sz w:val="16"/>
          <w:szCs w:val="16"/>
        </w:rPr>
        <w:t>I</w:t>
      </w:r>
      <w:r w:rsidRPr="007E5031">
        <w:rPr>
          <w:rFonts w:ascii="Tahoma" w:hAnsi="Tahoma" w:cs="Tahoma"/>
          <w:sz w:val="16"/>
          <w:szCs w:val="16"/>
        </w:rPr>
        <w:t xml:space="preserve">X. odst. </w:t>
      </w:r>
      <w:r w:rsidR="00C51746">
        <w:rPr>
          <w:rFonts w:ascii="Tahoma" w:hAnsi="Tahoma" w:cs="Tahoma"/>
          <w:sz w:val="16"/>
          <w:szCs w:val="16"/>
        </w:rPr>
        <w:t>7</w:t>
      </w:r>
      <w:r w:rsidRPr="007E5031">
        <w:rPr>
          <w:rFonts w:ascii="Tahoma" w:hAnsi="Tahoma" w:cs="Tahoma"/>
          <w:sz w:val="16"/>
          <w:szCs w:val="16"/>
        </w:rPr>
        <w:t xml:space="preserve"> smlouvy má objednatel právo účtovat smluvní pokutu ve výši velikosti pohledávky, která byla postoupena v rozporu s touto smlouvu. Objednatel má zároveň právo odstoupit od smlouvy.</w:t>
      </w:r>
    </w:p>
    <w:p w14:paraId="2240C532"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9D9E1F6"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71D659EF"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47451D8F" w14:textId="7CD2C704"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VIII</w:t>
      </w:r>
      <w:r w:rsidR="00597070" w:rsidRPr="001A2A81">
        <w:rPr>
          <w:rFonts w:ascii="Tahoma" w:hAnsi="Tahoma" w:cs="Tahoma"/>
          <w:b/>
          <w:snapToGrid w:val="0"/>
          <w:sz w:val="16"/>
          <w:szCs w:val="16"/>
        </w:rPr>
        <w:t>.</w:t>
      </w:r>
    </w:p>
    <w:p w14:paraId="418BDAF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2D5C9578" w14:textId="428B455E" w:rsidR="00597070" w:rsidRPr="00C06761" w:rsidRDefault="00597070" w:rsidP="00597070">
      <w:pPr>
        <w:numPr>
          <w:ilvl w:val="0"/>
          <w:numId w:val="1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C06761">
        <w:rPr>
          <w:rFonts w:ascii="Tahoma" w:eastAsia="Helvetica" w:hAnsi="Tahoma" w:cs="Tahoma"/>
          <w:color w:val="000000"/>
          <w:sz w:val="16"/>
          <w:szCs w:val="16"/>
        </w:rPr>
        <w:t xml:space="preserve">Licenční smlouva nabývá platnosti jejím uzavřením a účinnosti </w:t>
      </w:r>
      <w:r w:rsidR="00E5368D" w:rsidRPr="00C06761">
        <w:rPr>
          <w:rFonts w:ascii="Tahoma" w:eastAsia="Helvetica" w:hAnsi="Tahoma" w:cs="Tahoma"/>
          <w:color w:val="000000"/>
          <w:sz w:val="16"/>
          <w:szCs w:val="16"/>
        </w:rPr>
        <w:t>dnem uveřejnění v registru smluv.</w:t>
      </w:r>
      <w:r w:rsidRPr="00C06761">
        <w:rPr>
          <w:rFonts w:ascii="Tahoma" w:eastAsia="Helvetica" w:hAnsi="Tahoma" w:cs="Tahoma"/>
          <w:color w:val="000000"/>
          <w:sz w:val="16"/>
          <w:szCs w:val="16"/>
        </w:rPr>
        <w:t xml:space="preserve"> </w:t>
      </w:r>
    </w:p>
    <w:p w14:paraId="53DEDE9B"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80EBB2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poskytovatele pokud dojde z jeho viny k posunu termínu předání předmětu plnění, přestože byl nabyvatelem na neplnění této smlouvy písemně upozorněn. </w:t>
      </w:r>
    </w:p>
    <w:p w14:paraId="582D73CB"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62C02349" w14:textId="77777777" w:rsidR="00597070"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CB797F9" w14:textId="77777777" w:rsidR="00C06761" w:rsidRPr="001A2A81" w:rsidRDefault="00C06761" w:rsidP="00597070">
      <w:pPr>
        <w:pStyle w:val="Textkomente"/>
        <w:autoSpaceDE/>
        <w:autoSpaceDN/>
        <w:ind w:left="360"/>
        <w:jc w:val="both"/>
        <w:rPr>
          <w:rFonts w:ascii="Tahoma" w:hAnsi="Tahoma" w:cs="Tahoma"/>
          <w:sz w:val="16"/>
          <w:szCs w:val="16"/>
        </w:rPr>
      </w:pPr>
    </w:p>
    <w:p w14:paraId="4A4DE5AD" w14:textId="1BD06CE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597070" w:rsidRPr="001A2A81">
        <w:rPr>
          <w:rFonts w:ascii="Tahoma" w:hAnsi="Tahoma" w:cs="Tahoma"/>
          <w:b/>
          <w:snapToGrid w:val="0"/>
          <w:sz w:val="16"/>
          <w:szCs w:val="16"/>
        </w:rPr>
        <w:t>X.</w:t>
      </w:r>
    </w:p>
    <w:p w14:paraId="2970FCDC"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3BAE8085"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085302E" w14:textId="77777777"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1A935F45"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nabyvatele dle § 51 zákona č. 372/2011 Sb., o zdravotních službách, jakož i o osobních údajích a o bezpečnostních opatřeních, jejichž zveřejnění by ohrozilo zabezpečení osobních údajů ve smyslu § 15 odst. 1 zákona č. 101/2000 Sb., o ochraně osobních údajů. 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Poskytovatel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nabyvatele. Poskytovatel se zavazuje informovat své subdodavatele o povinnosti mlčenlivosti dle této smlouvy. V případě porušení mlčenlivosti za strany poddodavatele, odpovídá poskytovatel nabyvateli za vzniklou škodu, jako kdyby povinnost porušil sám.</w:t>
      </w:r>
    </w:p>
    <w:p w14:paraId="22BAA380" w14:textId="40836B19"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lastRenderedPageBreak/>
        <w:t xml:space="preserve">Smluvní strany jsou povinny zajistit, že nebudou neoprávněně pořizovány kopie informací či jiné záznamy dle čl. </w:t>
      </w:r>
      <w:r w:rsidR="00E11FB2">
        <w:rPr>
          <w:rFonts w:ascii="Tahoma" w:hAnsi="Tahoma" w:cs="Tahoma"/>
          <w:sz w:val="16"/>
          <w:szCs w:val="16"/>
        </w:rPr>
        <w:t>I</w:t>
      </w:r>
      <w:r w:rsidRPr="00BB0E0E">
        <w:rPr>
          <w:rFonts w:ascii="Tahoma" w:hAnsi="Tahoma" w:cs="Tahoma"/>
          <w:sz w:val="16"/>
          <w:szCs w:val="16"/>
        </w:rPr>
        <w:t>X, odst. 5 této smlouvy, a nebudou zjišťovány informace, které nejsou nezbytně nutné ke splnění povinností vyplývajících z této smlouvy.</w:t>
      </w:r>
    </w:p>
    <w:p w14:paraId="6D1F24C6"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5587E0FB" w14:textId="33701986" w:rsidR="004851B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w:t>
      </w:r>
      <w:r w:rsidR="00290BFA" w:rsidRPr="00D5533D">
        <w:rPr>
          <w:rFonts w:ascii="Tahoma" w:hAnsi="Tahoma" w:cs="Tahoma"/>
          <w:sz w:val="16"/>
          <w:szCs w:val="16"/>
        </w:rPr>
        <w:t xml:space="preserve">bere na vědomí, že </w:t>
      </w:r>
      <w:r w:rsidR="009E5D98">
        <w:rPr>
          <w:rFonts w:ascii="Tahoma" w:hAnsi="Tahoma" w:cs="Tahoma"/>
          <w:sz w:val="16"/>
          <w:szCs w:val="16"/>
        </w:rPr>
        <w:t>nabyvatel</w:t>
      </w:r>
      <w:r w:rsidR="009E5D98" w:rsidRPr="00D5533D">
        <w:rPr>
          <w:rFonts w:ascii="Tahoma" w:hAnsi="Tahoma" w:cs="Tahoma"/>
          <w:sz w:val="16"/>
          <w:szCs w:val="16"/>
        </w:rPr>
        <w:t xml:space="preserve"> </w:t>
      </w:r>
      <w:r w:rsidR="00290BFA" w:rsidRPr="00D5533D">
        <w:rPr>
          <w:rFonts w:ascii="Tahoma" w:hAnsi="Tahoma" w:cs="Tahoma"/>
          <w:sz w:val="16"/>
          <w:szCs w:val="16"/>
        </w:rPr>
        <w:t>je povinen dle ustanovení § 219 odst. 1 písm. a) zákona č. 134/2016 Sb., a dle zákona č. 340/2015 Sb.</w:t>
      </w:r>
      <w:r w:rsidR="00290BFA">
        <w:rPr>
          <w:rFonts w:ascii="Tahoma" w:hAnsi="Tahoma" w:cs="Tahoma"/>
          <w:sz w:val="16"/>
          <w:szCs w:val="16"/>
        </w:rPr>
        <w:t>,</w:t>
      </w:r>
      <w:r w:rsidR="00290BFA" w:rsidRPr="00D5533D">
        <w:rPr>
          <w:rFonts w:ascii="Tahoma" w:hAnsi="Tahoma" w:cs="Tahoma"/>
          <w:sz w:val="16"/>
          <w:szCs w:val="16"/>
        </w:rPr>
        <w:t xml:space="preserve"> o registru smluv uveřejnit tuto smlouvu včetně případných dodatků a objednávek vystavených na základě této smlouvy, zákonem stanoveným způsobem.</w:t>
      </w:r>
    </w:p>
    <w:p w14:paraId="58CED05A" w14:textId="77777777" w:rsidR="009E5D98" w:rsidRPr="008C69B7" w:rsidRDefault="009E5D98" w:rsidP="009E5D98">
      <w:pPr>
        <w:pStyle w:val="Odstavecseseznamem"/>
        <w:widowControl w:val="0"/>
        <w:numPr>
          <w:ilvl w:val="0"/>
          <w:numId w:val="4"/>
        </w:numPr>
        <w:adjustRightInd w:val="0"/>
        <w:jc w:val="both"/>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8C69B7">
        <w:rPr>
          <w:rFonts w:ascii="Tahoma" w:hAnsi="Tahoma" w:cs="Tahoma"/>
          <w:sz w:val="16"/>
          <w:szCs w:val="16"/>
        </w:rPr>
        <w:t xml:space="preserve">. </w:t>
      </w:r>
    </w:p>
    <w:p w14:paraId="79F9FE50" w14:textId="7431EC02" w:rsidR="00597070" w:rsidRPr="00290BF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se zavazuje dodržovat nařízení </w:t>
      </w:r>
      <w:r w:rsidR="009E5D98">
        <w:rPr>
          <w:rFonts w:ascii="Tahoma" w:hAnsi="Tahoma" w:cs="Tahoma"/>
          <w:sz w:val="16"/>
          <w:szCs w:val="16"/>
        </w:rPr>
        <w:t>nabyvatele</w:t>
      </w:r>
      <w:r w:rsidRPr="00290BFA">
        <w:rPr>
          <w:rFonts w:ascii="Tahoma" w:hAnsi="Tahoma" w:cs="Tahoma"/>
          <w:sz w:val="16"/>
          <w:szCs w:val="16"/>
        </w:rPr>
        <w:t>, kterým je zakázáno kouření ve všech prostorách i plochách areálu nabyvatele s výjimkou vyhrazených míst.</w:t>
      </w:r>
    </w:p>
    <w:p w14:paraId="45F0EC44" w14:textId="77777777" w:rsidR="002A4411" w:rsidRDefault="002A4411" w:rsidP="00597070">
      <w:pPr>
        <w:widowControl w:val="0"/>
        <w:jc w:val="center"/>
        <w:outlineLvl w:val="0"/>
        <w:rPr>
          <w:rFonts w:ascii="Tahoma" w:hAnsi="Tahoma" w:cs="Tahoma"/>
          <w:b/>
          <w:snapToGrid w:val="0"/>
          <w:sz w:val="16"/>
          <w:szCs w:val="16"/>
        </w:rPr>
      </w:pPr>
    </w:p>
    <w:p w14:paraId="7F8A64D4" w14:textId="075AEADE"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7B4B0AC1"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5B219CC2"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3387B637"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7866197E"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7FECFBD8"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41867E16"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9FEC21" w14:textId="77777777" w:rsidR="00597070" w:rsidRPr="001A2A81" w:rsidRDefault="00597070" w:rsidP="00597070">
      <w:pPr>
        <w:widowControl w:val="0"/>
        <w:jc w:val="both"/>
        <w:rPr>
          <w:rFonts w:ascii="Tahoma" w:hAnsi="Tahoma" w:cs="Tahoma"/>
          <w:snapToGrid w:val="0"/>
          <w:sz w:val="16"/>
          <w:szCs w:val="16"/>
        </w:rPr>
      </w:pPr>
    </w:p>
    <w:p w14:paraId="15329B89" w14:textId="77777777" w:rsidR="00597070" w:rsidRDefault="00597070" w:rsidP="00597070">
      <w:pPr>
        <w:widowControl w:val="0"/>
        <w:jc w:val="both"/>
        <w:rPr>
          <w:rFonts w:ascii="Tahoma" w:hAnsi="Tahoma" w:cs="Tahoma"/>
          <w:snapToGrid w:val="0"/>
          <w:sz w:val="16"/>
          <w:szCs w:val="16"/>
        </w:rPr>
      </w:pPr>
    </w:p>
    <w:p w14:paraId="56F8C0D2"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Přílohy:</w:t>
      </w:r>
      <w:r w:rsidRPr="001A2A81">
        <w:rPr>
          <w:rFonts w:ascii="Tahoma" w:hAnsi="Tahoma" w:cs="Tahoma"/>
          <w:snapToGrid w:val="0"/>
          <w:sz w:val="16"/>
          <w:szCs w:val="16"/>
        </w:rPr>
        <w:tab/>
      </w:r>
    </w:p>
    <w:p w14:paraId="200A20AB" w14:textId="0886653F"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Příloha č. 1 – Cenová nabídka</w:t>
      </w:r>
      <w:r w:rsidR="00C51746">
        <w:rPr>
          <w:rFonts w:ascii="Tahoma" w:hAnsi="Tahoma" w:cs="Tahoma"/>
          <w:snapToGrid w:val="0"/>
          <w:sz w:val="16"/>
          <w:szCs w:val="16"/>
        </w:rPr>
        <w:t xml:space="preserve"> </w:t>
      </w:r>
    </w:p>
    <w:p w14:paraId="40F7873F" w14:textId="77777777" w:rsidR="00597070" w:rsidRPr="001A2A81" w:rsidRDefault="00597070" w:rsidP="00597070">
      <w:pPr>
        <w:widowControl w:val="0"/>
        <w:jc w:val="both"/>
        <w:rPr>
          <w:rFonts w:ascii="Tahoma" w:hAnsi="Tahoma" w:cs="Tahoma"/>
          <w:snapToGrid w:val="0"/>
          <w:sz w:val="16"/>
          <w:szCs w:val="16"/>
        </w:rPr>
      </w:pPr>
    </w:p>
    <w:p w14:paraId="730C64DC" w14:textId="77777777" w:rsidR="00597070" w:rsidRPr="001A2A81" w:rsidRDefault="00597070" w:rsidP="00597070">
      <w:pPr>
        <w:widowControl w:val="0"/>
        <w:jc w:val="both"/>
        <w:rPr>
          <w:rFonts w:ascii="Tahoma" w:hAnsi="Tahoma" w:cs="Tahoma"/>
          <w:snapToGrid w:val="0"/>
          <w:sz w:val="16"/>
          <w:szCs w:val="16"/>
        </w:rPr>
      </w:pPr>
    </w:p>
    <w:p w14:paraId="3D86381E" w14:textId="77777777" w:rsidR="00597070" w:rsidRPr="001A2A81" w:rsidRDefault="00597070" w:rsidP="00597070">
      <w:pPr>
        <w:widowControl w:val="0"/>
        <w:jc w:val="both"/>
        <w:rPr>
          <w:rFonts w:ascii="Tahoma" w:hAnsi="Tahoma" w:cs="Tahoma"/>
          <w:snapToGrid w:val="0"/>
          <w:sz w:val="16"/>
          <w:szCs w:val="16"/>
        </w:rPr>
      </w:pPr>
    </w:p>
    <w:p w14:paraId="6123BBD3" w14:textId="23308375" w:rsidR="00597070"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t>V</w:t>
      </w:r>
      <w:r w:rsidR="00052AA2">
        <w:rPr>
          <w:rFonts w:ascii="Tahoma" w:hAnsi="Tahoma" w:cs="Tahoma"/>
          <w:snapToGrid w:val="0"/>
          <w:sz w:val="16"/>
          <w:szCs w:val="16"/>
        </w:rPr>
        <w:t xml:space="preserve"> Praze </w:t>
      </w:r>
      <w:r w:rsidRPr="001A2A81">
        <w:rPr>
          <w:rFonts w:ascii="Tahoma" w:hAnsi="Tahoma" w:cs="Tahoma"/>
          <w:snapToGrid w:val="0"/>
          <w:sz w:val="16"/>
          <w:szCs w:val="16"/>
        </w:rPr>
        <w:t xml:space="preserve">dne </w:t>
      </w:r>
    </w:p>
    <w:p w14:paraId="172FF3E0" w14:textId="77777777" w:rsidR="002A4411" w:rsidRPr="001A2A81" w:rsidRDefault="002A4411" w:rsidP="00597070">
      <w:pPr>
        <w:widowControl w:val="0"/>
        <w:jc w:val="both"/>
        <w:rPr>
          <w:rFonts w:ascii="Tahoma" w:hAnsi="Tahoma" w:cs="Tahoma"/>
          <w:snapToGrid w:val="0"/>
          <w:sz w:val="16"/>
          <w:szCs w:val="16"/>
        </w:rPr>
      </w:pPr>
    </w:p>
    <w:p w14:paraId="32E98131" w14:textId="77777777" w:rsidR="00597070" w:rsidRPr="001A2A81" w:rsidRDefault="00597070" w:rsidP="00597070">
      <w:pPr>
        <w:widowControl w:val="0"/>
        <w:jc w:val="both"/>
        <w:rPr>
          <w:rFonts w:ascii="Tahoma" w:hAnsi="Tahoma" w:cs="Tahoma"/>
          <w:snapToGrid w:val="0"/>
          <w:sz w:val="16"/>
          <w:szCs w:val="16"/>
        </w:rPr>
      </w:pPr>
    </w:p>
    <w:p w14:paraId="430E1216" w14:textId="77777777" w:rsidR="00597070" w:rsidRPr="001A2A81" w:rsidRDefault="00597070" w:rsidP="00597070">
      <w:pPr>
        <w:widowControl w:val="0"/>
        <w:jc w:val="both"/>
        <w:rPr>
          <w:rFonts w:ascii="Tahoma" w:hAnsi="Tahoma" w:cs="Tahoma"/>
          <w:snapToGrid w:val="0"/>
          <w:sz w:val="16"/>
          <w:szCs w:val="16"/>
        </w:rPr>
      </w:pPr>
    </w:p>
    <w:p w14:paraId="0DD8B54E" w14:textId="77777777" w:rsidR="00597070" w:rsidRPr="001A2A81" w:rsidRDefault="00597070" w:rsidP="00597070">
      <w:pPr>
        <w:widowControl w:val="0"/>
        <w:jc w:val="both"/>
        <w:rPr>
          <w:rFonts w:ascii="Tahoma" w:hAnsi="Tahoma" w:cs="Tahoma"/>
          <w:snapToGrid w:val="0"/>
          <w:sz w:val="16"/>
          <w:szCs w:val="16"/>
        </w:rPr>
      </w:pPr>
    </w:p>
    <w:p w14:paraId="4DB0269C" w14:textId="77777777" w:rsidR="00597070" w:rsidRPr="001A2A81" w:rsidRDefault="00597070" w:rsidP="00597070">
      <w:pPr>
        <w:widowControl w:val="0"/>
        <w:jc w:val="both"/>
        <w:rPr>
          <w:rFonts w:ascii="Tahoma" w:hAnsi="Tahoma" w:cs="Tahoma"/>
          <w:snapToGrid w:val="0"/>
          <w:sz w:val="16"/>
          <w:szCs w:val="16"/>
        </w:rPr>
      </w:pPr>
    </w:p>
    <w:p w14:paraId="79C60E21"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Pr="001A2A81">
        <w:rPr>
          <w:rFonts w:ascii="Tahoma" w:hAnsi="Tahoma" w:cs="Tahoma"/>
          <w:snapToGrid w:val="0"/>
          <w:sz w:val="16"/>
          <w:szCs w:val="16"/>
        </w:rPr>
        <w:tab/>
        <w:t>-----------------------------------------------------</w:t>
      </w:r>
    </w:p>
    <w:p w14:paraId="19762F89" w14:textId="7C96D284" w:rsidR="002A4411" w:rsidRDefault="00597070" w:rsidP="00597070">
      <w:pPr>
        <w:pStyle w:val="Zkladntext"/>
        <w:tabs>
          <w:tab w:val="left" w:pos="4536"/>
        </w:tabs>
        <w:rPr>
          <w:rFonts w:ascii="Tahoma" w:hAnsi="Tahoma" w:cs="Tahoma"/>
          <w:snapToGrid w:val="0"/>
          <w:sz w:val="16"/>
          <w:szCs w:val="16"/>
        </w:rPr>
      </w:pPr>
      <w:r w:rsidRPr="001A2A81">
        <w:rPr>
          <w:rFonts w:ascii="Tahoma" w:hAnsi="Tahoma" w:cs="Tahoma"/>
          <w:sz w:val="16"/>
          <w:szCs w:val="16"/>
        </w:rPr>
        <w:t xml:space="preserve">           Mgr. Dana Jurásková, Ph.D., MBA</w:t>
      </w:r>
      <w:r w:rsidR="00052AA2">
        <w:rPr>
          <w:rFonts w:ascii="Tahoma" w:hAnsi="Tahoma" w:cs="Tahoma"/>
          <w:sz w:val="16"/>
          <w:szCs w:val="16"/>
        </w:rPr>
        <w:tab/>
      </w:r>
      <w:r w:rsidR="00052AA2">
        <w:rPr>
          <w:rFonts w:ascii="Tahoma" w:hAnsi="Tahoma" w:cs="Tahoma"/>
          <w:sz w:val="16"/>
          <w:szCs w:val="16"/>
        </w:rPr>
        <w:tab/>
      </w:r>
      <w:r w:rsidR="00052AA2">
        <w:rPr>
          <w:rFonts w:ascii="Tahoma" w:hAnsi="Tahoma" w:cs="Tahoma"/>
          <w:sz w:val="16"/>
          <w:szCs w:val="16"/>
        </w:rPr>
        <w:tab/>
      </w:r>
      <w:r w:rsidR="002A4411">
        <w:rPr>
          <w:rFonts w:ascii="Tahoma" w:hAnsi="Tahoma" w:cs="Tahoma"/>
          <w:sz w:val="16"/>
          <w:szCs w:val="16"/>
        </w:rPr>
        <w:t xml:space="preserve">                  </w:t>
      </w:r>
      <w:r w:rsidR="00052AA2">
        <w:rPr>
          <w:rFonts w:ascii="Tahoma" w:hAnsi="Tahoma" w:cs="Tahoma"/>
          <w:sz w:val="16"/>
          <w:szCs w:val="16"/>
        </w:rPr>
        <w:t>Ing. Zora Hanzlíková</w:t>
      </w:r>
      <w:r w:rsidRPr="001A2A81">
        <w:rPr>
          <w:rFonts w:ascii="Tahoma" w:hAnsi="Tahoma" w:cs="Tahoma"/>
          <w:snapToGrid w:val="0"/>
          <w:sz w:val="16"/>
          <w:szCs w:val="16"/>
        </w:rPr>
        <w:t xml:space="preserve">        </w:t>
      </w:r>
    </w:p>
    <w:p w14:paraId="6DA280D5" w14:textId="1E8A24B8" w:rsidR="0072729C" w:rsidRPr="0072729C" w:rsidRDefault="00597070" w:rsidP="0072729C">
      <w:pPr>
        <w:rPr>
          <w:rFonts w:ascii="Tahoma" w:hAnsi="Tahoma" w:cs="Tahoma"/>
          <w:sz w:val="16"/>
          <w:szCs w:val="16"/>
        </w:rPr>
      </w:pPr>
      <w:r w:rsidRPr="001A2A81">
        <w:rPr>
          <w:rFonts w:ascii="Tahoma" w:hAnsi="Tahoma" w:cs="Tahoma"/>
          <w:snapToGrid w:val="0"/>
          <w:sz w:val="16"/>
          <w:szCs w:val="16"/>
        </w:rPr>
        <w:t>ředitelka Všeobecn</w:t>
      </w:r>
      <w:r w:rsidR="0072729C">
        <w:rPr>
          <w:rFonts w:ascii="Tahoma" w:hAnsi="Tahoma" w:cs="Tahoma"/>
          <w:snapToGrid w:val="0"/>
          <w:sz w:val="16"/>
          <w:szCs w:val="16"/>
        </w:rPr>
        <w:t>é fakultní nemocnice v Praze</w:t>
      </w:r>
      <w:r w:rsidR="0072729C">
        <w:rPr>
          <w:rFonts w:ascii="Tahoma" w:hAnsi="Tahoma" w:cs="Tahoma"/>
          <w:snapToGrid w:val="0"/>
          <w:sz w:val="16"/>
          <w:szCs w:val="16"/>
        </w:rPr>
        <w:tab/>
      </w:r>
      <w:r w:rsidR="002A4411">
        <w:rPr>
          <w:rFonts w:ascii="Tahoma" w:hAnsi="Tahoma" w:cs="Tahoma"/>
          <w:snapToGrid w:val="0"/>
          <w:sz w:val="16"/>
          <w:szCs w:val="16"/>
        </w:rPr>
        <w:tab/>
      </w:r>
      <w:r w:rsidR="002A4411">
        <w:rPr>
          <w:rFonts w:ascii="Tahoma" w:hAnsi="Tahoma" w:cs="Tahoma"/>
          <w:snapToGrid w:val="0"/>
          <w:sz w:val="16"/>
          <w:szCs w:val="16"/>
        </w:rPr>
        <w:tab/>
      </w:r>
      <w:r w:rsidR="002A4411">
        <w:rPr>
          <w:rFonts w:ascii="Tahoma" w:hAnsi="Tahoma" w:cs="Tahoma"/>
          <w:snapToGrid w:val="0"/>
          <w:sz w:val="16"/>
          <w:szCs w:val="16"/>
        </w:rPr>
        <w:tab/>
        <w:t>jednatelka DYNEX TECHNOLOGIES, spol. s r.o.</w:t>
      </w:r>
      <w:r w:rsidR="0072729C">
        <w:rPr>
          <w:rFonts w:ascii="Tahoma" w:hAnsi="Tahoma" w:cs="Tahoma"/>
          <w:snapToGrid w:val="0"/>
          <w:sz w:val="16"/>
          <w:szCs w:val="16"/>
        </w:rPr>
        <w:tab/>
      </w:r>
      <w:r w:rsidR="0072729C">
        <w:rPr>
          <w:rFonts w:ascii="Tahoma" w:hAnsi="Tahoma" w:cs="Tahoma"/>
          <w:snapToGrid w:val="0"/>
          <w:sz w:val="16"/>
          <w:szCs w:val="16"/>
        </w:rPr>
        <w:tab/>
        <w:t xml:space="preserve">       </w:t>
      </w:r>
    </w:p>
    <w:p w14:paraId="5DF7F89A" w14:textId="7331820F" w:rsidR="00597070" w:rsidRPr="001A2A81" w:rsidRDefault="00597070" w:rsidP="00597070">
      <w:pPr>
        <w:pStyle w:val="Zkladntext"/>
        <w:tabs>
          <w:tab w:val="left" w:pos="993"/>
        </w:tabs>
        <w:rPr>
          <w:rFonts w:ascii="Tahoma" w:hAnsi="Tahoma" w:cs="Tahoma"/>
          <w:snapToGrid w:val="0"/>
          <w:sz w:val="16"/>
          <w:szCs w:val="16"/>
        </w:rPr>
      </w:pPr>
    </w:p>
    <w:p w14:paraId="0D091D3E" w14:textId="77777777" w:rsidR="00A43286" w:rsidRPr="001A2A81" w:rsidRDefault="00A43286">
      <w:pPr>
        <w:rPr>
          <w:rFonts w:ascii="Tahoma" w:hAnsi="Tahoma" w:cs="Tahoma"/>
          <w:sz w:val="16"/>
          <w:szCs w:val="16"/>
        </w:rPr>
      </w:pPr>
    </w:p>
    <w:sectPr w:rsidR="00A43286" w:rsidRPr="001A2A81" w:rsidSect="00CC71C1">
      <w:headerReference w:type="default" r:id="rId13"/>
      <w:footerReference w:type="default" r:id="rId14"/>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5408" w14:textId="77777777" w:rsidR="00152CB9" w:rsidRDefault="00152CB9" w:rsidP="00F00822">
      <w:r>
        <w:separator/>
      </w:r>
    </w:p>
  </w:endnote>
  <w:endnote w:type="continuationSeparator" w:id="0">
    <w:p w14:paraId="1A0F8F58" w14:textId="77777777" w:rsidR="00152CB9" w:rsidRDefault="00152CB9" w:rsidP="00F0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588" w14:textId="1E557383" w:rsidR="00676F97" w:rsidRPr="00B2092F" w:rsidRDefault="00F00822"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72729C">
      <w:rPr>
        <w:rStyle w:val="slostrnky"/>
        <w:rFonts w:ascii="Arial" w:hAnsi="Arial" w:cs="Arial"/>
        <w:noProof/>
        <w:sz w:val="18"/>
        <w:szCs w:val="18"/>
      </w:rPr>
      <w:t>2</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16ED" w14:textId="77777777" w:rsidR="00152CB9" w:rsidRDefault="00152CB9" w:rsidP="00F00822">
      <w:r>
        <w:separator/>
      </w:r>
    </w:p>
  </w:footnote>
  <w:footnote w:type="continuationSeparator" w:id="0">
    <w:p w14:paraId="44DB5CC5" w14:textId="77777777" w:rsidR="00152CB9" w:rsidRDefault="00152CB9" w:rsidP="00F0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E7D3" w14:textId="4ACDD521" w:rsidR="00676F97" w:rsidRPr="00E35921" w:rsidRDefault="00052AA2" w:rsidP="00AC4D8A">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1481/S/18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35247E"/>
    <w:multiLevelType w:val="hybridMultilevel"/>
    <w:tmpl w:val="7E7003EC"/>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8B1529"/>
    <w:multiLevelType w:val="hybridMultilevel"/>
    <w:tmpl w:val="FD74F16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35C70C1"/>
    <w:multiLevelType w:val="multilevel"/>
    <w:tmpl w:val="EC16AF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2E1762"/>
    <w:multiLevelType w:val="multilevel"/>
    <w:tmpl w:val="42761C74"/>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cs="Times New Roman" w:hint="default"/>
      </w:rPr>
    </w:lvl>
    <w:lvl w:ilvl="4">
      <w:start w:val="1"/>
      <w:numFmt w:val="decimal"/>
      <w:lvlText w:val="(%5)"/>
      <w:lvlJc w:val="left"/>
      <w:pPr>
        <w:ind w:left="2268" w:hanging="708"/>
      </w:pPr>
      <w:rPr>
        <w:rFonts w:cs="Times New Roman" w:hint="default"/>
      </w:rPr>
    </w:lvl>
    <w:lvl w:ilvl="5">
      <w:start w:val="1"/>
      <w:numFmt w:val="lowerLetter"/>
      <w:lvlText w:val="(%6)"/>
      <w:lvlJc w:val="left"/>
      <w:pPr>
        <w:ind w:left="2976" w:hanging="708"/>
      </w:pPr>
      <w:rPr>
        <w:rFonts w:cs="Times New Roman" w:hint="default"/>
      </w:rPr>
    </w:lvl>
    <w:lvl w:ilvl="6">
      <w:start w:val="1"/>
      <w:numFmt w:val="lowerRoman"/>
      <w:lvlText w:val="(%7)"/>
      <w:lvlJc w:val="left"/>
      <w:pPr>
        <w:ind w:left="3684" w:hanging="708"/>
      </w:pPr>
      <w:rPr>
        <w:rFonts w:cs="Times New Roman" w:hint="default"/>
      </w:rPr>
    </w:lvl>
    <w:lvl w:ilvl="7">
      <w:start w:val="1"/>
      <w:numFmt w:val="lowerLetter"/>
      <w:lvlText w:val="(%8)"/>
      <w:lvlJc w:val="left"/>
      <w:pPr>
        <w:ind w:left="4392" w:hanging="708"/>
      </w:pPr>
      <w:rPr>
        <w:rFonts w:cs="Times New Roman" w:hint="default"/>
      </w:rPr>
    </w:lvl>
    <w:lvl w:ilvl="8">
      <w:start w:val="1"/>
      <w:numFmt w:val="lowerRoman"/>
      <w:lvlText w:val="(%9)"/>
      <w:lvlJc w:val="left"/>
      <w:pPr>
        <w:ind w:left="5100" w:hanging="708"/>
      </w:pPr>
      <w:rPr>
        <w:rFonts w:cs="Times New Roman" w:hint="default"/>
      </w:rPr>
    </w:lvl>
  </w:abstractNum>
  <w:abstractNum w:abstractNumId="1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11"/>
  </w:num>
  <w:num w:numId="2">
    <w:abstractNumId w:val="8"/>
  </w:num>
  <w:num w:numId="3">
    <w:abstractNumId w:val="14"/>
  </w:num>
  <w:num w:numId="4">
    <w:abstractNumId w:val="5"/>
  </w:num>
  <w:num w:numId="5">
    <w:abstractNumId w:val="7"/>
  </w:num>
  <w:num w:numId="6">
    <w:abstractNumId w:val="10"/>
  </w:num>
  <w:num w:numId="7">
    <w:abstractNumId w:val="4"/>
  </w:num>
  <w:num w:numId="8">
    <w:abstractNumId w:val="19"/>
  </w:num>
  <w:num w:numId="9">
    <w:abstractNumId w:val="19"/>
  </w:num>
  <w:num w:numId="10">
    <w:abstractNumId w:val="16"/>
  </w:num>
  <w:num w:numId="11">
    <w:abstractNumId w:val="0"/>
  </w:num>
  <w:num w:numId="12">
    <w:abstractNumId w:val="3"/>
  </w:num>
  <w:num w:numId="13">
    <w:abstractNumId w:val="2"/>
  </w:num>
  <w:num w:numId="14">
    <w:abstractNumId w:val="15"/>
  </w:num>
  <w:num w:numId="15">
    <w:abstractNumId w:val="9"/>
  </w:num>
  <w:num w:numId="16">
    <w:abstractNumId w:val="13"/>
  </w:num>
  <w:num w:numId="17">
    <w:abstractNumId w:val="17"/>
  </w:num>
  <w:num w:numId="18">
    <w:abstractNumId w:val="1"/>
  </w:num>
  <w:num w:numId="19">
    <w:abstractNumId w:val="1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5E58"/>
    <w:rsid w:val="00016C6F"/>
    <w:rsid w:val="000214DB"/>
    <w:rsid w:val="000218FB"/>
    <w:rsid w:val="00024373"/>
    <w:rsid w:val="00052AA2"/>
    <w:rsid w:val="000772D9"/>
    <w:rsid w:val="000B1C90"/>
    <w:rsid w:val="000E753F"/>
    <w:rsid w:val="000F2CB2"/>
    <w:rsid w:val="00104BC7"/>
    <w:rsid w:val="00133A3A"/>
    <w:rsid w:val="00134A75"/>
    <w:rsid w:val="0015096A"/>
    <w:rsid w:val="00152CB9"/>
    <w:rsid w:val="00190356"/>
    <w:rsid w:val="001A2A81"/>
    <w:rsid w:val="001A7DB2"/>
    <w:rsid w:val="001B04FE"/>
    <w:rsid w:val="0020091A"/>
    <w:rsid w:val="00226C17"/>
    <w:rsid w:val="00260792"/>
    <w:rsid w:val="002718EC"/>
    <w:rsid w:val="00290BFA"/>
    <w:rsid w:val="002A4411"/>
    <w:rsid w:val="002B4C92"/>
    <w:rsid w:val="00314525"/>
    <w:rsid w:val="00316EE2"/>
    <w:rsid w:val="003330F4"/>
    <w:rsid w:val="00354239"/>
    <w:rsid w:val="00385BDA"/>
    <w:rsid w:val="0039744A"/>
    <w:rsid w:val="003E3765"/>
    <w:rsid w:val="003F77BE"/>
    <w:rsid w:val="00423BED"/>
    <w:rsid w:val="00455262"/>
    <w:rsid w:val="00461633"/>
    <w:rsid w:val="00480845"/>
    <w:rsid w:val="004851BA"/>
    <w:rsid w:val="004A46A8"/>
    <w:rsid w:val="004D0CD7"/>
    <w:rsid w:val="004F657C"/>
    <w:rsid w:val="005245F0"/>
    <w:rsid w:val="00537041"/>
    <w:rsid w:val="00554679"/>
    <w:rsid w:val="005567F4"/>
    <w:rsid w:val="00597070"/>
    <w:rsid w:val="005B7856"/>
    <w:rsid w:val="005E66AB"/>
    <w:rsid w:val="005E6D2D"/>
    <w:rsid w:val="005F6B05"/>
    <w:rsid w:val="0060173D"/>
    <w:rsid w:val="00617609"/>
    <w:rsid w:val="00651F88"/>
    <w:rsid w:val="00654B7A"/>
    <w:rsid w:val="006809E6"/>
    <w:rsid w:val="006E68D1"/>
    <w:rsid w:val="006F568D"/>
    <w:rsid w:val="00712DF9"/>
    <w:rsid w:val="00714F8B"/>
    <w:rsid w:val="00715424"/>
    <w:rsid w:val="0072729C"/>
    <w:rsid w:val="007B2718"/>
    <w:rsid w:val="007D5033"/>
    <w:rsid w:val="007E67CB"/>
    <w:rsid w:val="0080682D"/>
    <w:rsid w:val="008107D6"/>
    <w:rsid w:val="00844AF7"/>
    <w:rsid w:val="008838E2"/>
    <w:rsid w:val="008B0789"/>
    <w:rsid w:val="008E1103"/>
    <w:rsid w:val="00912855"/>
    <w:rsid w:val="009409E0"/>
    <w:rsid w:val="00983D24"/>
    <w:rsid w:val="009913BF"/>
    <w:rsid w:val="009A273E"/>
    <w:rsid w:val="009D445C"/>
    <w:rsid w:val="009D73A4"/>
    <w:rsid w:val="009E5D98"/>
    <w:rsid w:val="00A154F5"/>
    <w:rsid w:val="00A43286"/>
    <w:rsid w:val="00A511FB"/>
    <w:rsid w:val="00A51A50"/>
    <w:rsid w:val="00A52A9B"/>
    <w:rsid w:val="00AB688F"/>
    <w:rsid w:val="00AC23C3"/>
    <w:rsid w:val="00AC261B"/>
    <w:rsid w:val="00AE0EF3"/>
    <w:rsid w:val="00B25AA1"/>
    <w:rsid w:val="00B45E49"/>
    <w:rsid w:val="00B57119"/>
    <w:rsid w:val="00BA6194"/>
    <w:rsid w:val="00BC7321"/>
    <w:rsid w:val="00BD0705"/>
    <w:rsid w:val="00BD6D8D"/>
    <w:rsid w:val="00BD7B97"/>
    <w:rsid w:val="00C06761"/>
    <w:rsid w:val="00C2643A"/>
    <w:rsid w:val="00C41EA2"/>
    <w:rsid w:val="00C51746"/>
    <w:rsid w:val="00C548A4"/>
    <w:rsid w:val="00D0654E"/>
    <w:rsid w:val="00D5226A"/>
    <w:rsid w:val="00D56288"/>
    <w:rsid w:val="00D82FBE"/>
    <w:rsid w:val="00DB0584"/>
    <w:rsid w:val="00DD55D1"/>
    <w:rsid w:val="00DF263F"/>
    <w:rsid w:val="00DF5725"/>
    <w:rsid w:val="00E07271"/>
    <w:rsid w:val="00E11FB2"/>
    <w:rsid w:val="00E13546"/>
    <w:rsid w:val="00E26703"/>
    <w:rsid w:val="00E5368D"/>
    <w:rsid w:val="00EB09D7"/>
    <w:rsid w:val="00ED0875"/>
    <w:rsid w:val="00ED7469"/>
    <w:rsid w:val="00EF0EEB"/>
    <w:rsid w:val="00F00822"/>
    <w:rsid w:val="00F23569"/>
    <w:rsid w:val="00F33F34"/>
    <w:rsid w:val="00F549A3"/>
    <w:rsid w:val="00F56E58"/>
    <w:rsid w:val="00FA1250"/>
    <w:rsid w:val="00FA6436"/>
    <w:rsid w:val="00FB3576"/>
    <w:rsid w:val="00FE5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92843A"/>
  <w15:docId w15:val="{46C81FB1-6C78-4900-B3F8-1AA8B64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basedOn w:val="Normln"/>
    <w:uiPriority w:val="34"/>
    <w:qFormat/>
    <w:rsid w:val="00597070"/>
    <w:pPr>
      <w:ind w:left="708"/>
    </w:pPr>
  </w:style>
  <w:style w:type="character" w:styleId="Odkaznakoment">
    <w:name w:val="annotation reference"/>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platne1">
    <w:name w:val="platne1"/>
    <w:basedOn w:val="Standardnpsmoodstavce"/>
    <w:rsid w:val="00651F88"/>
  </w:style>
  <w:style w:type="character" w:styleId="Nevyeenzmnka">
    <w:name w:val="Unresolved Mention"/>
    <w:basedOn w:val="Standardnpsmoodstavce"/>
    <w:uiPriority w:val="99"/>
    <w:semiHidden/>
    <w:unhideWhenUsed/>
    <w:rsid w:val="000772D9"/>
    <w:rPr>
      <w:color w:val="808080"/>
      <w:shd w:val="clear" w:color="auto" w:fill="E6E6E6"/>
    </w:rPr>
  </w:style>
  <w:style w:type="paragraph" w:styleId="Zhlav">
    <w:name w:val="header"/>
    <w:basedOn w:val="Normln"/>
    <w:link w:val="ZhlavChar"/>
    <w:uiPriority w:val="99"/>
    <w:unhideWhenUsed/>
    <w:rsid w:val="00052AA2"/>
    <w:pPr>
      <w:tabs>
        <w:tab w:val="center" w:pos="4536"/>
        <w:tab w:val="right" w:pos="9072"/>
      </w:tabs>
    </w:pPr>
  </w:style>
  <w:style w:type="character" w:customStyle="1" w:styleId="ZhlavChar">
    <w:name w:val="Záhlaví Char"/>
    <w:basedOn w:val="Standardnpsmoodstavce"/>
    <w:link w:val="Zhlav"/>
    <w:uiPriority w:val="99"/>
    <w:rsid w:val="00052AA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2AA2"/>
    <w:pPr>
      <w:tabs>
        <w:tab w:val="center" w:pos="4536"/>
        <w:tab w:val="right" w:pos="9072"/>
      </w:tabs>
    </w:pPr>
  </w:style>
  <w:style w:type="character" w:customStyle="1" w:styleId="ZpatChar">
    <w:name w:val="Zápatí Char"/>
    <w:basedOn w:val="Standardnpsmoodstavce"/>
    <w:link w:val="Zpat"/>
    <w:uiPriority w:val="99"/>
    <w:rsid w:val="00052AA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1621-1481/1481-2018-rs.docx</ZkracenyRetezec>
    <Smazat xmlns="acca34e4-9ecd-41c8-99eb-d6aa654aaa55">&lt;a href="/sites/evidencesmluv/_layouts/15/IniWrkflIP.aspx?List=%7b44b44870-78c6-45e2-bbaf-ee3bbc51e808%7d&amp;amp;ID=1844&amp;amp;ItemGuid=%7bCF2AB99A-477D-494E-9317-7F7AD1FC7073%7d&amp;amp;TemplateID=%7bc9672366-ba83-4c7a-b3ac-82af318e27d3%7d"&gt;&lt;img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F2306-8D82-4AA8-95FC-D87A650CBC1D}"/>
</file>

<file path=customXml/itemProps2.xml><?xml version="1.0" encoding="utf-8"?>
<ds:datastoreItem xmlns:ds="http://schemas.openxmlformats.org/officeDocument/2006/customXml" ds:itemID="{B3D94E65-3151-42B3-8E74-630DF030D728}"/>
</file>

<file path=customXml/itemProps3.xml><?xml version="1.0" encoding="utf-8"?>
<ds:datastoreItem xmlns:ds="http://schemas.openxmlformats.org/officeDocument/2006/customXml" ds:itemID="{C4E1E9E3-48B8-4208-B16A-01B2366EB466}"/>
</file>

<file path=customXml/itemProps4.xml><?xml version="1.0" encoding="utf-8"?>
<ds:datastoreItem xmlns:ds="http://schemas.openxmlformats.org/officeDocument/2006/customXml" ds:itemID="{37B3E2FA-5608-46A2-97F8-BD1EF0E36DE8}">
  <ds:schemaRefs>
    <ds:schemaRef ds:uri="http://schemas.microsoft.com/sharepoint/events"/>
  </ds:schemaRefs>
</ds:datastoreItem>
</file>

<file path=customXml/itemProps5.xml><?xml version="1.0" encoding="utf-8"?>
<ds:datastoreItem xmlns:ds="http://schemas.openxmlformats.org/officeDocument/2006/customXml" ds:itemID="{73D1E15C-259E-438E-9E44-22143153D1DD}"/>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10628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12962 - 1481-2018_licenční-databáze HGMD_DYNEX TECHNOLOGIES_ÚI</vt:lpstr>
    </vt:vector>
  </TitlesOfParts>
  <Company>VFN Praha</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12962 - 1481-2018_licenční-databáze HGMD_DYNEX TECHNOLOGIES_ÚI</dc:title>
  <dc:creator>11668</dc:creator>
  <cp:lastModifiedBy>Nováková Izabela, DiS.</cp:lastModifiedBy>
  <cp:revision>2</cp:revision>
  <cp:lastPrinted>2018-09-06T06:41:00Z</cp:lastPrinted>
  <dcterms:created xsi:type="dcterms:W3CDTF">2018-10-01T11:48:00Z</dcterms:created>
  <dcterms:modified xsi:type="dcterms:W3CDTF">2018-10-01T11:48:00Z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SetBy">
    <vt:lpwstr>11668@vfn.cz</vt:lpwstr>
  </property>
  <property fmtid="{D5CDD505-2E9C-101B-9397-08002B2CF9AE}" pid="6" name="MSIP_Label_2063cd7f-2d21-486a-9f29-9c1683fdd175_SetDate">
    <vt:lpwstr>2017-06-13T13:41:17.5557849+02:00</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0x010100EFF427952D4E634383E9B8E9D938055A00FBA732E31716E2448571AD6F86FC8569</vt:lpwstr>
  </property>
  <property fmtid="{D5CDD505-2E9C-101B-9397-08002B2CF9AE}" pid="12" name="_dlc_DocIdItemGuid">
    <vt:lpwstr>38861a2d-991c-461d-b57b-3b46df7eb17f</vt:lpwstr>
  </property>
  <property fmtid="{D5CDD505-2E9C-101B-9397-08002B2CF9AE}" pid="13"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4" name="Block_WF">
    <vt:r8>1</vt:r8>
  </property>
</Properties>
</file>