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F302B2" w:rsidRPr="00F302B2" w:rsidTr="00FD1E2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302B2" w:rsidRPr="00F302B2" w:rsidTr="00FD1E2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>KRÄNZLE, spol. s r. o.</w:t>
            </w:r>
          </w:p>
        </w:tc>
      </w:tr>
      <w:tr w:rsidR="00F302B2" w:rsidRPr="00F302B2" w:rsidTr="00FD1E2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>Sportovní 630/13</w:t>
            </w:r>
          </w:p>
        </w:tc>
      </w:tr>
      <w:tr w:rsidR="00F302B2" w:rsidRPr="00F302B2" w:rsidTr="00FD1E2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>360  01  Karlovy</w:t>
            </w:r>
            <w:proofErr w:type="gramEnd"/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 xml:space="preserve"> Vary</w:t>
            </w:r>
          </w:p>
        </w:tc>
      </w:tr>
      <w:tr w:rsidR="00F302B2" w:rsidRPr="00F302B2" w:rsidTr="00FD1E2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>IČ: 00884634</w:t>
            </w:r>
          </w:p>
        </w:tc>
      </w:tr>
      <w:tr w:rsidR="00F302B2" w:rsidRPr="00F302B2" w:rsidTr="00FD1E2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F302B2" w:rsidRPr="00F302B2" w:rsidTr="00FD1E21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26.09.2018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302B2" w:rsidRPr="00F302B2" w:rsidTr="00FD1E21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</w:pPr>
            <w:r w:rsidRPr="00F302B2">
              <w:rPr>
                <w:rFonts w:ascii="Arial" w:eastAsiaTheme="minorEastAsia" w:hAnsi="Arial" w:cs="Arial"/>
                <w:b/>
                <w:color w:val="000000"/>
                <w:sz w:val="21"/>
                <w:szCs w:val="21"/>
                <w:lang w:eastAsia="cs-CZ"/>
              </w:rPr>
              <w:t>OBJ70-30108/2018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Kopecká Svatava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353 151 419</w:t>
            </w: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F302B2" w:rsidRPr="00F302B2" w:rsidTr="00FD1E2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F302B2" w:rsidRPr="00F302B2" w:rsidTr="00FD1E2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</w:pPr>
            <w:r w:rsidRPr="00F302B2">
              <w:rPr>
                <w:rFonts w:ascii="Times New Roman" w:eastAsiaTheme="minorEastAsia" w:hAnsi="Times New Roman" w:cs="Times New Roman"/>
                <w:b/>
                <w:bCs/>
                <w:color w:val="000000"/>
                <w:u w:val="single"/>
                <w:lang w:eastAsia="cs-CZ"/>
              </w:rPr>
              <w:t>Objednáváme u Vás:</w:t>
            </w:r>
            <w:r w:rsidRPr="00F302B2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F302B2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  <w:t xml:space="preserve">Dodání čistící soupravy </w:t>
            </w:r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 xml:space="preserve">v rozsahu cenové nabídky ze dne </w:t>
            </w:r>
            <w:proofErr w:type="gramStart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>6.9.2018</w:t>
            </w:r>
            <w:proofErr w:type="gramEnd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 xml:space="preserve"> viz příloha. Jednotlivé komponenty mohou být dodány odděleně, fakturovat lze na základě dílčích faktur. Dodávku na základě telefonické výzvy (Ing. Kučera, 602 582 426) vyzvedne na provozovně ve Sportovní ulici v Karlových Varech zástupce Správy lázeňských parků </w:t>
            </w:r>
            <w:proofErr w:type="spellStart"/>
            <w:proofErr w:type="gramStart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>p.o</w:t>
            </w:r>
            <w:proofErr w:type="spellEnd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>.</w:t>
            </w:r>
            <w:proofErr w:type="gramEnd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  <w:t xml:space="preserve">Cena se sjednává jako smluvní. </w:t>
            </w:r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  <w:t xml:space="preserve">K faktuře přiložte kopii objednávky. </w:t>
            </w:r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  <w:t xml:space="preserve">Splatnost </w:t>
            </w:r>
            <w:proofErr w:type="gramStart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>faktury : 21</w:t>
            </w:r>
            <w:proofErr w:type="gramEnd"/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 xml:space="preserve"> dní ode dne doručení</w:t>
            </w:r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</w:r>
            <w:r w:rsidRPr="00F302B2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</w:pPr>
            <w:r w:rsidRPr="00F302B2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t>464 485,00 Kč</w:t>
            </w: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F302B2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cs-CZ"/>
              </w:rPr>
              <w:t>(včetně DPH 21%)</w:t>
            </w: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F302B2" w:rsidRPr="00F302B2" w:rsidTr="00FD1E2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15.10.2018</w:t>
            </w:r>
            <w:proofErr w:type="gramEnd"/>
          </w:p>
        </w:tc>
      </w:tr>
      <w:tr w:rsidR="00F302B2" w:rsidRPr="00F302B2" w:rsidTr="00FD1E2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F302B2" w:rsidRPr="00F302B2" w:rsidTr="00FD1E2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F302B2" w:rsidRPr="00F302B2" w:rsidTr="00FD1E2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F302B2" w:rsidRPr="00F302B2" w:rsidTr="00FD1E21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Objednatel si vyhrazuje právo proplatit fakturu </w:t>
            </w:r>
            <w:proofErr w:type="gramStart"/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  dnů</w:t>
            </w:r>
            <w:proofErr w:type="gramEnd"/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ode dne doručení, pokud bude obsahovat veškeré náležitosti.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302B2" w:rsidRPr="00F302B2" w:rsidTr="00FD1E2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00884634, konstantní symbol 1148, specifický symbol 00254657 (§ 109a zákona o DPH).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302B2" w:rsidRPr="00F302B2" w:rsidRDefault="00F302B2" w:rsidP="00F30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                                                              …………………………………………………………………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F302B2" w:rsidRPr="00F302B2" w:rsidTr="00FD1E2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F302B2" w:rsidRPr="00F302B2" w:rsidTr="00FD1E2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302B2" w:rsidRPr="00F302B2" w:rsidRDefault="00F302B2" w:rsidP="00F3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302B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 technického</w:t>
            </w:r>
          </w:p>
        </w:tc>
      </w:tr>
    </w:tbl>
    <w:p w:rsidR="00F302B2" w:rsidRPr="00F302B2" w:rsidRDefault="00F302B2" w:rsidP="00F302B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lang w:eastAsia="cs-CZ"/>
        </w:rPr>
      </w:pPr>
      <w:r w:rsidRPr="00F302B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9438D" w:rsidRDefault="00A9438D"/>
    <w:sectPr w:rsidR="00A9438D" w:rsidSect="006C2A32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F302B2"/>
    <w:rsid w:val="00A9438D"/>
    <w:rsid w:val="00F3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3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</dc:creator>
  <cp:keywords/>
  <dc:description/>
  <cp:lastModifiedBy/>
  <cp:revision>1</cp:revision>
  <dcterms:created xsi:type="dcterms:W3CDTF">2018-09-26T13:53:00Z</dcterms:created>
</cp:coreProperties>
</file>