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Mgr. Dana Lišková, ředitelka Krajského pozemkového úřadu pro Moravskoslezský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Libušina 502/5, 70200 Ostrava</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C60F16"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r>
    </w:p>
    <w:p w:rsidR="00F82692" w:rsidRPr="001D58B7" w:rsidRDefault="00F82692" w:rsidP="00F82692">
      <w:pPr>
        <w:widowControl/>
        <w:rPr>
          <w:rFonts w:ascii="Arial" w:hAnsi="Arial" w:cs="Arial"/>
          <w:sz w:val="22"/>
          <w:szCs w:val="22"/>
        </w:rPr>
      </w:pPr>
      <w:bookmarkStart w:id="0" w:name="_GoBack"/>
      <w:bookmarkEnd w:id="0"/>
      <w:r w:rsidRPr="001D58B7">
        <w:rPr>
          <w:rFonts w:ascii="Arial" w:hAnsi="Arial" w:cs="Arial"/>
          <w:sz w:val="22"/>
          <w:szCs w:val="22"/>
        </w:rPr>
        <w:t>variabilní symbol: 1008951856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9F7EF9" w:rsidRDefault="002E0000" w:rsidP="009F7EF9">
      <w:pPr>
        <w:widowControl/>
        <w:rPr>
          <w:rFonts w:ascii="Arial" w:hAnsi="Arial" w:cs="Arial"/>
          <w:color w:val="000000"/>
          <w:sz w:val="22"/>
          <w:szCs w:val="22"/>
        </w:rPr>
      </w:pPr>
      <w:r>
        <w:rPr>
          <w:rFonts w:ascii="Arial" w:hAnsi="Arial" w:cs="Arial"/>
          <w:b/>
          <w:color w:val="000000"/>
          <w:sz w:val="22"/>
          <w:szCs w:val="22"/>
        </w:rPr>
        <w:t>ZEMSPOL STUDÉNKA</w:t>
      </w:r>
      <w:r w:rsidR="009F7EF9" w:rsidRPr="001D58B7">
        <w:rPr>
          <w:rFonts w:ascii="Arial" w:hAnsi="Arial" w:cs="Arial"/>
          <w:b/>
          <w:color w:val="000000"/>
          <w:sz w:val="22"/>
          <w:szCs w:val="22"/>
        </w:rPr>
        <w:t>, a.s.</w:t>
      </w:r>
      <w:r w:rsidR="009F7EF9" w:rsidRPr="001D58B7">
        <w:rPr>
          <w:rFonts w:ascii="Arial" w:hAnsi="Arial" w:cs="Arial"/>
          <w:color w:val="000000"/>
          <w:sz w:val="22"/>
          <w:szCs w:val="22"/>
        </w:rPr>
        <w:t>, sídlo Pustějov čp. 92, Pustějov, PSČ 742</w:t>
      </w:r>
      <w:r w:rsidR="009F7EF9">
        <w:rPr>
          <w:rFonts w:ascii="Arial" w:hAnsi="Arial" w:cs="Arial"/>
          <w:color w:val="000000"/>
          <w:sz w:val="22"/>
          <w:szCs w:val="22"/>
        </w:rPr>
        <w:t xml:space="preserve"> </w:t>
      </w:r>
      <w:r w:rsidR="009F7EF9" w:rsidRPr="001D58B7">
        <w:rPr>
          <w:rFonts w:ascii="Arial" w:hAnsi="Arial" w:cs="Arial"/>
          <w:color w:val="000000"/>
          <w:sz w:val="22"/>
          <w:szCs w:val="22"/>
        </w:rPr>
        <w:t>43, IČO 61974986, zapsán v OR vedeném Krajským soudem v Ostravě, odd</w:t>
      </w:r>
      <w:r w:rsidR="009F7EF9">
        <w:rPr>
          <w:rFonts w:ascii="Arial" w:hAnsi="Arial" w:cs="Arial"/>
          <w:color w:val="000000"/>
          <w:sz w:val="22"/>
          <w:szCs w:val="22"/>
        </w:rPr>
        <w:t>íl B</w:t>
      </w:r>
      <w:r w:rsidR="009F7EF9" w:rsidRPr="001D58B7">
        <w:rPr>
          <w:rFonts w:ascii="Arial" w:hAnsi="Arial" w:cs="Arial"/>
          <w:color w:val="000000"/>
          <w:sz w:val="22"/>
          <w:szCs w:val="22"/>
        </w:rPr>
        <w:t>, vložka 1164</w:t>
      </w:r>
      <w:r w:rsidR="009F7EF9">
        <w:rPr>
          <w:rFonts w:ascii="Arial" w:hAnsi="Arial" w:cs="Arial"/>
          <w:color w:val="000000"/>
          <w:sz w:val="22"/>
          <w:szCs w:val="22"/>
        </w:rPr>
        <w:t>,</w:t>
      </w:r>
    </w:p>
    <w:p w:rsidR="009F7EF9" w:rsidRDefault="009F7EF9" w:rsidP="009F7EF9">
      <w:pPr>
        <w:widowControl/>
        <w:rPr>
          <w:rFonts w:ascii="Arial" w:hAnsi="Arial" w:cs="Arial"/>
          <w:color w:val="000000"/>
          <w:sz w:val="22"/>
          <w:szCs w:val="22"/>
        </w:rPr>
      </w:pPr>
    </w:p>
    <w:p w:rsidR="009F7EF9" w:rsidRDefault="009F7EF9" w:rsidP="009F7EF9">
      <w:pPr>
        <w:widowControl/>
        <w:rPr>
          <w:rFonts w:ascii="Arial" w:hAnsi="Arial" w:cs="Arial"/>
          <w:color w:val="000000"/>
          <w:sz w:val="22"/>
          <w:szCs w:val="22"/>
        </w:rPr>
      </w:pPr>
      <w:r>
        <w:rPr>
          <w:rFonts w:ascii="Arial" w:hAnsi="Arial" w:cs="Arial"/>
          <w:color w:val="000000"/>
          <w:sz w:val="22"/>
          <w:szCs w:val="22"/>
        </w:rPr>
        <w:t xml:space="preserve">kterou zastupuje </w:t>
      </w:r>
      <w:r w:rsidR="00BA3CB0">
        <w:rPr>
          <w:rFonts w:ascii="Arial" w:hAnsi="Arial" w:cs="Arial"/>
          <w:color w:val="000000"/>
          <w:sz w:val="22"/>
          <w:szCs w:val="22"/>
        </w:rPr>
        <w:t>xxxxxxxxx</w:t>
      </w:r>
      <w:r>
        <w:rPr>
          <w:rFonts w:ascii="Arial" w:hAnsi="Arial" w:cs="Arial"/>
          <w:color w:val="000000"/>
          <w:sz w:val="22"/>
          <w:szCs w:val="22"/>
        </w:rPr>
        <w:t xml:space="preserve">, předseda představenstva </w:t>
      </w:r>
    </w:p>
    <w:p w:rsidR="009F7EF9" w:rsidRDefault="009F7EF9" w:rsidP="009F7EF9">
      <w:pPr>
        <w:widowControl/>
        <w:rPr>
          <w:rFonts w:ascii="Arial" w:hAnsi="Arial" w:cs="Arial"/>
          <w:color w:val="000000"/>
          <w:sz w:val="22"/>
          <w:szCs w:val="22"/>
        </w:rPr>
      </w:pPr>
      <w:r>
        <w:rPr>
          <w:rFonts w:ascii="Arial" w:hAnsi="Arial" w:cs="Arial"/>
          <w:color w:val="000000"/>
          <w:sz w:val="22"/>
          <w:szCs w:val="22"/>
        </w:rPr>
        <w:t xml:space="preserve">  </w:t>
      </w:r>
      <w:r w:rsidR="00BA3CB0">
        <w:rPr>
          <w:rFonts w:ascii="Arial" w:hAnsi="Arial" w:cs="Arial"/>
          <w:color w:val="000000"/>
          <w:sz w:val="22"/>
          <w:szCs w:val="22"/>
        </w:rPr>
        <w:t xml:space="preserve">                         </w:t>
      </w:r>
      <w:r w:rsidR="00C60F16">
        <w:rPr>
          <w:rFonts w:ascii="Arial" w:hAnsi="Arial" w:cs="Arial"/>
          <w:color w:val="000000"/>
          <w:sz w:val="22"/>
          <w:szCs w:val="22"/>
        </w:rPr>
        <w:t>xxxxxxxxx</w:t>
      </w:r>
      <w:r>
        <w:rPr>
          <w:rFonts w:ascii="Arial" w:hAnsi="Arial" w:cs="Arial"/>
          <w:color w:val="000000"/>
          <w:sz w:val="22"/>
          <w:szCs w:val="22"/>
        </w:rPr>
        <w:t>, člen představenstva</w:t>
      </w:r>
      <w:r w:rsidRPr="001D58B7">
        <w:rPr>
          <w:rFonts w:ascii="Arial" w:hAnsi="Arial" w:cs="Arial"/>
          <w:color w:val="000000"/>
          <w:sz w:val="22"/>
          <w:szCs w:val="22"/>
        </w:rPr>
        <w:t xml:space="preserve"> </w:t>
      </w:r>
    </w:p>
    <w:p w:rsidR="00F40520" w:rsidRPr="001D58B7" w:rsidRDefault="00F40520" w:rsidP="009F7EF9">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1008951856</w:t>
      </w:r>
    </w:p>
    <w:p w:rsidR="00F40520" w:rsidRPr="001D58B7" w:rsidRDefault="00F40520">
      <w:pPr>
        <w:widowControl/>
        <w:rPr>
          <w:rFonts w:ascii="Arial" w:hAnsi="Arial" w:cs="Arial"/>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I.</w:t>
      </w:r>
    </w:p>
    <w:p w:rsidR="009F7EF9" w:rsidRPr="001D58B7" w:rsidRDefault="009F7EF9">
      <w:pPr>
        <w:pStyle w:val="para"/>
        <w:widowControl/>
        <w:rPr>
          <w:rFonts w:ascii="Arial" w:hAnsi="Arial" w:cs="Arial"/>
          <w:sz w:val="22"/>
          <w:szCs w:val="22"/>
        </w:rPr>
      </w:pP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Moravskoslezský kraj se sídlem v Opavě, Katastrální pracoviště Nový Jičín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500</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502</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503</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505</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506/3</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506/6</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506/7</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9F7EF9" w:rsidRDefault="009F7EF9">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lastRenderedPageBreak/>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506/9</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506/24</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506/25</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506/26</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507</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510</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512/5</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Studénka</w:t>
      </w:r>
      <w:r w:rsidRPr="001D58B7">
        <w:rPr>
          <w:rFonts w:ascii="Arial" w:hAnsi="Arial" w:cs="Arial"/>
          <w:sz w:val="18"/>
          <w:szCs w:val="18"/>
        </w:rPr>
        <w:tab/>
        <w:t>Studénka nad Odrou</w:t>
      </w:r>
      <w:r w:rsidRPr="001D58B7">
        <w:rPr>
          <w:rFonts w:ascii="Arial" w:hAnsi="Arial" w:cs="Arial"/>
          <w:sz w:val="18"/>
          <w:szCs w:val="18"/>
        </w:rPr>
        <w:tab/>
        <w:t>512/9</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Default="00F40520">
      <w:pPr>
        <w:pStyle w:val="para"/>
        <w:widowControl/>
        <w:rPr>
          <w:rFonts w:ascii="Arial" w:hAnsi="Arial" w:cs="Arial"/>
          <w:sz w:val="22"/>
          <w:szCs w:val="22"/>
        </w:rPr>
      </w:pPr>
      <w:r w:rsidRPr="001D58B7">
        <w:rPr>
          <w:rFonts w:ascii="Arial" w:hAnsi="Arial" w:cs="Arial"/>
          <w:sz w:val="22"/>
          <w:szCs w:val="22"/>
        </w:rPr>
        <w:t>II.</w:t>
      </w:r>
    </w:p>
    <w:p w:rsidR="009F7EF9" w:rsidRPr="001D58B7" w:rsidRDefault="009F7EF9">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9F7EF9">
        <w:rPr>
          <w:rFonts w:ascii="Arial" w:hAnsi="Arial" w:cs="Arial"/>
          <w:sz w:val="22"/>
          <w:szCs w:val="22"/>
        </w:rPr>
        <w:t>§ 10 odst. 3, 4)</w:t>
      </w:r>
      <w:r w:rsidR="009F7EF9" w:rsidRPr="001D58B7">
        <w:rPr>
          <w:rFonts w:ascii="Arial" w:hAnsi="Arial" w:cs="Arial"/>
          <w:sz w:val="22"/>
          <w:szCs w:val="22"/>
        </w:rPr>
        <w:t xml:space="preserve">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III.</w:t>
      </w:r>
    </w:p>
    <w:p w:rsidR="009F7EF9" w:rsidRPr="001D58B7" w:rsidRDefault="009F7EF9">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 xml:space="preserve">smlouvy, kupuje. Vlastnické právo </w:t>
      </w:r>
      <w:r w:rsidR="00AE3E19">
        <w:rPr>
          <w:rFonts w:ascii="Arial" w:hAnsi="Arial" w:cs="Arial"/>
          <w:sz w:val="22"/>
          <w:szCs w:val="22"/>
        </w:rPr>
        <w:br/>
      </w:r>
      <w:r w:rsidRPr="001D58B7">
        <w:rPr>
          <w:rFonts w:ascii="Arial" w:hAnsi="Arial" w:cs="Arial"/>
          <w:sz w:val="22"/>
          <w:szCs w:val="22"/>
        </w:rPr>
        <w:t>k pozemkům přechází na kupujícího vkladem do katastru nemovitostí na základě této smlouvy.</w:t>
      </w:r>
    </w:p>
    <w:p w:rsidR="00F40520" w:rsidRDefault="00F40520">
      <w:pPr>
        <w:widowControl/>
        <w:jc w:val="center"/>
        <w:rPr>
          <w:rFonts w:ascii="Arial" w:hAnsi="Arial" w:cs="Arial"/>
          <w:b/>
          <w:bCs/>
          <w:sz w:val="22"/>
          <w:szCs w:val="22"/>
        </w:rPr>
      </w:pPr>
      <w:r w:rsidRPr="001D58B7">
        <w:rPr>
          <w:rFonts w:ascii="Arial" w:hAnsi="Arial" w:cs="Arial"/>
          <w:b/>
          <w:bCs/>
          <w:sz w:val="22"/>
          <w:szCs w:val="22"/>
        </w:rPr>
        <w:t>IV.</w:t>
      </w:r>
    </w:p>
    <w:p w:rsidR="009F7EF9" w:rsidRPr="001D58B7" w:rsidRDefault="009F7EF9">
      <w:pPr>
        <w:widowControl/>
        <w:jc w:val="center"/>
        <w:rPr>
          <w:rFonts w:ascii="Arial" w:hAnsi="Arial" w:cs="Arial"/>
          <w:sz w:val="22"/>
          <w:szCs w:val="22"/>
        </w:rPr>
      </w:pP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500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31 152,00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3 115,00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28 037,00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3 696,00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370,00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3 326,00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189 816,00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18 982,00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170 834,00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2 904,00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2 614,00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228 096,00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22 810,00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205 286,00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506/3</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1 023 132,00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102 313,00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920 819,00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159 192,00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15 919,00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143 273,00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506/7</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215 424,00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21 542,00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193 882,00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101 244,00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10 124,00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91 120,00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506/24</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110 352,00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11 035,00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99 317,00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506/25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905 784,00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90 578,00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815 206,00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506/26</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1 980,00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1 782,00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507</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64 680,00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6 468,00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58 212,00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510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139 788,00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13 979,00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125 809,00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512/5</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215 292,00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21 529,00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193 763,00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Studénka nad Odrou</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512/9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3 960,00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396,00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3 564,00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3 396 492,00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339 648,00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3 056 844,00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339 648,00 Kč (slovy: tři sta třicet devět tisíc šest set čtyřicet osm korun českých) kupující zaplatil prodávajícímu před podpisem této smlouvy formou zálohy na úhradu kupní ceny, zbývající část, to jest částka ve výši 3 056 844,00 Kč (slovy: tři miliony padesát šest tisíc osm set čtyřicet čtyři koruny české) bude uhrazena do </w:t>
      </w:r>
      <w:r w:rsidR="00D96CDE" w:rsidRPr="00CA79DA">
        <w:rPr>
          <w:rFonts w:ascii="Arial" w:hAnsi="Arial" w:cs="Arial"/>
          <w:sz w:val="22"/>
          <w:szCs w:val="22"/>
        </w:rPr>
        <w:t xml:space="preserve">60 dnů ode dne účinnosti </w:t>
      </w:r>
      <w:r w:rsidR="00D96CDE" w:rsidRPr="00CA79DA">
        <w:rPr>
          <w:rFonts w:ascii="Arial" w:hAnsi="Arial" w:cs="Arial"/>
          <w:sz w:val="22"/>
          <w:szCs w:val="22"/>
        </w:rPr>
        <w:lastRenderedPageBreak/>
        <w:t xml:space="preserve">této smlouvy, která v souladu s ustanovením </w:t>
      </w:r>
      <w:r w:rsidR="00493B6A" w:rsidRPr="00CA79DA">
        <w:rPr>
          <w:rFonts w:ascii="Arial" w:hAnsi="Arial" w:cs="Arial"/>
          <w:sz w:val="22"/>
          <w:szCs w:val="22"/>
        </w:rPr>
        <w:t>zákona č. 340/2015 Sb.,</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-li kupující lhůtu pro úhradu kupní ceny podle tohoto článku, je povinen podle </w:t>
      </w:r>
      <w:r w:rsidR="009F7EF9">
        <w:rPr>
          <w:rFonts w:ascii="Arial" w:hAnsi="Arial" w:cs="Arial"/>
          <w:sz w:val="22"/>
          <w:szCs w:val="22"/>
        </w:rPr>
        <w:br/>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rsidP="009F7EF9">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EB696F" w:rsidRDefault="00EB696F">
      <w:pPr>
        <w:widowControl/>
      </w:pPr>
    </w:p>
    <w:p w:rsidR="00F40520" w:rsidRDefault="00F40520">
      <w:pPr>
        <w:pStyle w:val="para"/>
        <w:widowControl/>
        <w:rPr>
          <w:rFonts w:ascii="Arial" w:hAnsi="Arial" w:cs="Arial"/>
          <w:sz w:val="22"/>
          <w:szCs w:val="22"/>
        </w:rPr>
      </w:pPr>
      <w:r w:rsidRPr="001D58B7">
        <w:rPr>
          <w:rFonts w:ascii="Arial" w:hAnsi="Arial" w:cs="Arial"/>
          <w:sz w:val="22"/>
          <w:szCs w:val="22"/>
        </w:rPr>
        <w:t>V.</w:t>
      </w:r>
    </w:p>
    <w:p w:rsidR="009F7EF9" w:rsidRPr="001D58B7" w:rsidRDefault="009F7EF9">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1D58B7">
        <w:rPr>
          <w:rFonts w:ascii="Arial" w:hAnsi="Arial" w:cs="Arial"/>
          <w:sz w:val="22"/>
          <w:szCs w:val="22"/>
        </w:rPr>
        <w:t>ust.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 - 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w:t>
      </w:r>
      <w:r w:rsidR="009F7EF9">
        <w:rPr>
          <w:rFonts w:ascii="Arial" w:hAnsi="Arial" w:cs="Arial"/>
          <w:sz w:val="22"/>
          <w:szCs w:val="22"/>
        </w:rPr>
        <w:t xml:space="preserve">, </w:t>
      </w:r>
      <w:r w:rsidRPr="001D58B7">
        <w:rPr>
          <w:rFonts w:ascii="Arial" w:hAnsi="Arial" w:cs="Arial"/>
          <w:sz w:val="22"/>
          <w:szCs w:val="22"/>
        </w:rPr>
        <w:t>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rsidP="009F7EF9">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76N05/56, kterou s SPÚ, resp. dříve PF ČR uzavřela ZEMSPOL STUDÉNKA, a.s., jakožto nájemce. S obsahem nájemní smlouvy byl kupující seznámen před podpisem této smlouvy, což stvrzuje svým podpisem.</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 3) Prodávaný pozem</w:t>
      </w:r>
      <w:r w:rsidR="009F7EF9">
        <w:rPr>
          <w:rFonts w:ascii="Arial" w:hAnsi="Arial" w:cs="Arial"/>
          <w:sz w:val="22"/>
          <w:szCs w:val="22"/>
        </w:rPr>
        <w:t>ek</w:t>
      </w:r>
      <w:r w:rsidRPr="001D58B7">
        <w:rPr>
          <w:rFonts w:ascii="Arial" w:hAnsi="Arial" w:cs="Arial"/>
          <w:sz w:val="22"/>
          <w:szCs w:val="22"/>
        </w:rPr>
        <w:t xml:space="preserve"> parc.č. 512/5 v k.ú. Studénka nad Odrou je součástí společenstevní honitby Honebního společenstva Studénka, jejímž držitelem je Honební společenstvo Studénka. Prodávající a Honební společenstvo Studénka uzavřeli dohodu o přičlenění honebních pozemků  č. 18M03/56 ze dne 9.4.2003, jejímž předmětem je uvedený pozemek. Pozemek je přičleněn ke společenstevní honitbě Honební společenstvo Studénka, jejímž držitelem je Honební společenstvo Studénka.</w:t>
      </w:r>
    </w:p>
    <w:p w:rsidR="00F40520" w:rsidRPr="001D58B7" w:rsidRDefault="00F40520">
      <w:pPr>
        <w:pStyle w:val="vnitrniText"/>
        <w:widowControl/>
        <w:rPr>
          <w:rFonts w:ascii="Arial" w:hAnsi="Arial" w:cs="Arial"/>
          <w:sz w:val="22"/>
          <w:szCs w:val="22"/>
        </w:rPr>
      </w:pPr>
      <w:r w:rsidRPr="001D58B7">
        <w:rPr>
          <w:rFonts w:ascii="Arial" w:hAnsi="Arial" w:cs="Arial"/>
          <w:sz w:val="22"/>
          <w:szCs w:val="22"/>
        </w:rPr>
        <w:lastRenderedPageBreak/>
        <w:t>4) Na prodávaných pozemcích váznou tato práva třetích osob:</w:t>
      </w:r>
    </w:p>
    <w:p w:rsidR="00F40520" w:rsidRPr="001D58B7" w:rsidRDefault="00F40520" w:rsidP="009F7EF9">
      <w:pPr>
        <w:pStyle w:val="vnitrniText"/>
        <w:widowControl/>
        <w:rPr>
          <w:rFonts w:ascii="Arial" w:hAnsi="Arial" w:cs="Arial"/>
          <w:sz w:val="22"/>
          <w:szCs w:val="22"/>
        </w:rPr>
      </w:pPr>
      <w:r w:rsidRPr="001D58B7">
        <w:rPr>
          <w:rFonts w:ascii="Arial" w:hAnsi="Arial" w:cs="Arial"/>
          <w:sz w:val="22"/>
          <w:szCs w:val="22"/>
        </w:rPr>
        <w:t>Kupující bere na vědomí a je srozuměn s tím, že prodávající uzavřel smlouvu o zřízení věcného břemene č. 1112C03/56 s T-Mobile Czech Republic, a.s. a dal souhlas s tím, aby uložil a provozoval přípojku na veřejný rozvod elekt</w:t>
      </w:r>
      <w:r w:rsidR="009F7EF9">
        <w:rPr>
          <w:rFonts w:ascii="Arial" w:hAnsi="Arial" w:cs="Arial"/>
          <w:sz w:val="22"/>
          <w:szCs w:val="22"/>
        </w:rPr>
        <w:t>r</w:t>
      </w:r>
      <w:r w:rsidRPr="001D58B7">
        <w:rPr>
          <w:rFonts w:ascii="Arial" w:hAnsi="Arial" w:cs="Arial"/>
          <w:sz w:val="22"/>
          <w:szCs w:val="22"/>
        </w:rPr>
        <w:t xml:space="preserve">ické energie na prodávaném pozemku </w:t>
      </w:r>
      <w:r w:rsidR="00AE3E19">
        <w:rPr>
          <w:rFonts w:ascii="Arial" w:hAnsi="Arial" w:cs="Arial"/>
          <w:sz w:val="22"/>
          <w:szCs w:val="22"/>
        </w:rPr>
        <w:br/>
      </w:r>
      <w:r w:rsidRPr="001D58B7">
        <w:rPr>
          <w:rFonts w:ascii="Arial" w:hAnsi="Arial" w:cs="Arial"/>
          <w:sz w:val="22"/>
          <w:szCs w:val="22"/>
        </w:rPr>
        <w:t>parc.č. 506/24 v k.ú. Studénka nad Odrou, resp. na jeho části.</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 xml:space="preserve">Poplatníkem daně z nabytí nemovitých věcí dle zákonného opatření Senátu </w:t>
      </w:r>
      <w:r w:rsidR="009F7EF9">
        <w:rPr>
          <w:rFonts w:ascii="Arial" w:hAnsi="Arial" w:cs="Arial"/>
          <w:bCs/>
          <w:sz w:val="22"/>
          <w:szCs w:val="22"/>
        </w:rPr>
        <w:br/>
      </w:r>
      <w:r w:rsidR="005A233A" w:rsidRPr="001D58B7">
        <w:rPr>
          <w:rFonts w:ascii="Arial" w:hAnsi="Arial" w:cs="Arial"/>
          <w:bCs/>
          <w:sz w:val="22"/>
          <w:szCs w:val="22"/>
        </w:rPr>
        <w:t>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VIII.</w:t>
      </w:r>
    </w:p>
    <w:p w:rsidR="009F7EF9" w:rsidRPr="001D58B7" w:rsidRDefault="009F7EF9">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47DF4" w:rsidRPr="001D58B7" w:rsidRDefault="00347DF4" w:rsidP="00347DF4">
      <w:pPr>
        <w:widowControl/>
        <w:ind w:firstLine="426"/>
        <w:jc w:val="both"/>
        <w:rPr>
          <w:rFonts w:ascii="Arial" w:hAnsi="Arial" w:cs="Arial"/>
          <w:sz w:val="22"/>
          <w:szCs w:val="22"/>
        </w:rPr>
      </w:pPr>
    </w:p>
    <w:p w:rsidR="00F40520"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9F7EF9" w:rsidRPr="00347DF4" w:rsidRDefault="009F7EF9" w:rsidP="00347DF4">
      <w:pPr>
        <w:widowControl/>
        <w:ind w:firstLine="426"/>
        <w:jc w:val="center"/>
        <w:rPr>
          <w:rFonts w:ascii="Arial" w:hAnsi="Arial" w:cs="Arial"/>
          <w:b/>
          <w:bCs/>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9F7EF9">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9F7EF9">
        <w:rPr>
          <w:rFonts w:ascii="Arial" w:hAnsi="Arial" w:cs="Arial"/>
          <w:sz w:val="22"/>
          <w:szCs w:val="22"/>
        </w:rPr>
        <w:t>§ 10 odst. 3, 4)</w:t>
      </w:r>
      <w:r w:rsidR="009F7EF9" w:rsidRPr="001D58B7">
        <w:rPr>
          <w:rFonts w:ascii="Arial" w:hAnsi="Arial" w:cs="Arial"/>
          <w:sz w:val="22"/>
          <w:szCs w:val="22"/>
        </w:rPr>
        <w:t xml:space="preserve">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9F7EF9">
        <w:rPr>
          <w:rFonts w:ascii="Arial" w:hAnsi="Arial" w:cs="Arial"/>
          <w:sz w:val="22"/>
          <w:szCs w:val="22"/>
        </w:rPr>
        <w:br/>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1D58B7" w:rsidRDefault="00B070B5" w:rsidP="00335BCB">
      <w:pPr>
        <w:widowControl/>
        <w:ind w:firstLine="426"/>
        <w:jc w:val="both"/>
        <w:rPr>
          <w:rFonts w:ascii="Arial" w:hAnsi="Arial" w:cs="Arial"/>
          <w:sz w:val="22"/>
          <w:szCs w:val="22"/>
        </w:rPr>
      </w:pPr>
      <w:r w:rsidRPr="001D58B7">
        <w:rPr>
          <w:rFonts w:ascii="Arial" w:hAnsi="Arial" w:cs="Arial"/>
          <w:sz w:val="22"/>
          <w:szCs w:val="22"/>
        </w:rPr>
        <w:lastRenderedPageBreak/>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Default="00F40520">
      <w:pPr>
        <w:widowControl/>
        <w:jc w:val="center"/>
        <w:rPr>
          <w:rFonts w:ascii="Arial" w:hAnsi="Arial" w:cs="Arial"/>
          <w:b/>
          <w:bCs/>
          <w:sz w:val="22"/>
          <w:szCs w:val="22"/>
        </w:rPr>
      </w:pPr>
      <w:r w:rsidRPr="001D58B7">
        <w:rPr>
          <w:rFonts w:ascii="Arial" w:hAnsi="Arial" w:cs="Arial"/>
          <w:b/>
          <w:bCs/>
          <w:sz w:val="22"/>
          <w:szCs w:val="22"/>
        </w:rPr>
        <w:t>X.</w:t>
      </w:r>
    </w:p>
    <w:p w:rsidR="009F7EF9" w:rsidRPr="001D58B7" w:rsidRDefault="009F7EF9">
      <w:pPr>
        <w:widowControl/>
        <w:jc w:val="center"/>
        <w:rPr>
          <w:rFonts w:ascii="Arial" w:hAnsi="Arial" w:cs="Arial"/>
          <w:color w:val="000000"/>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9F7EF9" w:rsidRPr="001D58B7" w:rsidRDefault="009F7EF9" w:rsidP="009F7EF9">
      <w:pPr>
        <w:widowControl/>
        <w:tabs>
          <w:tab w:val="left" w:pos="5103"/>
        </w:tabs>
        <w:jc w:val="both"/>
        <w:rPr>
          <w:rFonts w:ascii="Arial" w:hAnsi="Arial" w:cs="Arial"/>
          <w:sz w:val="22"/>
          <w:szCs w:val="22"/>
        </w:rPr>
      </w:pPr>
      <w:r w:rsidRPr="001D58B7">
        <w:rPr>
          <w:rFonts w:ascii="Arial" w:hAnsi="Arial" w:cs="Arial"/>
          <w:sz w:val="22"/>
          <w:szCs w:val="22"/>
        </w:rPr>
        <w:t xml:space="preserve">V Ostravě dne </w:t>
      </w:r>
      <w:r w:rsidR="00C60F16">
        <w:rPr>
          <w:rFonts w:ascii="Arial" w:hAnsi="Arial" w:cs="Arial"/>
          <w:sz w:val="22"/>
          <w:szCs w:val="22"/>
        </w:rPr>
        <w:t>24.9.2018</w:t>
      </w:r>
      <w:r w:rsidRPr="001D58B7">
        <w:rPr>
          <w:rFonts w:ascii="Arial" w:hAnsi="Arial" w:cs="Arial"/>
          <w:sz w:val="22"/>
          <w:szCs w:val="22"/>
        </w:rPr>
        <w:tab/>
        <w:t xml:space="preserve">V </w:t>
      </w:r>
      <w:r>
        <w:rPr>
          <w:rFonts w:ascii="Arial" w:hAnsi="Arial" w:cs="Arial"/>
          <w:sz w:val="22"/>
          <w:szCs w:val="22"/>
        </w:rPr>
        <w:t>Ostravě</w:t>
      </w:r>
      <w:r w:rsidRPr="001D58B7">
        <w:rPr>
          <w:rFonts w:ascii="Arial" w:hAnsi="Arial" w:cs="Arial"/>
          <w:sz w:val="22"/>
          <w:szCs w:val="22"/>
        </w:rPr>
        <w:t xml:space="preserve"> dne </w:t>
      </w:r>
      <w:r w:rsidR="00C60F16">
        <w:rPr>
          <w:rFonts w:ascii="Arial" w:hAnsi="Arial" w:cs="Arial"/>
          <w:sz w:val="22"/>
          <w:szCs w:val="22"/>
        </w:rPr>
        <w:t>24.8.2018</w:t>
      </w:r>
    </w:p>
    <w:p w:rsidR="009F7EF9" w:rsidRPr="001D58B7" w:rsidRDefault="009F7EF9" w:rsidP="009F7EF9">
      <w:pPr>
        <w:widowControl/>
        <w:rPr>
          <w:rFonts w:ascii="Arial" w:hAnsi="Arial" w:cs="Arial"/>
          <w:sz w:val="22"/>
          <w:szCs w:val="22"/>
        </w:rPr>
      </w:pPr>
    </w:p>
    <w:p w:rsidR="009F7EF9" w:rsidRPr="001D58B7" w:rsidRDefault="009F7EF9" w:rsidP="009F7EF9">
      <w:pPr>
        <w:widowControl/>
        <w:rPr>
          <w:rFonts w:ascii="Arial" w:hAnsi="Arial" w:cs="Arial"/>
          <w:sz w:val="22"/>
          <w:szCs w:val="22"/>
        </w:rPr>
      </w:pPr>
    </w:p>
    <w:p w:rsidR="009F7EF9" w:rsidRPr="001D58B7" w:rsidRDefault="009F7EF9" w:rsidP="009F7EF9">
      <w:pPr>
        <w:widowControl/>
        <w:rPr>
          <w:rFonts w:ascii="Arial" w:hAnsi="Arial" w:cs="Arial"/>
          <w:sz w:val="22"/>
          <w:szCs w:val="22"/>
        </w:rPr>
      </w:pPr>
    </w:p>
    <w:p w:rsidR="009F7EF9" w:rsidRPr="001D58B7" w:rsidRDefault="009F7EF9" w:rsidP="009F7EF9">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r>
        <w:rPr>
          <w:rFonts w:ascii="Arial" w:hAnsi="Arial" w:cs="Arial"/>
          <w:sz w:val="22"/>
          <w:szCs w:val="22"/>
        </w:rPr>
        <w:t>..........</w:t>
      </w:r>
    </w:p>
    <w:p w:rsidR="009F7EF9" w:rsidRPr="001D58B7" w:rsidRDefault="009F7EF9" w:rsidP="009F7EF9">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ZEMSPOL STUDÉNKA , a.s.</w:t>
      </w:r>
    </w:p>
    <w:p w:rsidR="009F7EF9" w:rsidRPr="001D58B7" w:rsidRDefault="009F7EF9" w:rsidP="009F7EF9">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C60F16">
        <w:rPr>
          <w:rFonts w:ascii="Arial" w:hAnsi="Arial" w:cs="Arial"/>
          <w:sz w:val="22"/>
          <w:szCs w:val="22"/>
        </w:rPr>
        <w:t>xxxxxxxxxxxx</w:t>
      </w:r>
    </w:p>
    <w:p w:rsidR="009F7EF9" w:rsidRPr="001D58B7" w:rsidRDefault="009F7EF9" w:rsidP="009F7EF9">
      <w:pPr>
        <w:widowControl/>
        <w:ind w:left="5104" w:hanging="5104"/>
        <w:rPr>
          <w:rFonts w:ascii="Arial" w:hAnsi="Arial" w:cs="Arial"/>
          <w:sz w:val="22"/>
          <w:szCs w:val="22"/>
        </w:rPr>
      </w:pPr>
      <w:r w:rsidRPr="001D58B7">
        <w:rPr>
          <w:rFonts w:ascii="Arial" w:hAnsi="Arial" w:cs="Arial"/>
          <w:sz w:val="22"/>
          <w:szCs w:val="22"/>
        </w:rPr>
        <w:t>pro Moravskoslezský kraj</w:t>
      </w:r>
      <w:r w:rsidRPr="001D58B7">
        <w:rPr>
          <w:rFonts w:ascii="Arial" w:hAnsi="Arial" w:cs="Arial"/>
          <w:sz w:val="22"/>
          <w:szCs w:val="22"/>
        </w:rPr>
        <w:tab/>
      </w:r>
      <w:r>
        <w:rPr>
          <w:rFonts w:ascii="Arial" w:hAnsi="Arial" w:cs="Arial"/>
          <w:sz w:val="22"/>
          <w:szCs w:val="22"/>
        </w:rPr>
        <w:t>předseda představenstva</w:t>
      </w:r>
    </w:p>
    <w:p w:rsidR="009F7EF9" w:rsidRPr="001D58B7" w:rsidRDefault="009F7EF9" w:rsidP="009F7EF9">
      <w:pPr>
        <w:widowControl/>
        <w:ind w:left="5104" w:hanging="5104"/>
        <w:rPr>
          <w:rFonts w:ascii="Arial" w:hAnsi="Arial" w:cs="Arial"/>
          <w:sz w:val="22"/>
          <w:szCs w:val="22"/>
        </w:rPr>
      </w:pPr>
      <w:r w:rsidRPr="001D58B7">
        <w:rPr>
          <w:rFonts w:ascii="Arial" w:hAnsi="Arial" w:cs="Arial"/>
          <w:sz w:val="22"/>
          <w:szCs w:val="22"/>
        </w:rPr>
        <w:t>Mgr. Dana Lišková</w:t>
      </w:r>
      <w:r w:rsidRPr="001D58B7">
        <w:rPr>
          <w:rFonts w:ascii="Arial" w:hAnsi="Arial" w:cs="Arial"/>
          <w:sz w:val="22"/>
          <w:szCs w:val="22"/>
        </w:rPr>
        <w:tab/>
      </w:r>
      <w:r w:rsidR="00C60F16">
        <w:rPr>
          <w:rFonts w:ascii="Arial" w:hAnsi="Arial" w:cs="Arial"/>
          <w:sz w:val="22"/>
          <w:szCs w:val="22"/>
        </w:rPr>
        <w:t>xxxxxxxxxxxx</w:t>
      </w:r>
    </w:p>
    <w:p w:rsidR="009F7EF9" w:rsidRPr="001D58B7" w:rsidRDefault="009F7EF9" w:rsidP="009F7EF9">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r>
        <w:rPr>
          <w:rFonts w:ascii="Arial" w:hAnsi="Arial" w:cs="Arial"/>
          <w:sz w:val="22"/>
          <w:szCs w:val="22"/>
        </w:rPr>
        <w:t>člen představenstva</w:t>
      </w:r>
    </w:p>
    <w:p w:rsidR="00F40520" w:rsidRPr="001D58B7" w:rsidRDefault="00F40520">
      <w:pPr>
        <w:widowControl/>
        <w:rPr>
          <w:rFonts w:ascii="Arial" w:hAnsi="Arial" w:cs="Arial"/>
          <w:sz w:val="22"/>
          <w:szCs w:val="22"/>
        </w:rPr>
      </w:pPr>
    </w:p>
    <w:p w:rsidR="00F40520" w:rsidRPr="009F7EF9" w:rsidRDefault="00F40520" w:rsidP="009F7EF9">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1318356, 1319256, 1318456, 1318556, 1318756, 1319356, 1319456, 1318856, 1318956, 2453656, 2453756, 2453456, 1319056, 1319156, 2453556, 2453356</w:t>
      </w:r>
      <w:r w:rsidRPr="001D58B7">
        <w:rPr>
          <w:rFonts w:ascii="Arial" w:hAnsi="Arial" w:cs="Arial"/>
          <w:color w:val="000000"/>
          <w:sz w:val="22"/>
          <w:szCs w:val="22"/>
        </w:rPr>
        <w:br/>
      </w: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Moravskoslezský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Miloslav Havlíček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Bc. Zdeňka Fusková</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F40520" w:rsidRPr="001D58B7" w:rsidRDefault="000A639E" w:rsidP="009F7EF9">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sectPr w:rsidR="00F40520" w:rsidRPr="001D58B7" w:rsidSect="009F7EF9">
      <w:headerReference w:type="default" r:id="rId6"/>
      <w:footerReference w:type="default" r:id="rId7"/>
      <w:type w:val="continuous"/>
      <w:pgSz w:w="11907" w:h="16840"/>
      <w:pgMar w:top="567"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EF9" w:rsidRDefault="009F7EF9">
      <w:r>
        <w:separator/>
      </w:r>
    </w:p>
  </w:endnote>
  <w:endnote w:type="continuationSeparator" w:id="0">
    <w:p w:rsidR="009F7EF9" w:rsidRDefault="009F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F9" w:rsidRDefault="009F7EF9">
    <w:pPr>
      <w:pStyle w:val="Zpat"/>
      <w:jc w:val="right"/>
    </w:pPr>
    <w:r>
      <w:fldChar w:fldCharType="begin"/>
    </w:r>
    <w:r>
      <w:instrText>PAGE   \* MERGEFORMAT</w:instrText>
    </w:r>
    <w:r>
      <w:fldChar w:fldCharType="separate"/>
    </w:r>
    <w:r w:rsidR="00C60F16">
      <w:rPr>
        <w:noProof/>
      </w:rPr>
      <w:t>1</w:t>
    </w:r>
    <w:r>
      <w:fldChar w:fldCharType="end"/>
    </w:r>
  </w:p>
  <w:p w:rsidR="009F7EF9" w:rsidRDefault="009F7E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EF9" w:rsidRDefault="009F7EF9">
      <w:r>
        <w:separator/>
      </w:r>
    </w:p>
  </w:footnote>
  <w:footnote w:type="continuationSeparator" w:id="0">
    <w:p w:rsidR="009F7EF9" w:rsidRDefault="009F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2E0000"/>
    <w:rsid w:val="00335BCB"/>
    <w:rsid w:val="00347DF4"/>
    <w:rsid w:val="00365707"/>
    <w:rsid w:val="00374E10"/>
    <w:rsid w:val="00381B12"/>
    <w:rsid w:val="00427526"/>
    <w:rsid w:val="0043604A"/>
    <w:rsid w:val="00454FF0"/>
    <w:rsid w:val="004612CC"/>
    <w:rsid w:val="004927C9"/>
    <w:rsid w:val="00493B6A"/>
    <w:rsid w:val="004A584D"/>
    <w:rsid w:val="004B075C"/>
    <w:rsid w:val="00530111"/>
    <w:rsid w:val="00560E2A"/>
    <w:rsid w:val="005713D7"/>
    <w:rsid w:val="0058097E"/>
    <w:rsid w:val="005A233A"/>
    <w:rsid w:val="005D6433"/>
    <w:rsid w:val="006206F8"/>
    <w:rsid w:val="00625710"/>
    <w:rsid w:val="006530C6"/>
    <w:rsid w:val="006A4EDD"/>
    <w:rsid w:val="006C3440"/>
    <w:rsid w:val="006E2592"/>
    <w:rsid w:val="007704CD"/>
    <w:rsid w:val="00775096"/>
    <w:rsid w:val="00777646"/>
    <w:rsid w:val="007A2BD2"/>
    <w:rsid w:val="007E3A0A"/>
    <w:rsid w:val="008424E7"/>
    <w:rsid w:val="00875440"/>
    <w:rsid w:val="00886384"/>
    <w:rsid w:val="0089721D"/>
    <w:rsid w:val="009F7EF9"/>
    <w:rsid w:val="00A31C3B"/>
    <w:rsid w:val="00A723F9"/>
    <w:rsid w:val="00AA38B7"/>
    <w:rsid w:val="00AD07D7"/>
    <w:rsid w:val="00AD0CCD"/>
    <w:rsid w:val="00AE3E19"/>
    <w:rsid w:val="00AF574D"/>
    <w:rsid w:val="00B03447"/>
    <w:rsid w:val="00B0549C"/>
    <w:rsid w:val="00B070B5"/>
    <w:rsid w:val="00B56780"/>
    <w:rsid w:val="00BA3CB0"/>
    <w:rsid w:val="00BC0356"/>
    <w:rsid w:val="00C2745D"/>
    <w:rsid w:val="00C60F1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B696F"/>
    <w:rsid w:val="00EC3E05"/>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D70D6"/>
  <w14:defaultImageDpi w14:val="0"/>
  <w15:docId w15:val="{89292A41-1C6D-4856-A7F1-453B4D31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2E0000"/>
    <w:rPr>
      <w:rFonts w:ascii="Segoe UI" w:hAnsi="Segoe UI" w:cs="Segoe UI"/>
      <w:sz w:val="18"/>
      <w:szCs w:val="18"/>
    </w:rPr>
  </w:style>
  <w:style w:type="character" w:customStyle="1" w:styleId="TextbublinyChar">
    <w:name w:val="Text bubliny Char"/>
    <w:basedOn w:val="Standardnpsmoodstavce"/>
    <w:link w:val="Textbubliny"/>
    <w:uiPriority w:val="99"/>
    <w:rsid w:val="002E0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011301">
      <w:marLeft w:val="0"/>
      <w:marRight w:val="0"/>
      <w:marTop w:val="0"/>
      <w:marBottom w:val="0"/>
      <w:divBdr>
        <w:top w:val="none" w:sz="0" w:space="0" w:color="auto"/>
        <w:left w:val="none" w:sz="0" w:space="0" w:color="auto"/>
        <w:bottom w:val="none" w:sz="0" w:space="0" w:color="auto"/>
        <w:right w:val="none" w:sz="0" w:space="0" w:color="auto"/>
      </w:divBdr>
    </w:div>
    <w:div w:id="2133011302">
      <w:marLeft w:val="0"/>
      <w:marRight w:val="0"/>
      <w:marTop w:val="0"/>
      <w:marBottom w:val="0"/>
      <w:divBdr>
        <w:top w:val="none" w:sz="0" w:space="0" w:color="auto"/>
        <w:left w:val="none" w:sz="0" w:space="0" w:color="auto"/>
        <w:bottom w:val="none" w:sz="0" w:space="0" w:color="auto"/>
        <w:right w:val="none" w:sz="0" w:space="0" w:color="auto"/>
      </w:divBdr>
    </w:div>
    <w:div w:id="2133011303">
      <w:marLeft w:val="0"/>
      <w:marRight w:val="0"/>
      <w:marTop w:val="0"/>
      <w:marBottom w:val="0"/>
      <w:divBdr>
        <w:top w:val="none" w:sz="0" w:space="0" w:color="auto"/>
        <w:left w:val="none" w:sz="0" w:space="0" w:color="auto"/>
        <w:bottom w:val="none" w:sz="0" w:space="0" w:color="auto"/>
        <w:right w:val="none" w:sz="0" w:space="0" w:color="auto"/>
      </w:divBdr>
    </w:div>
    <w:div w:id="2133011304">
      <w:marLeft w:val="0"/>
      <w:marRight w:val="0"/>
      <w:marTop w:val="0"/>
      <w:marBottom w:val="0"/>
      <w:divBdr>
        <w:top w:val="none" w:sz="0" w:space="0" w:color="auto"/>
        <w:left w:val="none" w:sz="0" w:space="0" w:color="auto"/>
        <w:bottom w:val="none" w:sz="0" w:space="0" w:color="auto"/>
        <w:right w:val="none" w:sz="0" w:space="0" w:color="auto"/>
      </w:divBdr>
    </w:div>
    <w:div w:id="2133011305">
      <w:marLeft w:val="0"/>
      <w:marRight w:val="0"/>
      <w:marTop w:val="0"/>
      <w:marBottom w:val="0"/>
      <w:divBdr>
        <w:top w:val="none" w:sz="0" w:space="0" w:color="auto"/>
        <w:left w:val="none" w:sz="0" w:space="0" w:color="auto"/>
        <w:bottom w:val="none" w:sz="0" w:space="0" w:color="auto"/>
        <w:right w:val="none" w:sz="0" w:space="0" w:color="auto"/>
      </w:divBdr>
    </w:div>
    <w:div w:id="2133011306">
      <w:marLeft w:val="0"/>
      <w:marRight w:val="0"/>
      <w:marTop w:val="0"/>
      <w:marBottom w:val="0"/>
      <w:divBdr>
        <w:top w:val="none" w:sz="0" w:space="0" w:color="auto"/>
        <w:left w:val="none" w:sz="0" w:space="0" w:color="auto"/>
        <w:bottom w:val="none" w:sz="0" w:space="0" w:color="auto"/>
        <w:right w:val="none" w:sz="0" w:space="0" w:color="auto"/>
      </w:divBdr>
    </w:div>
    <w:div w:id="2133011307">
      <w:marLeft w:val="0"/>
      <w:marRight w:val="0"/>
      <w:marTop w:val="0"/>
      <w:marBottom w:val="0"/>
      <w:divBdr>
        <w:top w:val="none" w:sz="0" w:space="0" w:color="auto"/>
        <w:left w:val="none" w:sz="0" w:space="0" w:color="auto"/>
        <w:bottom w:val="none" w:sz="0" w:space="0" w:color="auto"/>
        <w:right w:val="none" w:sz="0" w:space="0" w:color="auto"/>
      </w:divBdr>
    </w:div>
    <w:div w:id="2133011308">
      <w:marLeft w:val="0"/>
      <w:marRight w:val="0"/>
      <w:marTop w:val="0"/>
      <w:marBottom w:val="0"/>
      <w:divBdr>
        <w:top w:val="none" w:sz="0" w:space="0" w:color="auto"/>
        <w:left w:val="none" w:sz="0" w:space="0" w:color="auto"/>
        <w:bottom w:val="none" w:sz="0" w:space="0" w:color="auto"/>
        <w:right w:val="none" w:sz="0" w:space="0" w:color="auto"/>
      </w:divBdr>
    </w:div>
    <w:div w:id="2133011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2098</Words>
  <Characters>12384</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Fusková Zdeňka</dc:creator>
  <cp:keywords/>
  <dc:description/>
  <cp:lastModifiedBy>Fusková Zdeňka</cp:lastModifiedBy>
  <cp:revision>3</cp:revision>
  <cp:lastPrinted>2018-09-10T04:51:00Z</cp:lastPrinted>
  <dcterms:created xsi:type="dcterms:W3CDTF">2018-09-24T13:42:00Z</dcterms:created>
  <dcterms:modified xsi:type="dcterms:W3CDTF">2018-09-24T13:43:00Z</dcterms:modified>
</cp:coreProperties>
</file>