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SMLOUVA O DÍLO </w:t>
      </w:r>
    </w:p>
    <w:p w:rsidR="000E7F77" w:rsidRPr="00301FEF" w:rsidRDefault="000E7F7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</w:p>
    <w:p w:rsidR="00C16827" w:rsidRPr="00301FEF" w:rsidRDefault="00135B00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Severočeská vědecká knihovna v Ústí nad Labem, p. o.</w:t>
      </w:r>
    </w:p>
    <w:p w:rsidR="00C16827" w:rsidRPr="00301FEF" w:rsidRDefault="00C16827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IČ: </w:t>
      </w:r>
      <w:r w:rsidR="00135B00" w:rsidRPr="00301FEF">
        <w:rPr>
          <w:rFonts w:ascii="Cambria" w:eastAsia="Times New Roman" w:hAnsi="Cambria" w:cs="Helvetica"/>
          <w:sz w:val="24"/>
          <w:szCs w:val="24"/>
          <w:lang w:eastAsia="cs-CZ"/>
        </w:rPr>
        <w:t>00083186</w:t>
      </w:r>
    </w:p>
    <w:p w:rsidR="00135B00" w:rsidRPr="00301FEF" w:rsidRDefault="00135B00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Winstona Churchilla 3, 400 01 Ústí nad Labem</w:t>
      </w:r>
    </w:p>
    <w:p w:rsidR="00135B00" w:rsidRPr="00301FEF" w:rsidRDefault="00135B00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 Zastoupená Mgr. Janou Linhartovou, ředitelkou</w:t>
      </w:r>
    </w:p>
    <w:p w:rsidR="00C16827" w:rsidRPr="00301FEF" w:rsidRDefault="00C16827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(dále jen jako “</w:t>
      </w: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Objednatel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” na straně jedné)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a</w:t>
      </w:r>
    </w:p>
    <w:p w:rsidR="00C16827" w:rsidRPr="00301FEF" w:rsidRDefault="00C16827" w:rsidP="00B9419C">
      <w:pPr>
        <w:shd w:val="clear" w:color="auto" w:fill="FFFFFF"/>
        <w:spacing w:before="100" w:beforeAutospacing="1"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 jméno, příjmení/název: </w:t>
      </w:r>
      <w:proofErr w:type="spellStart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Mykhaylo</w:t>
      </w:r>
      <w:proofErr w:type="spellEnd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</w:t>
      </w:r>
      <w:proofErr w:type="spellStart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Lyakh</w:t>
      </w:r>
      <w:proofErr w:type="spellEnd"/>
    </w:p>
    <w:p w:rsidR="00C16827" w:rsidRPr="00301FEF" w:rsidRDefault="00C16827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datum narození/IČ: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25468073</w:t>
      </w:r>
    </w:p>
    <w:p w:rsidR="00C16827" w:rsidRPr="00301FEF" w:rsidRDefault="00C16827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bydliště/sídlo: </w:t>
      </w:r>
      <w:proofErr w:type="spellStart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Mezidomí</w:t>
      </w:r>
      <w:proofErr w:type="spellEnd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707/1, 40001 Ústí nad Labem</w:t>
      </w:r>
    </w:p>
    <w:p w:rsidR="00C16827" w:rsidRPr="00301FEF" w:rsidRDefault="00C16827" w:rsidP="00B9419C">
      <w:pPr>
        <w:shd w:val="clear" w:color="auto" w:fill="FFFFFF"/>
        <w:spacing w:after="0" w:line="36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(dále jen “</w:t>
      </w: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Zhotovitel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” na straně druhé)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 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uzavírají níže uvedeného dne, měsíce a roku podle § 2586 a násl. zákona č. 89/2012 Sb., občanský zákoník, ve znění pozdějších předpisů, tuto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smlouvu o dílo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 (dále jen “</w:t>
      </w: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Smlouva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“)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I. 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Předmět smlouvy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Zhotovitel se touto Smlouvou zavazuje provést na svůj náklad a nebezpečí pro objednavatele za podmínek níže uvedených, dílo: stavební práce dle cenové nabídky na pobočce SVK Klíše,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>; dále jen “Dílo” a O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bjednatel se zavazuje Dílo převzít a zaplatit za něj Zhotoviteli cenu, která je sjednána v čl. II </w:t>
      </w:r>
      <w:proofErr w:type="gramStart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této</w:t>
      </w:r>
      <w:proofErr w:type="gramEnd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smlouvy. Cenová nabídka tvoří přílohu č. 1 této smlouvy.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II.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Cena Díla a způsob úhrady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Smluvní strany se dohodly, že celková cena díla bude činit částku ve výši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143.286,-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Kč (slovy </w:t>
      </w:r>
      <w:proofErr w:type="spellStart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jednostočtyřicettřitisícdvěstěosmdesátšest</w:t>
      </w:r>
      <w:proofErr w:type="spellEnd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korun českých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)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včetně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DPH a bude uhrazena na účet Zhotovitele </w:t>
      </w:r>
      <w:proofErr w:type="spellStart"/>
      <w:proofErr w:type="gramStart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č.ú</w:t>
      </w:r>
      <w:proofErr w:type="spellEnd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.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2900419527/2010</w:t>
      </w:r>
      <w:proofErr w:type="gramEnd"/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vedený u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FIO banky Ústí nad Labem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při předání a převzetí Díla.</w:t>
      </w:r>
    </w:p>
    <w:p w:rsidR="00C16827" w:rsidRPr="00301FEF" w:rsidRDefault="00135B00" w:rsidP="00C16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Zhotovitel může vystavit O</w:t>
      </w:r>
      <w:r w:rsidR="00C16827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bjednateli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dílčí faktury za</w:t>
      </w:r>
      <w:r w:rsidR="00C16827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dodaný materiál určený na zhotovení díla.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Termín splatnosti faktur je14 dní od vyst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avení faktury a jejím doručení </w:t>
      </w:r>
      <w:r w:rsidRPr="00067AEE">
        <w:rPr>
          <w:rFonts w:ascii="Cambria" w:eastAsia="Times New Roman" w:hAnsi="Cambria" w:cs="Helvetica"/>
          <w:sz w:val="24"/>
          <w:szCs w:val="24"/>
          <w:lang w:eastAsia="cs-CZ"/>
        </w:rPr>
        <w:lastRenderedPageBreak/>
        <w:t>O</w:t>
      </w:r>
      <w:r w:rsidR="00037FB8" w:rsidRPr="00067AEE">
        <w:rPr>
          <w:rFonts w:ascii="Cambria" w:eastAsia="Times New Roman" w:hAnsi="Cambria" w:cs="Helvetica"/>
          <w:sz w:val="24"/>
          <w:szCs w:val="24"/>
          <w:lang w:eastAsia="cs-CZ"/>
        </w:rPr>
        <w:t>bjednateli. Při nedodržení t</w:t>
      </w:r>
      <w:r w:rsidRPr="00067AEE">
        <w:rPr>
          <w:rFonts w:ascii="Cambria" w:eastAsia="Times New Roman" w:hAnsi="Cambria" w:cs="Helvetica"/>
          <w:sz w:val="24"/>
          <w:szCs w:val="24"/>
          <w:lang w:eastAsia="cs-CZ"/>
        </w:rPr>
        <w:t>ermínu splatnosti faktury může Z</w:t>
      </w:r>
      <w:r w:rsidR="00037FB8" w:rsidRPr="00067AEE">
        <w:rPr>
          <w:rFonts w:ascii="Cambria" w:eastAsia="Times New Roman" w:hAnsi="Cambria" w:cs="Helvetica"/>
          <w:sz w:val="24"/>
          <w:szCs w:val="24"/>
          <w:lang w:eastAsia="cs-CZ"/>
        </w:rPr>
        <w:t>hotovitel účtovat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</w:t>
      </w:r>
      <w:r w:rsidR="00037FB8" w:rsidRPr="00067AEE">
        <w:rPr>
          <w:rFonts w:ascii="Cambria" w:eastAsia="Times New Roman" w:hAnsi="Cambria" w:cs="Helvetica"/>
          <w:sz w:val="24"/>
          <w:szCs w:val="24"/>
          <w:lang w:eastAsia="cs-CZ"/>
        </w:rPr>
        <w:t>objednateli penále ve výši</w:t>
      </w:r>
      <w:r w:rsidRP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</w:t>
      </w:r>
      <w:r w:rsidRPr="00067AEE">
        <w:rPr>
          <w:rFonts w:ascii="Cambria" w:hAnsi="Cambria" w:cs="Tahoma"/>
          <w:sz w:val="24"/>
          <w:szCs w:val="24"/>
        </w:rPr>
        <w:t>0,01% z</w:t>
      </w:r>
      <w:r w:rsidRPr="00301FEF">
        <w:rPr>
          <w:rFonts w:ascii="Cambria" w:hAnsi="Cambria" w:cs="Tahoma"/>
          <w:sz w:val="24"/>
          <w:szCs w:val="24"/>
        </w:rPr>
        <w:t> dlužné částky za každý den prodlení s jejím zaplacením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. Pokud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ne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bude faktura vystavena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se všemi náležitostmi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>, O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bjednatel vrátí fakturu 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>Z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>hotoviteli a ten vystaví fakturu novou s novým termínem splatnosti, na původní termín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splatnosti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chybné faktury nebude brán zřetel.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III.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Termín zhotovení díla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Smluvní strany se dohodly, že Dílo bude Zhotovitelem provedeno v termínu nejpozději do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31</w:t>
      </w:r>
      <w:r w:rsidR="00135B00" w:rsidRPr="00301FEF">
        <w:rPr>
          <w:rFonts w:ascii="Cambria" w:eastAsia="Times New Roman" w:hAnsi="Cambria" w:cs="Helvetica"/>
          <w:sz w:val="24"/>
          <w:szCs w:val="24"/>
          <w:lang w:eastAsia="cs-CZ"/>
        </w:rPr>
        <w:t>. 8. 2018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.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Objednatel předal při podpisu smlouvy následující věci 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a podklady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určené k provedení díla: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1 x klíče od objektu a 1 x projektovou dokumentaci.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IV.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Předání a převzetí Díla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K předání a převzetí Díla dojde do dvou dnů od jeho zhotovení, nejpozději však bude Dílo zhotoveno i předání v termínu uvedeným v čl. III </w:t>
      </w:r>
      <w:proofErr w:type="gramStart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této</w:t>
      </w:r>
      <w:proofErr w:type="gramEnd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smlouvy.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O předání a převzetí Díla bude Smluvními stranami vyhotoven předávací protokol.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Pro případ prodlen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>í se zhotovením Díla na straně Z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hotovitele m</w:t>
      </w:r>
      <w:r w:rsidR="00037FB8" w:rsidRPr="00301FEF">
        <w:rPr>
          <w:rFonts w:ascii="Cambria" w:eastAsia="Times New Roman" w:hAnsi="Cambria" w:cs="Helvetica"/>
          <w:sz w:val="24"/>
          <w:szCs w:val="24"/>
          <w:lang w:eastAsia="cs-CZ"/>
        </w:rPr>
        <w:t>á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O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bjednatel právo namísto smluvní pokuty na slevu z ceny Díla ve </w:t>
      </w:r>
      <w:r w:rsidRP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výši </w:t>
      </w:r>
      <w:r w:rsidR="00135B00" w:rsidRPr="00067AEE">
        <w:rPr>
          <w:rFonts w:ascii="Cambria" w:eastAsia="Times New Roman" w:hAnsi="Cambria" w:cs="Helvetica"/>
          <w:sz w:val="24"/>
          <w:szCs w:val="24"/>
          <w:lang w:eastAsia="cs-CZ"/>
        </w:rPr>
        <w:t>3%</w:t>
      </w:r>
      <w:r w:rsidRP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za každých započatých 7 dní prodlení.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V.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Odpovědnost za vady 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Zhotovitel poskytne na Dílo záruku po dobu </w:t>
      </w:r>
      <w:r w:rsidR="00135B00" w:rsidRPr="00301FEF">
        <w:rPr>
          <w:rFonts w:ascii="Cambria" w:eastAsia="Times New Roman" w:hAnsi="Cambria" w:cs="Helvetica"/>
          <w:sz w:val="24"/>
          <w:szCs w:val="24"/>
          <w:lang w:eastAsia="cs-CZ"/>
        </w:rPr>
        <w:t>24 měsíců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od předání Díla O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bjednateli. Záruka se nevztahuje na vady díla, které budou způsobeny vadami materiálu, který předal 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>Z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hotoviteli podle čl. III </w:t>
      </w:r>
      <w:proofErr w:type="gramStart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této</w:t>
      </w:r>
      <w:proofErr w:type="gramEnd"/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Smlouvy </w:t>
      </w:r>
      <w:r w:rsidR="00B32BBE" w:rsidRPr="00301FEF">
        <w:rPr>
          <w:rFonts w:ascii="Cambria" w:eastAsia="Times New Roman" w:hAnsi="Cambria" w:cs="Helvetica"/>
          <w:sz w:val="24"/>
          <w:szCs w:val="24"/>
          <w:lang w:eastAsia="cs-CZ"/>
        </w:rPr>
        <w:t>O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bjednatel.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Zhotovitel se zavazuje předat Dílo bez vad a nedodělků.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VI. 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b/>
          <w:bCs/>
          <w:sz w:val="24"/>
          <w:szCs w:val="24"/>
          <w:lang w:eastAsia="cs-CZ"/>
        </w:rPr>
        <w:t>Závěrečná ustanovení 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Tato Smlouva nabývá platnosti a účinnosti dnem jejího podpisu oběma Smluvními stranami.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lastRenderedPageBreak/>
        <w:t>Tato Smlouva a vztahy v ní vyplývající se řídí právním řádem České republiky, zejména příslušnými ustanoveními zákona č. 89/2012 Sb., občanský zákoník, ve znění pozdějších předpisů.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Smlouva byla vyhotovena ve dvou stejnopisech, z nichž každá Smluvní strana obdrží po jednom vyhotovení.</w:t>
      </w:r>
    </w:p>
    <w:p w:rsidR="00C16827" w:rsidRPr="00301FEF" w:rsidRDefault="00C16827" w:rsidP="00037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V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 Ústí nad Labem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dne           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ab/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ab/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ab/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 V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> Ústí nad Labem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dne </w:t>
      </w:r>
    </w:p>
    <w:p w:rsidR="00C16827" w:rsidRPr="00301FEF" w:rsidRDefault="00C16827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……………………………………………..                   </w:t>
      </w:r>
      <w:r w:rsidR="00067AEE">
        <w:rPr>
          <w:rFonts w:ascii="Cambria" w:eastAsia="Times New Roman" w:hAnsi="Cambria" w:cs="Helvetica"/>
          <w:sz w:val="24"/>
          <w:szCs w:val="24"/>
          <w:lang w:eastAsia="cs-CZ"/>
        </w:rPr>
        <w:t xml:space="preserve">      </w:t>
      </w:r>
      <w:r w:rsidRPr="00301FEF">
        <w:rPr>
          <w:rFonts w:ascii="Cambria" w:eastAsia="Times New Roman" w:hAnsi="Cambria" w:cs="Helvetica"/>
          <w:sz w:val="24"/>
          <w:szCs w:val="24"/>
          <w:lang w:eastAsia="cs-CZ"/>
        </w:rPr>
        <w:t>    ……………………………………………..</w:t>
      </w:r>
    </w:p>
    <w:p w:rsidR="00C16827" w:rsidRPr="00301FEF" w:rsidRDefault="00067AEE" w:rsidP="00C1682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cs-CZ"/>
        </w:rPr>
      </w:pPr>
      <w:r>
        <w:rPr>
          <w:rFonts w:ascii="Cambria" w:eastAsia="Times New Roman" w:hAnsi="Cambria" w:cs="Helvetica"/>
          <w:sz w:val="24"/>
          <w:szCs w:val="24"/>
          <w:lang w:eastAsia="cs-CZ"/>
        </w:rPr>
        <w:t xml:space="preserve">          </w:t>
      </w:r>
      <w:r w:rsidR="00C16827" w:rsidRPr="00301FEF">
        <w:rPr>
          <w:rFonts w:ascii="Cambria" w:eastAsia="Times New Roman" w:hAnsi="Cambria" w:cs="Helvetica"/>
          <w:sz w:val="24"/>
          <w:szCs w:val="24"/>
          <w:lang w:eastAsia="cs-CZ"/>
        </w:rPr>
        <w:t>Objednatel                                                 </w:t>
      </w:r>
      <w:bookmarkStart w:id="0" w:name="_GoBack"/>
      <w:bookmarkEnd w:id="0"/>
      <w:r w:rsidR="00C16827" w:rsidRPr="00301FEF">
        <w:rPr>
          <w:rFonts w:ascii="Cambria" w:eastAsia="Times New Roman" w:hAnsi="Cambria" w:cs="Helvetica"/>
          <w:sz w:val="24"/>
          <w:szCs w:val="24"/>
          <w:lang w:eastAsia="cs-CZ"/>
        </w:rPr>
        <w:t xml:space="preserve">       </w:t>
      </w:r>
      <w:r>
        <w:rPr>
          <w:rFonts w:ascii="Cambria" w:eastAsia="Times New Roman" w:hAnsi="Cambria" w:cs="Helvetica"/>
          <w:sz w:val="24"/>
          <w:szCs w:val="24"/>
          <w:lang w:eastAsia="cs-CZ"/>
        </w:rPr>
        <w:t xml:space="preserve">                       </w:t>
      </w:r>
      <w:r w:rsidR="00C16827" w:rsidRPr="00301FEF">
        <w:rPr>
          <w:rFonts w:ascii="Cambria" w:eastAsia="Times New Roman" w:hAnsi="Cambria" w:cs="Helvetica"/>
          <w:sz w:val="24"/>
          <w:szCs w:val="24"/>
          <w:lang w:eastAsia="cs-CZ"/>
        </w:rPr>
        <w:t>    Zhotovitel</w:t>
      </w:r>
    </w:p>
    <w:sectPr w:rsidR="00C16827" w:rsidRPr="0030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27"/>
    <w:rsid w:val="00037FB8"/>
    <w:rsid w:val="00067AEE"/>
    <w:rsid w:val="000E7F77"/>
    <w:rsid w:val="00135B00"/>
    <w:rsid w:val="001D7C58"/>
    <w:rsid w:val="00301FEF"/>
    <w:rsid w:val="00B32BBE"/>
    <w:rsid w:val="00B9419C"/>
    <w:rsid w:val="00C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16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68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6827"/>
    <w:rPr>
      <w:b/>
      <w:bCs/>
    </w:rPr>
  </w:style>
  <w:style w:type="character" w:styleId="Zvraznn">
    <w:name w:val="Emphasis"/>
    <w:basedOn w:val="Standardnpsmoodstavce"/>
    <w:uiPriority w:val="20"/>
    <w:qFormat/>
    <w:rsid w:val="00C168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16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68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6827"/>
    <w:rPr>
      <w:b/>
      <w:bCs/>
    </w:rPr>
  </w:style>
  <w:style w:type="character" w:styleId="Zvraznn">
    <w:name w:val="Emphasis"/>
    <w:basedOn w:val="Standardnpsmoodstavce"/>
    <w:uiPriority w:val="20"/>
    <w:qFormat/>
    <w:rsid w:val="00C16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2018-07-31T05:18:00Z</dcterms:created>
  <dcterms:modified xsi:type="dcterms:W3CDTF">2018-08-27T11:37:00Z</dcterms:modified>
</cp:coreProperties>
</file>