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E66" w:rsidRDefault="001A1E66" w:rsidP="001A1E66">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E1985">
        <w:rPr>
          <w:rFonts w:asciiTheme="minorHAnsi" w:hAnsiTheme="minorHAnsi"/>
          <w:b/>
          <w:noProof/>
          <w:sz w:val="32"/>
          <w:szCs w:val="32"/>
        </w:rPr>
        <w:t>10481842</w:t>
      </w:r>
    </w:p>
    <w:p w:rsidR="001A1E66" w:rsidRPr="007507E5" w:rsidRDefault="001A1E66" w:rsidP="001A1E66">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A1E66" w:rsidRPr="007507E5" w:rsidRDefault="001A1E66" w:rsidP="001A1E66">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A1E66" w:rsidRPr="00FD7A2F" w:rsidRDefault="001A1E66" w:rsidP="001A1E66">
      <w:pPr>
        <w:pStyle w:val="Zkladntext"/>
        <w:rPr>
          <w:rFonts w:asciiTheme="minorHAnsi" w:hAnsiTheme="minorHAnsi"/>
          <w:szCs w:val="24"/>
        </w:rPr>
      </w:pPr>
    </w:p>
    <w:p w:rsidR="001A1E66" w:rsidRPr="00FD7A2F" w:rsidRDefault="001A1E66" w:rsidP="001A1E66">
      <w:pPr>
        <w:pStyle w:val="Zkladntext"/>
        <w:rPr>
          <w:rFonts w:asciiTheme="minorHAnsi" w:hAnsiTheme="minorHAnsi"/>
          <w:szCs w:val="24"/>
        </w:rPr>
      </w:pPr>
    </w:p>
    <w:p w:rsidR="001A1E66" w:rsidRPr="00FD7A2F" w:rsidRDefault="001A1E66" w:rsidP="001A1E66">
      <w:pPr>
        <w:pStyle w:val="Zkladntext"/>
        <w:jc w:val="center"/>
        <w:rPr>
          <w:rFonts w:asciiTheme="minorHAnsi" w:hAnsiTheme="minorHAnsi"/>
          <w:sz w:val="22"/>
          <w:szCs w:val="22"/>
        </w:rPr>
      </w:pPr>
    </w:p>
    <w:p w:rsidR="001A1E66" w:rsidRPr="00FD7A2F" w:rsidRDefault="001A1E66" w:rsidP="001A1E66">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A1E66" w:rsidRPr="00FD7A2F" w:rsidRDefault="001A1E66" w:rsidP="001A1E66">
      <w:pPr>
        <w:pStyle w:val="Zkladntext"/>
        <w:jc w:val="both"/>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1A1E66" w:rsidRPr="00FD7A2F" w:rsidRDefault="001A1E66" w:rsidP="001A1E66">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1A1E66" w:rsidRPr="00FD7A2F" w:rsidRDefault="001A1E66" w:rsidP="001A1E66">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1A1E66" w:rsidRPr="00FD7A2F" w:rsidRDefault="001A1E66" w:rsidP="001A1E66">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1A1E66" w:rsidRPr="00FD7A2F" w:rsidRDefault="001A1E66" w:rsidP="001A1E66">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1A1E66" w:rsidRDefault="001A1E66" w:rsidP="001A1E66">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1A1E66" w:rsidRPr="00FD7A2F" w:rsidRDefault="001A1E66" w:rsidP="001A1E66">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084F31">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1A1E66" w:rsidRPr="00FD7A2F" w:rsidRDefault="001A1E66" w:rsidP="001A1E66">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1A1E66" w:rsidRPr="00FD7A2F" w:rsidRDefault="001A1E66" w:rsidP="001A1E66">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1A1E66" w:rsidRPr="00FD7A2F" w:rsidRDefault="001A1E66" w:rsidP="001A1E66">
      <w:pPr>
        <w:pStyle w:val="Zkladntext"/>
        <w:tabs>
          <w:tab w:val="left" w:pos="1752"/>
        </w:tabs>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r w:rsidRPr="00FD7A2F">
        <w:rPr>
          <w:rFonts w:asciiTheme="minorHAnsi" w:hAnsiTheme="minorHAnsi"/>
          <w:sz w:val="22"/>
          <w:szCs w:val="22"/>
        </w:rPr>
        <w:t>a</w:t>
      </w:r>
    </w:p>
    <w:p w:rsidR="001A1E66" w:rsidRPr="00FD7A2F" w:rsidRDefault="001A1E66" w:rsidP="001A1E66">
      <w:pPr>
        <w:pStyle w:val="Zkladntext"/>
        <w:rPr>
          <w:rFonts w:asciiTheme="minorHAnsi" w:hAnsiTheme="minorHAnsi"/>
          <w:sz w:val="22"/>
          <w:szCs w:val="22"/>
        </w:rPr>
      </w:pPr>
    </w:p>
    <w:p w:rsidR="001A1E66" w:rsidRPr="00493A28" w:rsidRDefault="001A1E66" w:rsidP="001A1E66">
      <w:pPr>
        <w:pStyle w:val="Zkladntext"/>
        <w:rPr>
          <w:rFonts w:asciiTheme="minorHAnsi" w:hAnsiTheme="minorHAnsi"/>
          <w:b/>
          <w:sz w:val="22"/>
          <w:szCs w:val="22"/>
        </w:rPr>
      </w:pPr>
      <w:r w:rsidRPr="00BF5CC2">
        <w:rPr>
          <w:rFonts w:asciiTheme="minorHAnsi" w:hAnsiTheme="minorHAnsi"/>
          <w:b/>
          <w:noProof/>
          <w:sz w:val="22"/>
          <w:szCs w:val="22"/>
        </w:rPr>
        <w:t>AUTOPARK s.r.o.</w:t>
      </w:r>
      <w:r w:rsidRPr="00493A28">
        <w:rPr>
          <w:rFonts w:asciiTheme="minorHAnsi" w:hAnsiTheme="minorHAnsi"/>
          <w:b/>
          <w:i/>
          <w:sz w:val="22"/>
          <w:szCs w:val="22"/>
        </w:rPr>
        <w:t xml:space="preserve"> </w:t>
      </w:r>
    </w:p>
    <w:p w:rsidR="001A1E66" w:rsidRDefault="001A1E66" w:rsidP="001A1E66">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30912</w:t>
      </w:r>
    </w:p>
    <w:p w:rsidR="001A1E66" w:rsidRPr="00510859" w:rsidRDefault="001A1E66" w:rsidP="001A1E66">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Ke Zvoli 285</w:t>
      </w:r>
      <w:r w:rsidRPr="00493A28">
        <w:rPr>
          <w:rFonts w:asciiTheme="minorHAnsi" w:hAnsiTheme="minorHAnsi"/>
          <w:sz w:val="22"/>
          <w:szCs w:val="22"/>
        </w:rPr>
        <w:t xml:space="preserve">, </w:t>
      </w:r>
      <w:r w:rsidRPr="00BF5CC2">
        <w:rPr>
          <w:rFonts w:asciiTheme="minorHAnsi" w:hAnsiTheme="minorHAnsi"/>
          <w:noProof/>
          <w:sz w:val="22"/>
          <w:szCs w:val="22"/>
        </w:rPr>
        <w:t>252 41</w:t>
      </w:r>
      <w:r w:rsidRPr="00493A28">
        <w:rPr>
          <w:rFonts w:asciiTheme="minorHAnsi" w:hAnsiTheme="minorHAnsi"/>
          <w:sz w:val="22"/>
          <w:szCs w:val="22"/>
        </w:rPr>
        <w:t xml:space="preserve"> </w:t>
      </w:r>
      <w:r w:rsidRPr="00BF5CC2">
        <w:rPr>
          <w:rFonts w:asciiTheme="minorHAnsi" w:hAnsiTheme="minorHAnsi"/>
          <w:noProof/>
          <w:sz w:val="22"/>
          <w:szCs w:val="22"/>
        </w:rPr>
        <w:t>Dolní Břežany</w:t>
      </w:r>
    </w:p>
    <w:p w:rsidR="001A1E66" w:rsidRPr="00493A28" w:rsidRDefault="001A1E66" w:rsidP="001A1E66">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61502537</w:t>
      </w:r>
    </w:p>
    <w:p w:rsidR="001A1E66" w:rsidRDefault="001A1E66" w:rsidP="001A1E66">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Tomášem Kepertem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1A1E66" w:rsidRDefault="001A1E66" w:rsidP="001A1E66">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815D7F">
        <w:rPr>
          <w:rFonts w:asciiTheme="minorHAnsi" w:hAnsiTheme="minorHAnsi"/>
          <w:sz w:val="22"/>
          <w:szCs w:val="22"/>
        </w:rPr>
        <w:t>xxxxxxxxxxxxxxxxxxxxxxx</w:t>
      </w:r>
      <w:proofErr w:type="spellEnd"/>
    </w:p>
    <w:p w:rsidR="001A1E66" w:rsidRDefault="001A1E66" w:rsidP="001A1E66">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15D7F">
        <w:rPr>
          <w:rFonts w:asciiTheme="minorHAnsi" w:hAnsiTheme="minorHAnsi"/>
          <w:sz w:val="22"/>
          <w:szCs w:val="22"/>
        </w:rPr>
        <w:t>xxxxxxxxxxxxxxxxxxx</w:t>
      </w:r>
      <w:bookmarkStart w:id="0" w:name="_GoBack"/>
      <w:bookmarkEnd w:id="0"/>
    </w:p>
    <w:p w:rsidR="001A1E66" w:rsidRDefault="001A1E66" w:rsidP="001A1E66">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1A1E66" w:rsidRDefault="001A1E66" w:rsidP="001A1E66">
      <w:pPr>
        <w:pStyle w:val="Zkladntext"/>
        <w:rPr>
          <w:rFonts w:asciiTheme="minorHAnsi" w:hAnsiTheme="minorHAnsi"/>
          <w:sz w:val="22"/>
          <w:szCs w:val="22"/>
        </w:rPr>
      </w:pPr>
      <w:r>
        <w:rPr>
          <w:rFonts w:asciiTheme="minorHAnsi" w:hAnsiTheme="minorHAnsi"/>
          <w:sz w:val="22"/>
          <w:szCs w:val="22"/>
        </w:rPr>
        <w:t>(dále jen „příjemce podpory“)</w:t>
      </w:r>
    </w:p>
    <w:p w:rsidR="001A1E66" w:rsidRDefault="001A1E66" w:rsidP="001A1E66">
      <w:pPr>
        <w:pStyle w:val="Zkladntext"/>
        <w:rPr>
          <w:rFonts w:asciiTheme="minorHAnsi" w:hAnsiTheme="minorHAnsi"/>
          <w:sz w:val="22"/>
          <w:szCs w:val="22"/>
        </w:rPr>
      </w:pPr>
    </w:p>
    <w:p w:rsidR="001A1E66" w:rsidRDefault="001A1E66" w:rsidP="001A1E66">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1A1E66" w:rsidRPr="00FD7A2F" w:rsidRDefault="001A1E66" w:rsidP="001A1E66">
      <w:pPr>
        <w:pStyle w:val="Zkladntext"/>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p>
    <w:p w:rsidR="001A1E66" w:rsidRPr="00FD7A2F" w:rsidRDefault="001A1E66" w:rsidP="001A1E66">
      <w:pPr>
        <w:pStyle w:val="Zkladntext"/>
        <w:jc w:val="center"/>
        <w:rPr>
          <w:rFonts w:asciiTheme="minorHAnsi" w:hAnsiTheme="minorHAnsi"/>
          <w:b/>
          <w:sz w:val="22"/>
          <w:szCs w:val="22"/>
        </w:rPr>
      </w:pPr>
      <w:r w:rsidRPr="00FD7A2F">
        <w:rPr>
          <w:rFonts w:asciiTheme="minorHAnsi" w:hAnsiTheme="minorHAnsi"/>
          <w:b/>
          <w:sz w:val="22"/>
          <w:szCs w:val="22"/>
        </w:rPr>
        <w:t>I.</w:t>
      </w:r>
    </w:p>
    <w:p w:rsidR="001A1E66" w:rsidRPr="00FD7A2F" w:rsidRDefault="001A1E66" w:rsidP="001A1E6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A1E66" w:rsidRPr="00FD7A2F" w:rsidRDefault="001A1E66" w:rsidP="001A1E66">
      <w:pPr>
        <w:pStyle w:val="Zkladntext"/>
        <w:rPr>
          <w:rFonts w:asciiTheme="minorHAnsi" w:hAnsiTheme="minorHAnsi"/>
          <w:sz w:val="22"/>
          <w:szCs w:val="22"/>
        </w:rPr>
      </w:pPr>
    </w:p>
    <w:p w:rsidR="001A1E66" w:rsidRPr="00177043" w:rsidRDefault="001A1E66" w:rsidP="001A1E66">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9E1985">
        <w:rPr>
          <w:rFonts w:asciiTheme="minorHAnsi" w:hAnsiTheme="minorHAnsi"/>
          <w:noProof/>
          <w:sz w:val="22"/>
          <w:szCs w:val="22"/>
        </w:rPr>
        <w:t>10481842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9E1985">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1A1E66" w:rsidRPr="0039009B" w:rsidRDefault="001A1E66" w:rsidP="001A1E66">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w:t>
      </w:r>
      <w:r w:rsidR="00084F31">
        <w:rPr>
          <w:rFonts w:asciiTheme="minorHAnsi" w:hAnsiTheme="minorHAnsi"/>
          <w:sz w:val="22"/>
          <w:szCs w:val="22"/>
        </w:rPr>
        <w:t>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A1E66" w:rsidRPr="00FD7A2F" w:rsidRDefault="001A1E66" w:rsidP="001A1E66">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A1E66" w:rsidRPr="00FD7A2F" w:rsidRDefault="001A1E66" w:rsidP="001A1E66">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1A1E66" w:rsidRPr="00D3298E" w:rsidRDefault="001A1E66" w:rsidP="001A1E66">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9E1985">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1A1E66" w:rsidRPr="00D3298E" w:rsidRDefault="001A1E66" w:rsidP="001A1E66">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1A1E66" w:rsidRDefault="001A1E66" w:rsidP="001A1E66">
      <w:pPr>
        <w:pStyle w:val="Zkladntext"/>
        <w:ind w:firstLine="357"/>
        <w:jc w:val="center"/>
        <w:rPr>
          <w:rFonts w:asciiTheme="minorHAnsi" w:hAnsiTheme="minorHAnsi"/>
          <w:b/>
          <w:sz w:val="22"/>
          <w:szCs w:val="22"/>
        </w:rPr>
      </w:pPr>
    </w:p>
    <w:p w:rsidR="001A1E66" w:rsidRDefault="001A1E66" w:rsidP="001A1E66">
      <w:pPr>
        <w:pStyle w:val="Zkladntext"/>
        <w:ind w:firstLine="357"/>
        <w:jc w:val="center"/>
        <w:rPr>
          <w:rFonts w:asciiTheme="minorHAnsi" w:hAnsiTheme="minorHAnsi"/>
          <w:b/>
          <w:sz w:val="22"/>
          <w:szCs w:val="22"/>
        </w:rPr>
      </w:pPr>
    </w:p>
    <w:p w:rsidR="001A1E66" w:rsidRPr="00D3298E" w:rsidRDefault="001A1E66" w:rsidP="001A1E66">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1A1E66" w:rsidRPr="00D3298E" w:rsidRDefault="001A1E66" w:rsidP="001A1E66">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1A1E66" w:rsidRPr="001F1829" w:rsidRDefault="001A1E66" w:rsidP="001A1E66">
      <w:pPr>
        <w:pStyle w:val="Zkladntext"/>
        <w:ind w:firstLine="357"/>
        <w:jc w:val="center"/>
        <w:rPr>
          <w:rFonts w:asciiTheme="minorHAnsi" w:hAnsiTheme="minorHAnsi"/>
          <w:b/>
          <w:sz w:val="22"/>
          <w:szCs w:val="22"/>
        </w:rPr>
      </w:pPr>
    </w:p>
    <w:p w:rsidR="001A1E66" w:rsidRPr="005A4B90" w:rsidRDefault="001A1E66" w:rsidP="001A1E66">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9E1985">
        <w:rPr>
          <w:rFonts w:asciiTheme="minorHAnsi" w:hAnsiTheme="minorHAnsi"/>
          <w:noProof/>
          <w:sz w:val="22"/>
          <w:szCs w:val="22"/>
        </w:rPr>
        <w:t>273 9</w:t>
      </w:r>
      <w:r w:rsidRPr="00BF5CC2">
        <w:rPr>
          <w:rFonts w:asciiTheme="minorHAnsi" w:hAnsiTheme="minorHAnsi"/>
          <w:noProof/>
          <w:sz w:val="22"/>
          <w:szCs w:val="22"/>
        </w:rPr>
        <w:t>00</w:t>
      </w:r>
      <w:r w:rsidRPr="00C86503">
        <w:rPr>
          <w:rFonts w:asciiTheme="minorHAnsi" w:hAnsiTheme="minorHAnsi"/>
          <w:sz w:val="22"/>
          <w:szCs w:val="22"/>
        </w:rPr>
        <w:t xml:space="preserve"> Kč (slovy: </w:t>
      </w:r>
      <w:r w:rsidRPr="00BF5CC2">
        <w:rPr>
          <w:rFonts w:asciiTheme="minorHAnsi" w:hAnsiTheme="minorHAnsi"/>
          <w:noProof/>
          <w:sz w:val="22"/>
          <w:szCs w:val="22"/>
        </w:rPr>
        <w:t xml:space="preserve">dvě stě </w:t>
      </w:r>
      <w:r w:rsidR="009E1985">
        <w:rPr>
          <w:rFonts w:asciiTheme="minorHAnsi" w:hAnsiTheme="minorHAnsi"/>
          <w:noProof/>
          <w:sz w:val="22"/>
          <w:szCs w:val="22"/>
        </w:rPr>
        <w:t>sedmdesát tři tisíc devět</w:t>
      </w:r>
      <w:r w:rsidRPr="00BF5CC2">
        <w:rPr>
          <w:rFonts w:asciiTheme="minorHAnsi" w:hAnsiTheme="minorHAnsi"/>
          <w:noProof/>
          <w:sz w:val="22"/>
          <w:szCs w:val="22"/>
        </w:rPr>
        <w:t xml:space="preserve">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9E1985">
        <w:rPr>
          <w:rFonts w:asciiTheme="minorHAnsi" w:hAnsiTheme="minorHAnsi"/>
          <w:noProof/>
          <w:sz w:val="22"/>
          <w:szCs w:val="22"/>
        </w:rPr>
        <w:t>441</w:t>
      </w:r>
      <w:r w:rsidRPr="00C86503">
        <w:rPr>
          <w:rFonts w:asciiTheme="minorHAnsi" w:hAnsiTheme="minorHAnsi"/>
          <w:sz w:val="22"/>
          <w:szCs w:val="22"/>
        </w:rPr>
        <w:t xml:space="preserve"> ks vybraných autovraků p</w:t>
      </w:r>
      <w:r w:rsidR="009E1985">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1A1E66" w:rsidRPr="00FD7A2F" w:rsidRDefault="001A1E66" w:rsidP="001A1E66">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1A1E66" w:rsidRDefault="001A1E66" w:rsidP="001A1E66">
      <w:pPr>
        <w:pStyle w:val="Zkladntext"/>
        <w:jc w:val="center"/>
        <w:rPr>
          <w:rFonts w:asciiTheme="minorHAnsi" w:hAnsiTheme="minorHAnsi"/>
          <w:b/>
          <w:sz w:val="22"/>
          <w:szCs w:val="22"/>
        </w:rPr>
      </w:pPr>
    </w:p>
    <w:p w:rsidR="001A1E66" w:rsidRDefault="001A1E66" w:rsidP="001A1E66">
      <w:pPr>
        <w:pStyle w:val="Zkladntext"/>
        <w:jc w:val="center"/>
        <w:rPr>
          <w:rFonts w:asciiTheme="minorHAnsi" w:hAnsiTheme="minorHAnsi"/>
          <w:b/>
          <w:sz w:val="22"/>
          <w:szCs w:val="22"/>
        </w:rPr>
      </w:pPr>
    </w:p>
    <w:p w:rsidR="001A1E66" w:rsidRDefault="001A1E66" w:rsidP="001A1E66">
      <w:pPr>
        <w:pStyle w:val="Zkladntext"/>
        <w:jc w:val="center"/>
        <w:rPr>
          <w:rFonts w:asciiTheme="minorHAnsi" w:hAnsiTheme="minorHAnsi"/>
          <w:b/>
          <w:sz w:val="22"/>
          <w:szCs w:val="22"/>
        </w:rPr>
      </w:pPr>
      <w:r>
        <w:rPr>
          <w:rFonts w:asciiTheme="minorHAnsi" w:hAnsiTheme="minorHAnsi"/>
          <w:b/>
          <w:sz w:val="22"/>
          <w:szCs w:val="22"/>
        </w:rPr>
        <w:t>III.</w:t>
      </w:r>
    </w:p>
    <w:p w:rsidR="001A1E66" w:rsidRDefault="001A1E66" w:rsidP="001A1E66">
      <w:pPr>
        <w:pStyle w:val="Zkladntext"/>
        <w:jc w:val="center"/>
        <w:rPr>
          <w:rFonts w:asciiTheme="minorHAnsi" w:hAnsiTheme="minorHAnsi"/>
          <w:b/>
          <w:sz w:val="22"/>
          <w:szCs w:val="22"/>
        </w:rPr>
      </w:pPr>
      <w:r>
        <w:rPr>
          <w:rFonts w:asciiTheme="minorHAnsi" w:hAnsiTheme="minorHAnsi"/>
          <w:b/>
          <w:sz w:val="22"/>
          <w:szCs w:val="22"/>
        </w:rPr>
        <w:t>Platební podmínky</w:t>
      </w:r>
    </w:p>
    <w:p w:rsidR="001A1E66" w:rsidRDefault="001A1E66" w:rsidP="001A1E66">
      <w:pPr>
        <w:pStyle w:val="Zkladntext"/>
        <w:jc w:val="center"/>
        <w:rPr>
          <w:rFonts w:asciiTheme="minorHAnsi" w:hAnsiTheme="minorHAnsi"/>
          <w:b/>
          <w:sz w:val="22"/>
          <w:szCs w:val="22"/>
        </w:rPr>
      </w:pPr>
    </w:p>
    <w:p w:rsidR="001A1E66" w:rsidRPr="007C6FA6" w:rsidRDefault="001A1E66" w:rsidP="001A1E66">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1A1E66" w:rsidRPr="007C6FA6" w:rsidRDefault="001A1E66" w:rsidP="001A1E66">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1A1E66" w:rsidRDefault="001A1E66" w:rsidP="001A1E66">
      <w:pPr>
        <w:pStyle w:val="Zkladntext"/>
        <w:jc w:val="center"/>
        <w:rPr>
          <w:rFonts w:asciiTheme="minorHAnsi" w:hAnsiTheme="minorHAnsi"/>
          <w:b/>
          <w:sz w:val="22"/>
          <w:szCs w:val="22"/>
        </w:rPr>
      </w:pPr>
    </w:p>
    <w:p w:rsidR="001A1E66" w:rsidRDefault="001A1E66" w:rsidP="001A1E66">
      <w:pPr>
        <w:pStyle w:val="Zkladntext"/>
        <w:jc w:val="center"/>
        <w:rPr>
          <w:rFonts w:asciiTheme="minorHAnsi" w:hAnsiTheme="minorHAnsi"/>
          <w:b/>
          <w:sz w:val="22"/>
          <w:szCs w:val="22"/>
        </w:rPr>
      </w:pPr>
    </w:p>
    <w:p w:rsidR="001A1E66" w:rsidRPr="00FD7A2F" w:rsidRDefault="001A1E66" w:rsidP="001A1E66">
      <w:pPr>
        <w:pStyle w:val="Zkladntext"/>
        <w:jc w:val="center"/>
        <w:rPr>
          <w:rFonts w:asciiTheme="minorHAnsi" w:hAnsiTheme="minorHAnsi"/>
          <w:b/>
          <w:sz w:val="22"/>
          <w:szCs w:val="22"/>
        </w:rPr>
      </w:pPr>
      <w:r>
        <w:rPr>
          <w:rFonts w:asciiTheme="minorHAnsi" w:hAnsiTheme="minorHAnsi"/>
          <w:b/>
          <w:sz w:val="22"/>
          <w:szCs w:val="22"/>
        </w:rPr>
        <w:t>IV.</w:t>
      </w:r>
    </w:p>
    <w:p w:rsidR="001A1E66" w:rsidRDefault="001A1E66" w:rsidP="001A1E66">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1A1E66" w:rsidRPr="006924DF" w:rsidRDefault="001A1E66" w:rsidP="001A1E66">
      <w:pPr>
        <w:pStyle w:val="Zkladntext"/>
        <w:jc w:val="center"/>
        <w:rPr>
          <w:rFonts w:asciiTheme="minorHAnsi" w:hAnsiTheme="minorHAnsi"/>
          <w:b/>
          <w:sz w:val="22"/>
          <w:szCs w:val="22"/>
        </w:rPr>
      </w:pPr>
    </w:p>
    <w:p w:rsidR="001A1E66" w:rsidRDefault="001A1E66" w:rsidP="001A1E66">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1A1E66" w:rsidRDefault="001A1E66" w:rsidP="001A1E66">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1A1E66" w:rsidRDefault="009E1985" w:rsidP="001A1E66">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1A1E66" w:rsidRPr="003C243D">
        <w:rPr>
          <w:rFonts w:asciiTheme="minorHAnsi" w:hAnsiTheme="minorHAnsi" w:cs="Times New Roman"/>
          <w:snapToGrid w:val="0"/>
          <w:sz w:val="22"/>
          <w:szCs w:val="22"/>
        </w:rPr>
        <w:t xml:space="preserve"> </w:t>
      </w:r>
      <w:r w:rsidR="001A1E66" w:rsidRPr="00C86503">
        <w:rPr>
          <w:rFonts w:asciiTheme="minorHAnsi" w:hAnsiTheme="minorHAnsi"/>
          <w:sz w:val="22"/>
          <w:szCs w:val="22"/>
        </w:rPr>
        <w:t>řádně předa</w:t>
      </w:r>
      <w:r w:rsidR="001A1E66">
        <w:rPr>
          <w:rFonts w:asciiTheme="minorHAnsi" w:hAnsiTheme="minorHAnsi"/>
          <w:sz w:val="22"/>
          <w:szCs w:val="22"/>
        </w:rPr>
        <w:t>l</w:t>
      </w:r>
      <w:r w:rsidR="001A1E66" w:rsidRPr="00C86503">
        <w:rPr>
          <w:rFonts w:asciiTheme="minorHAnsi" w:hAnsiTheme="minorHAnsi"/>
          <w:sz w:val="22"/>
          <w:szCs w:val="22"/>
        </w:rPr>
        <w:t xml:space="preserve"> odpady (komodity) z</w:t>
      </w:r>
      <w:r w:rsidR="001A1E66">
        <w:rPr>
          <w:rFonts w:asciiTheme="minorHAnsi" w:hAnsiTheme="minorHAnsi"/>
          <w:sz w:val="22"/>
          <w:szCs w:val="22"/>
        </w:rPr>
        <w:t> </w:t>
      </w:r>
      <w:r w:rsidR="001A1E66"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1A1E66">
        <w:rPr>
          <w:rFonts w:asciiTheme="minorHAnsi" w:hAnsiTheme="minorHAnsi"/>
          <w:sz w:val="22"/>
          <w:szCs w:val="22"/>
        </w:rPr>
        <w:t xml:space="preserve"> a </w:t>
      </w:r>
      <w:r w:rsidR="001A1E66">
        <w:rPr>
          <w:rFonts w:asciiTheme="minorHAnsi" w:hAnsiTheme="minorHAnsi" w:cs="Times New Roman"/>
          <w:snapToGrid w:val="0"/>
          <w:sz w:val="22"/>
          <w:szCs w:val="22"/>
        </w:rPr>
        <w:t>s</w:t>
      </w:r>
      <w:r w:rsidR="001A1E66" w:rsidRPr="003C243D">
        <w:rPr>
          <w:rFonts w:asciiTheme="minorHAnsi" w:hAnsiTheme="minorHAnsi" w:cs="Times New Roman"/>
          <w:snapToGrid w:val="0"/>
          <w:sz w:val="22"/>
          <w:szCs w:val="22"/>
        </w:rPr>
        <w:t>plni</w:t>
      </w:r>
      <w:r w:rsidR="001A1E66">
        <w:rPr>
          <w:rFonts w:asciiTheme="minorHAnsi" w:hAnsiTheme="minorHAnsi" w:cs="Times New Roman"/>
          <w:snapToGrid w:val="0"/>
          <w:sz w:val="22"/>
          <w:szCs w:val="22"/>
        </w:rPr>
        <w:t>l</w:t>
      </w:r>
      <w:r w:rsidR="001A1E66" w:rsidRPr="003C243D">
        <w:rPr>
          <w:rFonts w:asciiTheme="minorHAnsi" w:hAnsiTheme="minorHAnsi" w:cs="Times New Roman"/>
          <w:snapToGrid w:val="0"/>
          <w:sz w:val="22"/>
          <w:szCs w:val="22"/>
        </w:rPr>
        <w:t xml:space="preserve"> cíle opětovného použití a využití nejméně </w:t>
      </w:r>
      <w:r w:rsidR="001A1E66">
        <w:rPr>
          <w:rFonts w:asciiTheme="minorHAnsi" w:hAnsiTheme="minorHAnsi" w:cs="Times New Roman"/>
          <w:snapToGrid w:val="0"/>
          <w:sz w:val="22"/>
          <w:szCs w:val="22"/>
        </w:rPr>
        <w:br/>
      </w:r>
      <w:r w:rsidR="001A1E66"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1A1E66">
        <w:rPr>
          <w:rFonts w:asciiTheme="minorHAnsi" w:hAnsiTheme="minorHAnsi" w:cs="Times New Roman"/>
          <w:snapToGrid w:val="0"/>
          <w:sz w:val="22"/>
          <w:szCs w:val="22"/>
        </w:rPr>
        <w:t>,</w:t>
      </w:r>
    </w:p>
    <w:p w:rsidR="001A1E66" w:rsidRDefault="001A1E66" w:rsidP="001A1E66">
      <w:pPr>
        <w:rPr>
          <w:rFonts w:asciiTheme="minorHAnsi" w:hAnsiTheme="minorHAnsi"/>
          <w:snapToGrid w:val="0"/>
          <w:color w:val="000000"/>
          <w:sz w:val="22"/>
          <w:szCs w:val="22"/>
        </w:rPr>
      </w:pPr>
      <w:r>
        <w:rPr>
          <w:rFonts w:asciiTheme="minorHAnsi" w:hAnsiTheme="minorHAnsi"/>
          <w:snapToGrid w:val="0"/>
          <w:sz w:val="22"/>
          <w:szCs w:val="22"/>
        </w:rPr>
        <w:br w:type="page"/>
      </w:r>
    </w:p>
    <w:p w:rsidR="001A1E66" w:rsidRDefault="001A1E66" w:rsidP="001A1E66">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1A1E66" w:rsidRPr="00DB4261" w:rsidRDefault="001A1E66" w:rsidP="001A1E66">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084F31">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1A1E66" w:rsidRPr="00CD3CD2" w:rsidRDefault="001A1E66" w:rsidP="001A1E66">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1A1E66" w:rsidRDefault="001A1E66" w:rsidP="001A1E66">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1A1E66" w:rsidRPr="00104F7B" w:rsidRDefault="001A1E66" w:rsidP="001A1E66">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1A1E66" w:rsidRDefault="001A1E66" w:rsidP="001A1E66">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1A1E66" w:rsidRPr="007C6FA6" w:rsidRDefault="001A1E66" w:rsidP="001A1E66">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1A1E66" w:rsidRPr="00E5172E" w:rsidRDefault="001A1E66" w:rsidP="001A1E66">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1A1E66" w:rsidRPr="0071228E" w:rsidRDefault="001A1E66" w:rsidP="001A1E66">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1A1E66" w:rsidRPr="00FD7A2F" w:rsidRDefault="001A1E66" w:rsidP="001A1E66">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A1E66" w:rsidRPr="00FD7A2F" w:rsidRDefault="001A1E66" w:rsidP="001A1E66">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1A1E66" w:rsidRPr="00FD7A2F" w:rsidRDefault="001A1E66" w:rsidP="001A1E66">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1A1E66" w:rsidRDefault="001A1E66" w:rsidP="001A1E66">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1A1E66" w:rsidRPr="00202FD0" w:rsidRDefault="001A1E66" w:rsidP="001A1E66">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084F31">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1A1E66" w:rsidRDefault="001A1E66" w:rsidP="001A1E66">
      <w:pPr>
        <w:pStyle w:val="Zkladntext"/>
        <w:jc w:val="center"/>
        <w:rPr>
          <w:rFonts w:asciiTheme="minorHAnsi" w:hAnsiTheme="minorHAnsi"/>
          <w:b/>
          <w:sz w:val="22"/>
          <w:szCs w:val="22"/>
        </w:rPr>
      </w:pPr>
    </w:p>
    <w:p w:rsidR="001A1E66" w:rsidRDefault="001A1E66" w:rsidP="001A1E66">
      <w:pPr>
        <w:pStyle w:val="Zkladntext"/>
        <w:jc w:val="center"/>
        <w:rPr>
          <w:rFonts w:asciiTheme="minorHAnsi" w:hAnsiTheme="minorHAnsi"/>
          <w:b/>
          <w:sz w:val="22"/>
          <w:szCs w:val="22"/>
        </w:rPr>
      </w:pPr>
    </w:p>
    <w:p w:rsidR="001A1E66" w:rsidRPr="00FD7A2F" w:rsidRDefault="001A1E66" w:rsidP="001A1E66">
      <w:pPr>
        <w:pStyle w:val="Zkladntext"/>
        <w:jc w:val="center"/>
        <w:rPr>
          <w:rFonts w:asciiTheme="minorHAnsi" w:hAnsiTheme="minorHAnsi"/>
          <w:b/>
          <w:sz w:val="22"/>
          <w:szCs w:val="22"/>
        </w:rPr>
      </w:pPr>
      <w:r w:rsidRPr="00FD7A2F">
        <w:rPr>
          <w:rFonts w:asciiTheme="minorHAnsi" w:hAnsiTheme="minorHAnsi"/>
          <w:b/>
          <w:sz w:val="22"/>
          <w:szCs w:val="22"/>
        </w:rPr>
        <w:t>V.</w:t>
      </w:r>
    </w:p>
    <w:p w:rsidR="001A1E66" w:rsidRPr="00FD7A2F" w:rsidRDefault="001A1E66" w:rsidP="001A1E66">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A1E66" w:rsidRPr="00FD7A2F" w:rsidRDefault="001A1E66" w:rsidP="001A1E66">
      <w:pPr>
        <w:pStyle w:val="Zkladntext"/>
        <w:jc w:val="both"/>
        <w:rPr>
          <w:rFonts w:asciiTheme="minorHAnsi" w:hAnsiTheme="minorHAnsi"/>
          <w:sz w:val="22"/>
          <w:szCs w:val="22"/>
        </w:rPr>
      </w:pPr>
    </w:p>
    <w:p w:rsidR="001A1E66" w:rsidRPr="00FD7A2F" w:rsidRDefault="001A1E66" w:rsidP="001A1E66">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1A1E66" w:rsidRPr="00FD7A2F" w:rsidRDefault="001A1E66" w:rsidP="001A1E66">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1A1E66" w:rsidRPr="000311C5" w:rsidRDefault="001A1E66" w:rsidP="001A1E66">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1A1E66" w:rsidRPr="00534DFF" w:rsidRDefault="001A1E66" w:rsidP="001A1E66">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1A1E66" w:rsidRPr="00FD7A2F" w:rsidRDefault="001A1E66" w:rsidP="001A1E66">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1A1E66" w:rsidRPr="001A7603" w:rsidRDefault="001A1E66" w:rsidP="001A1E66">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1A1E66" w:rsidRPr="001A7603" w:rsidRDefault="001A1E66" w:rsidP="001A1E66">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1A1E66" w:rsidRPr="001A7603" w:rsidRDefault="001A1E66" w:rsidP="001A1E66">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1A1E66" w:rsidRDefault="001A1E66" w:rsidP="001A1E66">
      <w:pPr>
        <w:pStyle w:val="Zkladntext"/>
        <w:jc w:val="center"/>
        <w:rPr>
          <w:rFonts w:asciiTheme="minorHAnsi" w:hAnsiTheme="minorHAnsi"/>
          <w:b/>
          <w:sz w:val="22"/>
          <w:szCs w:val="22"/>
        </w:rPr>
      </w:pPr>
    </w:p>
    <w:p w:rsidR="001A1E66" w:rsidRDefault="001A1E66" w:rsidP="001A1E66">
      <w:pPr>
        <w:pStyle w:val="Zkladntext"/>
        <w:jc w:val="center"/>
        <w:rPr>
          <w:rFonts w:asciiTheme="minorHAnsi" w:hAnsiTheme="minorHAnsi"/>
          <w:b/>
          <w:sz w:val="22"/>
          <w:szCs w:val="22"/>
        </w:rPr>
      </w:pPr>
    </w:p>
    <w:p w:rsidR="001A1E66" w:rsidRPr="00FD7A2F" w:rsidRDefault="001A1E66" w:rsidP="001A1E66">
      <w:pPr>
        <w:pStyle w:val="Zkladntext"/>
        <w:jc w:val="center"/>
        <w:rPr>
          <w:rFonts w:asciiTheme="minorHAnsi" w:hAnsiTheme="minorHAnsi"/>
          <w:b/>
          <w:sz w:val="22"/>
          <w:szCs w:val="22"/>
        </w:rPr>
      </w:pPr>
      <w:r w:rsidRPr="00FD7A2F">
        <w:rPr>
          <w:rFonts w:asciiTheme="minorHAnsi" w:hAnsiTheme="minorHAnsi"/>
          <w:b/>
          <w:sz w:val="22"/>
          <w:szCs w:val="22"/>
        </w:rPr>
        <w:t>VI.</w:t>
      </w:r>
    </w:p>
    <w:p w:rsidR="001A1E66" w:rsidRPr="00FD7A2F" w:rsidRDefault="001A1E66" w:rsidP="001A1E66">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1A1E66" w:rsidRPr="00FD7A2F" w:rsidRDefault="001A1E66" w:rsidP="001A1E66">
      <w:pPr>
        <w:pStyle w:val="Zkladntext"/>
        <w:jc w:val="center"/>
        <w:rPr>
          <w:rFonts w:asciiTheme="minorHAnsi" w:hAnsiTheme="minorHAnsi"/>
          <w:b/>
          <w:sz w:val="22"/>
          <w:szCs w:val="22"/>
        </w:rPr>
      </w:pPr>
    </w:p>
    <w:p w:rsidR="001A1E66" w:rsidRPr="004459D0" w:rsidRDefault="001A1E66" w:rsidP="001A1E66">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1A1E66" w:rsidRPr="00FD7A2F" w:rsidRDefault="001A1E66" w:rsidP="001A1E66">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1A1E66" w:rsidRPr="00FD7A2F" w:rsidRDefault="001A1E66" w:rsidP="001A1E66">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1A1E66" w:rsidRDefault="001A1E66" w:rsidP="001A1E66">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1A1E66" w:rsidRPr="002020AB" w:rsidRDefault="001A1E66" w:rsidP="001A1E66">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1A1E66" w:rsidRPr="00FD7A2F" w:rsidRDefault="001A1E66" w:rsidP="001A1E66">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1A1E66" w:rsidRPr="00FD7A2F" w:rsidRDefault="001A1E66" w:rsidP="001A1E66">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1A1E66" w:rsidRDefault="001A1E66" w:rsidP="001A1E66">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1A1E66" w:rsidRPr="00454041" w:rsidRDefault="001A1E66" w:rsidP="001A1E66">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A1E66" w:rsidRPr="00957E63" w:rsidRDefault="001A1E66" w:rsidP="001A1E66">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1A1E66" w:rsidRPr="00FD7A2F" w:rsidRDefault="001A1E66" w:rsidP="001A1E66">
      <w:pPr>
        <w:pStyle w:val="Zkladntext"/>
        <w:jc w:val="both"/>
        <w:rPr>
          <w:rFonts w:asciiTheme="minorHAnsi" w:hAnsiTheme="minorHAnsi"/>
          <w:sz w:val="22"/>
          <w:szCs w:val="22"/>
        </w:rPr>
      </w:pPr>
    </w:p>
    <w:p w:rsidR="001A1E66" w:rsidRDefault="001A1E66" w:rsidP="001A1E66">
      <w:pPr>
        <w:pStyle w:val="Zkladntext"/>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r w:rsidRPr="00FD7A2F">
        <w:rPr>
          <w:rFonts w:asciiTheme="minorHAnsi" w:hAnsiTheme="minorHAnsi"/>
          <w:sz w:val="22"/>
          <w:szCs w:val="22"/>
        </w:rPr>
        <w:t xml:space="preserve">V: </w:t>
      </w:r>
    </w:p>
    <w:p w:rsidR="001A1E66" w:rsidRPr="00FD7A2F" w:rsidRDefault="001A1E66" w:rsidP="001A1E66">
      <w:pPr>
        <w:pStyle w:val="Zkladntext"/>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1A1E66" w:rsidRPr="00FD7A2F" w:rsidRDefault="001A1E66" w:rsidP="001A1E66">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1A1E66" w:rsidRDefault="001A1E66" w:rsidP="001A1E66">
      <w:pPr>
        <w:pStyle w:val="Zkladntext"/>
        <w:rPr>
          <w:rFonts w:asciiTheme="minorHAnsi" w:hAnsiTheme="minorHAnsi"/>
          <w:sz w:val="22"/>
          <w:szCs w:val="22"/>
        </w:rPr>
      </w:pPr>
    </w:p>
    <w:p w:rsidR="001A1E66" w:rsidRDefault="001A1E66" w:rsidP="001A1E66">
      <w:pPr>
        <w:pStyle w:val="Zkladntext"/>
        <w:rPr>
          <w:rFonts w:asciiTheme="minorHAnsi" w:hAnsiTheme="minorHAnsi"/>
          <w:sz w:val="22"/>
          <w:szCs w:val="22"/>
        </w:rPr>
      </w:pPr>
    </w:p>
    <w:p w:rsidR="001A1E66" w:rsidRDefault="001A1E66" w:rsidP="001A1E66">
      <w:pPr>
        <w:pStyle w:val="Zkladntext"/>
        <w:rPr>
          <w:rFonts w:asciiTheme="minorHAnsi" w:hAnsiTheme="minorHAnsi"/>
          <w:sz w:val="22"/>
          <w:szCs w:val="22"/>
        </w:rPr>
      </w:pPr>
    </w:p>
    <w:p w:rsidR="001A1E66" w:rsidRPr="00FD7A2F" w:rsidRDefault="001A1E66" w:rsidP="001A1E66">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1A1E66" w:rsidRDefault="001A1E66" w:rsidP="001A1E66">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66"/>
    <w:rsid w:val="00084F31"/>
    <w:rsid w:val="001A1E66"/>
    <w:rsid w:val="0070478D"/>
    <w:rsid w:val="00815D7F"/>
    <w:rsid w:val="009E1985"/>
    <w:rsid w:val="00BC1137"/>
    <w:rsid w:val="00E04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FE9A"/>
  <w15:docId w15:val="{B1172A5D-063E-4EFC-935B-D2E9AA6B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E6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A1E66"/>
    <w:pPr>
      <w:widowControl w:val="0"/>
    </w:pPr>
    <w:rPr>
      <w:snapToGrid w:val="0"/>
      <w:color w:val="000000"/>
      <w:sz w:val="24"/>
    </w:rPr>
  </w:style>
  <w:style w:type="character" w:customStyle="1" w:styleId="ZkladntextChar">
    <w:name w:val="Základní text Char"/>
    <w:basedOn w:val="Standardnpsmoodstavce"/>
    <w:link w:val="Zkladntext"/>
    <w:rsid w:val="001A1E66"/>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1A1E66"/>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1A1E66"/>
    <w:rPr>
      <w:rFonts w:ascii="Times New Roman" w:eastAsia="Times New Roman" w:hAnsi="Times New Roman" w:cs="Times New Roman"/>
      <w:sz w:val="20"/>
      <w:szCs w:val="20"/>
      <w:lang w:eastAsia="cs-CZ"/>
    </w:rPr>
  </w:style>
  <w:style w:type="paragraph" w:customStyle="1" w:styleId="p1">
    <w:name w:val="p1"/>
    <w:basedOn w:val="Normln"/>
    <w:rsid w:val="001A1E66"/>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1A1E66"/>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1506</Words>
  <Characters>8887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dcterms:created xsi:type="dcterms:W3CDTF">2018-09-24T13:29:00Z</dcterms:created>
  <dcterms:modified xsi:type="dcterms:W3CDTF">2018-09-24T13:30:00Z</dcterms:modified>
</cp:coreProperties>
</file>