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39" w:rsidRDefault="00D01A21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3E5D39" w:rsidRDefault="003E5D3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3E5D39" w:rsidRDefault="00D01A21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3E5D39" w:rsidRDefault="003E5D3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 w:rsidP="0001435E">
      <w:pPr>
        <w:widowControl w:val="0"/>
        <w:tabs>
          <w:tab w:val="left" w:pos="1842"/>
          <w:tab w:val="left" w:pos="5387"/>
        </w:tabs>
        <w:spacing w:line="360" w:lineRule="auto"/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Název: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1435E">
        <w:rPr>
          <w:rFonts w:ascii="Times New Roman" w:eastAsia="Times New Roman" w:hAnsi="Times New Roman" w:cs="Times New Roman"/>
          <w:b/>
          <w:sz w:val="22"/>
          <w:szCs w:val="22"/>
        </w:rPr>
        <w:t xml:space="preserve">PARMA </w:t>
      </w:r>
      <w:proofErr w:type="spellStart"/>
      <w:r w:rsidR="0001435E">
        <w:rPr>
          <w:rFonts w:ascii="Times New Roman" w:eastAsia="Times New Roman" w:hAnsi="Times New Roman" w:cs="Times New Roman"/>
          <w:b/>
          <w:sz w:val="22"/>
          <w:szCs w:val="22"/>
        </w:rPr>
        <w:t>Recordings</w:t>
      </w:r>
      <w:proofErr w:type="spellEnd"/>
      <w:r w:rsidR="0001435E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01435E">
        <w:rPr>
          <w:rFonts w:ascii="Times New Roman" w:eastAsia="Times New Roman" w:hAnsi="Times New Roman" w:cs="Times New Roman"/>
          <w:sz w:val="22"/>
          <w:szCs w:val="22"/>
        </w:rPr>
        <w:t xml:space="preserve">861 </w:t>
      </w:r>
      <w:proofErr w:type="spellStart"/>
      <w:r w:rsidR="0001435E">
        <w:rPr>
          <w:rFonts w:ascii="Times New Roman" w:eastAsia="Times New Roman" w:hAnsi="Times New Roman" w:cs="Times New Roman"/>
          <w:sz w:val="22"/>
          <w:szCs w:val="22"/>
        </w:rPr>
        <w:t>Lafayette</w:t>
      </w:r>
      <w:proofErr w:type="spellEnd"/>
      <w:r w:rsidR="0001435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1435E">
        <w:rPr>
          <w:rFonts w:ascii="Times New Roman" w:eastAsia="Times New Roman" w:hAnsi="Times New Roman" w:cs="Times New Roman"/>
          <w:sz w:val="22"/>
          <w:szCs w:val="22"/>
        </w:rPr>
        <w:t>Road</w:t>
      </w:r>
      <w:proofErr w:type="spellEnd"/>
      <w:r w:rsidR="0001435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01435E">
        <w:rPr>
          <w:rFonts w:ascii="Times New Roman" w:eastAsia="Times New Roman" w:hAnsi="Times New Roman" w:cs="Times New Roman"/>
          <w:sz w:val="22"/>
          <w:szCs w:val="22"/>
        </w:rPr>
        <w:t>Suite</w:t>
      </w:r>
      <w:proofErr w:type="spellEnd"/>
      <w:r w:rsidR="0001435E">
        <w:rPr>
          <w:rFonts w:ascii="Times New Roman" w:eastAsia="Times New Roman" w:hAnsi="Times New Roman" w:cs="Times New Roman"/>
          <w:sz w:val="22"/>
          <w:szCs w:val="22"/>
        </w:rPr>
        <w:t xml:space="preserve"> 6B, </w:t>
      </w:r>
      <w:r w:rsidR="0001435E">
        <w:rPr>
          <w:rFonts w:ascii="Times New Roman" w:eastAsia="Times New Roman" w:hAnsi="Times New Roman" w:cs="Times New Roman"/>
          <w:sz w:val="22"/>
          <w:szCs w:val="22"/>
        </w:rPr>
        <w:br/>
        <w:t>Hampton NH 03842, USA</w:t>
      </w:r>
      <w:r w:rsidR="0001435E">
        <w:rPr>
          <w:rFonts w:ascii="Times New Roman" w:eastAsia="Times New Roman" w:hAnsi="Times New Roman" w:cs="Times New Roman"/>
          <w:sz w:val="22"/>
          <w:szCs w:val="22"/>
        </w:rPr>
        <w:br/>
      </w:r>
      <w:proofErr w:type="spellStart"/>
      <w:r w:rsidR="0001435E">
        <w:rPr>
          <w:rFonts w:ascii="Times New Roman" w:eastAsia="Times New Roman" w:hAnsi="Times New Roman" w:cs="Times New Roman"/>
          <w:color w:val="000000"/>
          <w:sz w:val="22"/>
          <w:szCs w:val="22"/>
        </w:rPr>
        <w:t>Representative</w:t>
      </w:r>
      <w:proofErr w:type="spellEnd"/>
      <w:r w:rsidR="000143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Mr. Bob Lord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E5D39" w:rsidRDefault="00D01A21">
      <w:pPr>
        <w:widowControl w:val="0"/>
        <w:spacing w:after="20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3E5D39" w:rsidRDefault="00D01A21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3E5D39" w:rsidRDefault="00D01A21">
      <w:pPr>
        <w:widowControl w:val="0"/>
        <w:tabs>
          <w:tab w:val="left" w:pos="538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A66ABD" w:rsidRDefault="00D01A21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Kontakt: </w:t>
      </w:r>
      <w:proofErr w:type="spellStart"/>
      <w:r w:rsidR="00A66ABD">
        <w:rPr>
          <w:rFonts w:ascii="Times New Roman" w:eastAsia="Times New Roman" w:hAnsi="Times New Roman" w:cs="Times New Roman"/>
          <w:sz w:val="22"/>
          <w:szCs w:val="22"/>
        </w:rPr>
        <w:t>xxxxxxxxxxxxxxxxxxxxxxxxxxxxxxxxxxxxxxxxxxxxxxxxx</w:t>
      </w:r>
      <w:proofErr w:type="spellEnd"/>
      <w:r w:rsidR="00A66ABD">
        <w:rPr>
          <w:rFonts w:ascii="Times New Roman" w:eastAsia="Times New Roman" w:hAnsi="Times New Roman" w:cs="Times New Roman"/>
          <w:sz w:val="22"/>
          <w:szCs w:val="22"/>
        </w:rPr>
        <w:t>¨</w:t>
      </w:r>
    </w:p>
    <w:p w:rsidR="003E5D39" w:rsidRPr="00A66ABD" w:rsidRDefault="00D01A21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3E5D39" w:rsidRDefault="00D01A21">
      <w:pPr>
        <w:widowControl w:val="0"/>
        <w:spacing w:after="200"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3E5D39" w:rsidRDefault="00D01A21">
      <w:pPr>
        <w:widowControl w:val="0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(Pořadatel a Účinkující dále společně také jako 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Smluvní strany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“;</w:t>
      </w:r>
    </w:p>
    <w:p w:rsidR="003E5D39" w:rsidRDefault="00D01A21">
      <w:pPr>
        <w:pStyle w:val="Nadpis2"/>
        <w:widowControl w:val="0"/>
        <w:spacing w:before="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" w:name="_ohu1cwuoyjp2" w:colFirst="0" w:colLast="0"/>
      <w:bookmarkEnd w:id="1"/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tato Smlouva o provedení uměleckého výkonu dále také jako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Smlouva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</w:rPr>
        <w:t>“)</w:t>
      </w:r>
      <w:r>
        <w:br w:type="page"/>
      </w:r>
    </w:p>
    <w:p w:rsidR="003E5D39" w:rsidRDefault="00D01A2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" w:name="_jjc7lhi4qiw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Předmět smlouvy</w:t>
      </w:r>
    </w:p>
    <w:p w:rsidR="003E5D39" w:rsidRDefault="003E5D3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1435E" w:rsidRDefault="0001435E" w:rsidP="0001435E">
      <w:pPr>
        <w:pStyle w:val="Normln1"/>
        <w:widowControl w:val="0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Promoter pledges himself to engage the Performer in the following Production:</w:t>
      </w:r>
    </w:p>
    <w:p w:rsidR="0001435E" w:rsidRDefault="0001435E" w:rsidP="0001435E">
      <w:pPr>
        <w:pStyle w:val="Normln1"/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. datum 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čas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September14th , 2018  10.a.m. – 2 p.m.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místo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konání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Ostrava, Recording hall, 28.října Street 2556/124,. 702 00 Ostrava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c. 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Beth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Mehocic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Left of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Winter</w:t>
      </w:r>
      <w:proofErr w:type="gramEnd"/>
    </w:p>
    <w:p w:rsidR="0001435E" w:rsidRDefault="0001435E" w:rsidP="0001435E">
      <w:pPr>
        <w:pStyle w:val="Normln1"/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obsazení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  2222 – 4331 – Timp+4, Strings 12.10.8.8.6</w:t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Hippos</w:t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obsazení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  221+bascl.1+cfgt / 221+bastrombone, 1 Timp+2, Harp</w:t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Strings: 10.8.6.6.4</w:t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G. Rossini – Barber of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Sevilla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( from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Allegro)</w:t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obsazení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:  2222 – 2210 – Timp+1 / Strings: 10.8.6.6.4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d.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účinkující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orchestra of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Janáček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Philharmonic Ostrava (provided by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Účinkujícím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Jiri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Petrdlik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 conductor </w:t>
      </w:r>
      <w:r w:rsidRPr="004F171D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zajištěný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pořadatelem</w:t>
      </w:r>
      <w:proofErr w:type="spellEnd"/>
      <w:r w:rsidRPr="004F171D">
        <w:rPr>
          <w:rFonts w:ascii="Times New Roman" w:eastAsia="Times New Roman" w:hAnsi="Times New Roman" w:cs="Times New Roman"/>
          <w:sz w:val="22"/>
          <w:szCs w:val="22"/>
        </w:rPr>
        <w:t xml:space="preserve"> )</w:t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Jan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Košulič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 sound engineer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zajištěný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pořadatelem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Vít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Mužík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as music director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zajištěný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pořadatelem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01435E" w:rsidRDefault="0001435E" w:rsidP="0001435E">
      <w:pPr>
        <w:pStyle w:val="Normln1"/>
        <w:widowControl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plán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Mehocic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– Hippos - Rossini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E5D39" w:rsidRPr="003768DA" w:rsidRDefault="00D01A21" w:rsidP="003768DA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Umělec se zavazuje k účasti na výše uvedené Produkci, být plně připraven k uvedenému výkonu, a to na adekvátní umělecké úrovni. 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 w:rsidP="003768DA">
      <w:pPr>
        <w:widowControl w:val="0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Pořadatel zajišťuje místo konání (včetně propagace v případě veřejné události) a </w:t>
      </w:r>
      <w:r w:rsidRPr="003768DA">
        <w:rPr>
          <w:rFonts w:ascii="Times New Roman" w:eastAsia="Times New Roman" w:hAnsi="Times New Roman" w:cs="Times New Roman"/>
          <w:sz w:val="22"/>
          <w:szCs w:val="22"/>
        </w:rPr>
        <w:lastRenderedPageBreak/>
        <w:t>zázemí, stejně jako hudební nástroje, notový materiál a autorská práva.</w:t>
      </w:r>
    </w:p>
    <w:p w:rsidR="003768DA" w:rsidRDefault="003768DA" w:rsidP="003768DA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:rsidR="003768DA" w:rsidRDefault="003768DA" w:rsidP="003768DA">
      <w:pPr>
        <w:pStyle w:val="Normln1"/>
        <w:widowControl w:val="0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Pořadatel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zavazuji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opatřit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prává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autora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natočení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daných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děl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768DA" w:rsidRPr="003768DA" w:rsidRDefault="003768DA" w:rsidP="003768DA">
      <w:pPr>
        <w:widowControl w:val="0"/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3768DA">
      <w:pPr>
        <w:widowControl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 w:rsidR="00D01A21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D01A21">
        <w:rPr>
          <w:rFonts w:ascii="Times New Roman" w:eastAsia="Times New Roman" w:hAnsi="Times New Roman" w:cs="Times New Roman"/>
          <w:b/>
          <w:sz w:val="22"/>
          <w:szCs w:val="22"/>
        </w:rPr>
        <w:tab/>
        <w:t>Doprava</w:t>
      </w:r>
    </w:p>
    <w:p w:rsidR="003E5D39" w:rsidRDefault="003768DA" w:rsidP="0030429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Účinkující bude asistovat Pořadateli při zajišťování přepravy a ubytování.</w:t>
      </w:r>
    </w:p>
    <w:p w:rsidR="003E5D39" w:rsidRDefault="00D01A21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mmp92mrtshpu" w:colFirst="0" w:colLast="0"/>
      <w:bookmarkEnd w:id="3"/>
      <w:r>
        <w:br w:type="page"/>
      </w:r>
    </w:p>
    <w:p w:rsidR="003E5D39" w:rsidRDefault="003768DA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4" w:name="_ojhqmpe1vrj3" w:colFirst="0" w:colLast="0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II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ab/>
        <w:t>Licence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68DA" w:rsidRPr="003768DA" w:rsidRDefault="003768DA" w:rsidP="00304298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Produkci</w:t>
      </w: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 zaznamená pořadatel. Postprodukci organizuje pořadatel.</w:t>
      </w:r>
    </w:p>
    <w:p w:rsidR="003768DA" w:rsidRPr="003768DA" w:rsidRDefault="003768DA" w:rsidP="003768D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68DA" w:rsidRPr="003768DA" w:rsidRDefault="003768DA" w:rsidP="0030429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3768DA">
        <w:rPr>
          <w:rFonts w:ascii="Times New Roman" w:eastAsia="Times New Roman" w:hAnsi="Times New Roman" w:cs="Times New Roman"/>
          <w:sz w:val="22"/>
          <w:szCs w:val="22"/>
        </w:rPr>
        <w:t>Touto smlouvou výkonný umělec uděluje organizátorovi výhradní licenci výkonného umělce, konkrétně příslušných orchestrálních hrá</w:t>
      </w:r>
      <w:r>
        <w:rPr>
          <w:rFonts w:ascii="Times New Roman" w:eastAsia="Times New Roman" w:hAnsi="Times New Roman" w:cs="Times New Roman"/>
          <w:sz w:val="22"/>
          <w:szCs w:val="22"/>
        </w:rPr>
        <w:t>čů, pro výrobu zvukové nahrávky</w:t>
      </w:r>
      <w:r w:rsidRPr="003768DA">
        <w:rPr>
          <w:rFonts w:ascii="Times New Roman" w:eastAsia="Times New Roman" w:hAnsi="Times New Roman" w:cs="Times New Roman"/>
          <w:sz w:val="22"/>
          <w:szCs w:val="22"/>
        </w:rPr>
        <w:t>. Licence je udělena bez místních nebo časových omezení, pro její neomezené použití komerčního a jiného charakteru (např. Jeho vydání na CD, jeho šíření přes internet, použití v audiovizuálním prezentačním materiálu atd.).</w:t>
      </w:r>
    </w:p>
    <w:p w:rsidR="003768DA" w:rsidRPr="003768DA" w:rsidRDefault="003768DA" w:rsidP="003768D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768DA" w:rsidRPr="003768DA" w:rsidRDefault="003768DA" w:rsidP="0030429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8DA">
        <w:rPr>
          <w:rFonts w:ascii="Times New Roman" w:eastAsia="Times New Roman" w:hAnsi="Times New Roman" w:cs="Times New Roman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 Organizátor může, ale nemusí využívat licence; musí být schopen poskytnout licenci (případně částečnou licenci, případně) třetím osobám.</w:t>
      </w:r>
    </w:p>
    <w:p w:rsidR="003768DA" w:rsidRPr="003768DA" w:rsidRDefault="00304298" w:rsidP="003768D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E5D39" w:rsidRPr="003768DA" w:rsidRDefault="003768DA" w:rsidP="003768DA">
      <w:pPr>
        <w:pStyle w:val="Odstavecseseznamem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 Pořadatel je povinen poskytnout </w:t>
      </w:r>
      <w:r>
        <w:rPr>
          <w:rFonts w:ascii="Times New Roman" w:eastAsia="Times New Roman" w:hAnsi="Times New Roman" w:cs="Times New Roman"/>
          <w:sz w:val="22"/>
          <w:szCs w:val="22"/>
        </w:rPr>
        <w:t>Účinkujícímu</w:t>
      </w:r>
      <w:r w:rsidRPr="003768DA">
        <w:rPr>
          <w:rFonts w:ascii="Times New Roman" w:eastAsia="Times New Roman" w:hAnsi="Times New Roman" w:cs="Times New Roman"/>
          <w:sz w:val="22"/>
          <w:szCs w:val="22"/>
        </w:rPr>
        <w:t xml:space="preserve"> digitální kopii záznamu ihned po jeho dokončení.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3768DA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5" w:name="_rxg811k0resu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 xml:space="preserve"> III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>.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ab/>
        <w:t>Odměna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widowControl w:val="0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uhradí Umělci sjednaný honorář ve výši </w:t>
      </w:r>
      <w:r w:rsidR="003768DA">
        <w:rPr>
          <w:rFonts w:ascii="Times New Roman" w:eastAsia="Times New Roman" w:hAnsi="Times New Roman" w:cs="Times New Roman"/>
          <w:sz w:val="22"/>
          <w:szCs w:val="22"/>
          <w:highlight w:val="yellow"/>
        </w:rPr>
        <w:t>70 300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Kč (slovy: </w:t>
      </w:r>
      <w:r w:rsidR="003768DA"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sedmdesát tisíc </w:t>
      </w:r>
      <w:proofErr w:type="spellStart"/>
      <w:r w:rsidR="003768DA">
        <w:rPr>
          <w:rFonts w:ascii="Times New Roman" w:eastAsia="Times New Roman" w:hAnsi="Times New Roman" w:cs="Times New Roman"/>
          <w:sz w:val="22"/>
          <w:szCs w:val="22"/>
          <w:highlight w:val="yellow"/>
        </w:rPr>
        <w:t>třistra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Korun českých) hrubého, a to na základě této Smlouvy. Honorář pokrývá veškeré náklady spoj</w:t>
      </w:r>
      <w:r w:rsidR="00304298">
        <w:rPr>
          <w:rFonts w:ascii="Times New Roman" w:eastAsia="Times New Roman" w:hAnsi="Times New Roman" w:cs="Times New Roman"/>
          <w:sz w:val="22"/>
          <w:szCs w:val="22"/>
        </w:rPr>
        <w:t>ené s výkonem v rámci Produkce včetně částky za ubytování dirigenta (III/4) ve výši 1300 CZK. Na základě této smlouvy bude odměna vyplacena na účet Janáč</w:t>
      </w:r>
      <w:bookmarkStart w:id="6" w:name="_GoBack"/>
      <w:bookmarkEnd w:id="6"/>
      <w:r w:rsidR="00304298">
        <w:rPr>
          <w:rFonts w:ascii="Times New Roman" w:eastAsia="Times New Roman" w:hAnsi="Times New Roman" w:cs="Times New Roman"/>
          <w:sz w:val="22"/>
          <w:szCs w:val="22"/>
        </w:rPr>
        <w:t xml:space="preserve">kovy Filharmonie Ostrava </w:t>
      </w:r>
      <w:proofErr w:type="spellStart"/>
      <w:proofErr w:type="gramStart"/>
      <w:r w:rsidR="00304298">
        <w:rPr>
          <w:rFonts w:ascii="Times New Roman" w:eastAsia="Times New Roman" w:hAnsi="Times New Roman" w:cs="Times New Roman"/>
          <w:sz w:val="22"/>
          <w:szCs w:val="22"/>
        </w:rPr>
        <w:t>p.o</w:t>
      </w:r>
      <w:proofErr w:type="spellEnd"/>
      <w:r w:rsidR="00304298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="00304298">
        <w:rPr>
          <w:rFonts w:ascii="Times New Roman" w:eastAsia="Times New Roman" w:hAnsi="Times New Roman" w:cs="Times New Roman"/>
          <w:sz w:val="22"/>
          <w:szCs w:val="22"/>
        </w:rPr>
        <w:t xml:space="preserve"> po provedení Uměleckého výkonu</w:t>
      </w:r>
    </w:p>
    <w:p w:rsidR="003E5D39" w:rsidRDefault="003E5D3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04298" w:rsidRPr="00304298" w:rsidRDefault="00304298" w:rsidP="0030429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2.Účinkující</w:t>
      </w:r>
      <w:proofErr w:type="gramEnd"/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potvrzuje, že není povinen účtovat DPH související s výkonem. P</w:t>
      </w:r>
      <w:r>
        <w:rPr>
          <w:rFonts w:ascii="Times New Roman" w:eastAsia="Times New Roman" w:hAnsi="Times New Roman" w:cs="Times New Roman"/>
          <w:sz w:val="22"/>
          <w:szCs w:val="22"/>
        </w:rPr>
        <w:t>ořa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datel</w:t>
      </w: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proto musí zahrnovat veškerou možnou moc, aby se vyhnul placení dodatečných daní. Poskytovatel poskytne zadavateli veškeré potřebné dokumenty, jako jsou formuláře A1, daňový domicil atd.</w:t>
      </w:r>
    </w:p>
    <w:p w:rsidR="00304298" w:rsidRPr="00304298" w:rsidRDefault="00304298" w:rsidP="0030429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04298" w:rsidRPr="00304298" w:rsidRDefault="00304298" w:rsidP="00304298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4298">
        <w:rPr>
          <w:rFonts w:ascii="Times New Roman" w:eastAsia="Times New Roman" w:hAnsi="Times New Roman" w:cs="Times New Roman"/>
          <w:sz w:val="22"/>
          <w:szCs w:val="22"/>
        </w:rPr>
        <w:t>3. Veškeré transakční poplatky spojené s vyplacením odměny hradí Poskytovatel.</w:t>
      </w:r>
    </w:p>
    <w:p w:rsidR="00304298" w:rsidRPr="00304298" w:rsidRDefault="00304298" w:rsidP="0030429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04298" w:rsidRPr="00304298" w:rsidRDefault="00304298" w:rsidP="00304298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4. Umělec si zaplatí a zavazuje se zaplatit náklady na ubytování dirigenta Jiřího </w:t>
      </w:r>
      <w:proofErr w:type="spellStart"/>
      <w:r w:rsidRPr="00304298">
        <w:rPr>
          <w:rFonts w:ascii="Times New Roman" w:eastAsia="Times New Roman" w:hAnsi="Times New Roman" w:cs="Times New Roman"/>
          <w:sz w:val="22"/>
          <w:szCs w:val="22"/>
        </w:rPr>
        <w:t>Petrdlíka</w:t>
      </w:r>
      <w:proofErr w:type="spellEnd"/>
    </w:p>
    <w:p w:rsidR="00304298" w:rsidRPr="00304298" w:rsidRDefault="00304298" w:rsidP="0030429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(1 jednolůžkový pokoj pro 1 noc 13. - </w:t>
      </w:r>
      <w:proofErr w:type="gramStart"/>
      <w:r w:rsidRPr="00304298">
        <w:rPr>
          <w:rFonts w:ascii="Times New Roman" w:eastAsia="Times New Roman" w:hAnsi="Times New Roman" w:cs="Times New Roman"/>
          <w:sz w:val="22"/>
          <w:szCs w:val="22"/>
        </w:rPr>
        <w:t>14.9.2018</w:t>
      </w:r>
      <w:proofErr w:type="gramEnd"/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v hotelu </w:t>
      </w:r>
      <w:proofErr w:type="spellStart"/>
      <w:r w:rsidRPr="00304298">
        <w:rPr>
          <w:rFonts w:ascii="Times New Roman" w:eastAsia="Times New Roman" w:hAnsi="Times New Roman" w:cs="Times New Roman"/>
          <w:sz w:val="22"/>
          <w:szCs w:val="22"/>
        </w:rPr>
        <w:t>Imperial</w:t>
      </w:r>
      <w:proofErr w:type="spellEnd"/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Ostrava). Tato částka zvýší odměnu podle této smlouvy a bude placena organizátorem</w:t>
      </w:r>
    </w:p>
    <w:p w:rsidR="00304298" w:rsidRPr="00304298" w:rsidRDefault="00304298" w:rsidP="00304298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304298" w:rsidP="00304298">
      <w:pPr>
        <w:widowControl w:val="0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eastAsia="Times New Roman" w:hAnsi="Times New Roman" w:cs="Times New Roman"/>
          <w:sz w:val="22"/>
          <w:szCs w:val="22"/>
        </w:rPr>
        <w:t>Pořadatel</w:t>
      </w: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zajistí</w:t>
      </w: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dirigent</w:t>
      </w:r>
      <w:r>
        <w:rPr>
          <w:rFonts w:ascii="Times New Roman" w:eastAsia="Times New Roman" w:hAnsi="Times New Roman" w:cs="Times New Roman"/>
          <w:sz w:val="22"/>
          <w:szCs w:val="22"/>
        </w:rPr>
        <w:t>a a hudebního režiséra</w:t>
      </w: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pro tento nahrávací projekt a zavazuje se jim vyplatit odměnu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vyplívající</w:t>
      </w:r>
      <w:r w:rsidRPr="00304298">
        <w:rPr>
          <w:rFonts w:ascii="Times New Roman" w:eastAsia="Times New Roman" w:hAnsi="Times New Roman" w:cs="Times New Roman"/>
          <w:sz w:val="22"/>
          <w:szCs w:val="22"/>
        </w:rPr>
        <w:t xml:space="preserve"> z této smlouvy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3768DA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" w:name="_yar971xwhans" w:colFirst="0" w:colLast="0"/>
      <w:bookmarkEnd w:id="7"/>
      <w:r>
        <w:rPr>
          <w:rFonts w:ascii="Times New Roman" w:eastAsia="Times New Roman" w:hAnsi="Times New Roman" w:cs="Times New Roman"/>
          <w:sz w:val="22"/>
          <w:szCs w:val="22"/>
        </w:rPr>
        <w:t>IV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ab/>
        <w:t>Smluvní pokuty</w:t>
      </w:r>
    </w:p>
    <w:p w:rsidR="003E5D39" w:rsidRDefault="003E5D3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Pakliže Umělec nesplní závazky vyplývající z této Smlouvy z důvodů jiných, než je selhání Pořadatele, a z důvodů jiných, než které jsou mimo jeho kontrolu (politická regulace, válka, přírodní katastrofa nebo obdobný zásah vyšší moci), a jejich nesplnění povede ke znemožnění provedení Produkce, je Umělec povinen uhradit Pořadateli smluvní pokutu ve výši 100 % opodstatněných a doložených výdajů, které Pořadateli vznikly vzhledem ke zrušení Produkce; a přichází tím o nárok na Odměnu dle čl. V této Smlouvy.</w:t>
      </w:r>
    </w:p>
    <w:p w:rsidR="003E5D39" w:rsidRDefault="003E5D3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Uměleckého výkonu, je Pořadatel povinen uhradit Účinkujícímu celou odměnu jak je uvedeno výše (bez příspěvku na dopravu). Případné další výdaje nejsou Pořadatelem hrazeny.</w:t>
      </w:r>
    </w:p>
    <w:p w:rsidR="003E5D39" w:rsidRDefault="003E5D3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3768DA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" w:name="_7su8mn12ts12" w:colFirst="0" w:colLast="0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V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ab/>
        <w:t>Odstoupení od smlouvy</w:t>
      </w:r>
    </w:p>
    <w:p w:rsidR="003E5D39" w:rsidRDefault="003E5D3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3E5D39" w:rsidRDefault="003E5D3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3E5D3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04298" w:rsidRDefault="00304298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9" w:name="_s7ya19xrz7a3" w:colFirst="0" w:colLast="0"/>
      <w:bookmarkEnd w:id="9"/>
    </w:p>
    <w:p w:rsidR="003E5D39" w:rsidRDefault="003768DA">
      <w:pPr>
        <w:pStyle w:val="Nadpis2"/>
        <w:widowControl w:val="0"/>
        <w:spacing w:before="0"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VI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01A21">
        <w:rPr>
          <w:rFonts w:ascii="Times New Roman" w:eastAsia="Times New Roman" w:hAnsi="Times New Roman" w:cs="Times New Roman"/>
          <w:sz w:val="22"/>
          <w:szCs w:val="22"/>
        </w:rPr>
        <w:tab/>
        <w:t>Závěrečná ustanovení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Umělce.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Dle zákona č. 340/2015 o registru smluv bude tato Smlouva po uzavření zveřejněna ve veřejném rejstříku. Smlouva ve veřejném rejstříku nebude zveřejněna, je-li druhou smluvní stranou sám výkonný umělec nebo je-li honorář nižší nebo roven 50 000 Kč anebo koná-li se Produkce mimo území ČR.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E5D39" w:rsidRDefault="00D01A21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 Tato Smlouva je účinná dnem podpisu poslední ze Smluvních stran.</w:t>
      </w:r>
    </w:p>
    <w:p w:rsidR="003E5D39" w:rsidRDefault="003E5D3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D01A21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D01A21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D01A21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D01A21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04298" w:rsidRDefault="00304298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Bob Lord</w:t>
            </w:r>
          </w:p>
          <w:p w:rsidR="003E5D39" w:rsidRDefault="00D01A21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04298" w:rsidRDefault="00304298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Mgr. Jan Žemla</w:t>
            </w:r>
          </w:p>
          <w:p w:rsidR="003E5D39" w:rsidRDefault="00D01A21">
            <w:pPr>
              <w:widowControl w:val="0"/>
              <w:spacing w:line="360" w:lineRule="auto"/>
              <w:ind w:left="85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Umělec</w:t>
            </w:r>
          </w:p>
        </w:tc>
      </w:tr>
      <w:tr w:rsidR="003E5D3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5D39" w:rsidRDefault="003E5D39">
            <w:pPr>
              <w:widowControl w:val="0"/>
              <w:spacing w:line="360" w:lineRule="auto"/>
              <w:ind w:left="8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5D39" w:rsidRDefault="003E5D39" w:rsidP="00F676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Etelka Monospace" w:eastAsia="Etelka Monospace" w:hAnsi="Etelka Monospace" w:cs="Etelka Monospace"/>
          <w:sz w:val="36"/>
          <w:szCs w:val="36"/>
        </w:rPr>
      </w:pPr>
    </w:p>
    <w:sectPr w:rsidR="003E5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3" w:right="851" w:bottom="297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21" w:rsidRDefault="00D01A21">
      <w:r>
        <w:separator/>
      </w:r>
    </w:p>
  </w:endnote>
  <w:endnote w:type="continuationSeparator" w:id="0">
    <w:p w:rsidR="00D01A21" w:rsidRDefault="00D0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 Monospace">
    <w:altName w:val="Courier New"/>
    <w:panose1 w:val="00000000000000000000"/>
    <w:charset w:val="00"/>
    <w:family w:val="modern"/>
    <w:notTrueType/>
    <w:pitch w:val="fixed"/>
    <w:sig w:usb0="00000001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39" w:rsidRDefault="00D01A2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39" w:rsidRDefault="00D01A2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-540384</wp:posOffset>
          </wp:positionH>
          <wp:positionV relativeFrom="paragraph">
            <wp:posOffset>66675</wp:posOffset>
          </wp:positionV>
          <wp:extent cx="7560310" cy="1622425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62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39" w:rsidRDefault="003E5D3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21" w:rsidRDefault="00D01A21">
      <w:r>
        <w:separator/>
      </w:r>
    </w:p>
  </w:footnote>
  <w:footnote w:type="continuationSeparator" w:id="0">
    <w:p w:rsidR="00D01A21" w:rsidRDefault="00D01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39" w:rsidRDefault="00D01A21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3E5D39" w:rsidRDefault="003E5D3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39" w:rsidRDefault="00D01A2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-540384</wp:posOffset>
          </wp:positionH>
          <wp:positionV relativeFrom="paragraph">
            <wp:posOffset>-450214</wp:posOffset>
          </wp:positionV>
          <wp:extent cx="7565390" cy="1701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39" w:rsidRDefault="003E5D3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BE"/>
    <w:multiLevelType w:val="multilevel"/>
    <w:tmpl w:val="F6A4A9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BD310D"/>
    <w:multiLevelType w:val="multilevel"/>
    <w:tmpl w:val="1D1E5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DE644D"/>
    <w:multiLevelType w:val="multilevel"/>
    <w:tmpl w:val="3F367B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D031C9"/>
    <w:multiLevelType w:val="multilevel"/>
    <w:tmpl w:val="34CCD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F10A49"/>
    <w:multiLevelType w:val="multilevel"/>
    <w:tmpl w:val="955ED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172546"/>
    <w:multiLevelType w:val="multilevel"/>
    <w:tmpl w:val="64B01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BE46957"/>
    <w:multiLevelType w:val="multilevel"/>
    <w:tmpl w:val="F514A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954950"/>
    <w:multiLevelType w:val="multilevel"/>
    <w:tmpl w:val="77AC83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6A7F74"/>
    <w:multiLevelType w:val="hybridMultilevel"/>
    <w:tmpl w:val="C30640CC"/>
    <w:lvl w:ilvl="0" w:tplc="0405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39"/>
    <w:rsid w:val="0001435E"/>
    <w:rsid w:val="00304298"/>
    <w:rsid w:val="003475A4"/>
    <w:rsid w:val="003768DA"/>
    <w:rsid w:val="003E5D39"/>
    <w:rsid w:val="00A66ABD"/>
    <w:rsid w:val="00D01A21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D5D34-DFC5-4FBB-B7DA-3770CEA1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Normln1">
    <w:name w:val="Normální1"/>
    <w:rsid w:val="0001435E"/>
    <w:rPr>
      <w:rFonts w:ascii="Calibri" w:eastAsia="Calibri" w:hAnsi="Calibri" w:cs="Calibri"/>
      <w:lang w:val="en-GB"/>
    </w:rPr>
  </w:style>
  <w:style w:type="paragraph" w:styleId="Odstavecseseznamem">
    <w:name w:val="List Paragraph"/>
    <w:basedOn w:val="Normln"/>
    <w:uiPriority w:val="34"/>
    <w:qFormat/>
    <w:rsid w:val="003768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76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5983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AP. Procházka</dc:creator>
  <cp:lastModifiedBy>Markéta Vyležíková</cp:lastModifiedBy>
  <cp:revision>2</cp:revision>
  <cp:lastPrinted>2018-09-21T10:12:00Z</cp:lastPrinted>
  <dcterms:created xsi:type="dcterms:W3CDTF">2018-09-21T12:53:00Z</dcterms:created>
  <dcterms:modified xsi:type="dcterms:W3CDTF">2018-09-21T12:53:00Z</dcterms:modified>
</cp:coreProperties>
</file>