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B3" w:rsidRDefault="00377552">
      <w:pPr>
        <w:spacing w:after="0" w:line="360" w:lineRule="auto"/>
        <w:jc w:val="center"/>
      </w:pPr>
      <w:r>
        <w:t>Potravinová</w:t>
      </w:r>
      <w:r>
        <w:t xml:space="preserve"> banka </w:t>
      </w:r>
      <w:proofErr w:type="spellStart"/>
      <w:proofErr w:type="gramStart"/>
      <w:r>
        <w:t>Central</w:t>
      </w:r>
      <w:proofErr w:type="spellEnd"/>
      <w:r>
        <w:t xml:space="preserve"> </w:t>
      </w:r>
      <w:proofErr w:type="spellStart"/>
      <w:r>
        <w:t>z.s</w:t>
      </w:r>
      <w:proofErr w:type="spellEnd"/>
      <w:r>
        <w:t>.</w:t>
      </w:r>
      <w:proofErr w:type="gramEnd"/>
    </w:p>
    <w:p w:rsidR="002165B3" w:rsidRDefault="00377552">
      <w:pPr>
        <w:spacing w:after="0" w:line="360" w:lineRule="auto"/>
        <w:jc w:val="center"/>
      </w:pPr>
      <w:bookmarkStart w:id="0" w:name="__DdeLink__4553_2077070846"/>
      <w:bookmarkEnd w:id="0"/>
      <w:r>
        <w:t>Jeronýmova 217/3, České Budějovice 6, 370 01 České Budějovice</w:t>
      </w:r>
    </w:p>
    <w:p w:rsidR="002165B3" w:rsidRDefault="00377552">
      <w:pPr>
        <w:spacing w:after="0" w:line="360" w:lineRule="auto"/>
        <w:jc w:val="center"/>
      </w:pPr>
      <w:r>
        <w:t xml:space="preserve">IČ: </w:t>
      </w:r>
      <w:r>
        <w:t>068 60 087</w:t>
      </w:r>
      <w:r>
        <w:t xml:space="preserve"> </w:t>
      </w:r>
    </w:p>
    <w:p w:rsidR="002165B3" w:rsidRDefault="00377552">
      <w:pPr>
        <w:spacing w:after="0" w:line="360" w:lineRule="auto"/>
        <w:jc w:val="center"/>
      </w:pPr>
      <w:r>
        <w:t>(dále jen Potravinová banka)</w:t>
      </w:r>
    </w:p>
    <w:p w:rsidR="002165B3" w:rsidRDefault="00377552">
      <w:pPr>
        <w:spacing w:after="0" w:line="360" w:lineRule="auto"/>
        <w:jc w:val="center"/>
      </w:pPr>
      <w:r>
        <w:t>a</w:t>
      </w:r>
    </w:p>
    <w:p w:rsidR="002165B3" w:rsidRDefault="002165B3">
      <w:pPr>
        <w:spacing w:after="0" w:line="360" w:lineRule="auto"/>
        <w:jc w:val="center"/>
      </w:pPr>
    </w:p>
    <w:p w:rsidR="002165B3" w:rsidRPr="001E7579" w:rsidRDefault="001E7579">
      <w:pPr>
        <w:spacing w:after="0" w:line="360" w:lineRule="auto"/>
        <w:jc w:val="center"/>
        <w:rPr>
          <w:b/>
          <w:i/>
          <w:color w:val="auto"/>
        </w:rPr>
      </w:pPr>
      <w:r w:rsidRPr="001E7579">
        <w:rPr>
          <w:b/>
          <w:i/>
          <w:color w:val="auto"/>
        </w:rPr>
        <w:t>Pečovatelská služba okresu Benešov</w:t>
      </w:r>
    </w:p>
    <w:p w:rsidR="001E7579" w:rsidRPr="001E7579" w:rsidRDefault="001E7579">
      <w:pPr>
        <w:spacing w:after="0" w:line="360" w:lineRule="auto"/>
        <w:jc w:val="center"/>
        <w:rPr>
          <w:b/>
          <w:i/>
          <w:color w:val="auto"/>
        </w:rPr>
      </w:pPr>
      <w:r w:rsidRPr="001E7579">
        <w:rPr>
          <w:b/>
          <w:i/>
          <w:color w:val="auto"/>
        </w:rPr>
        <w:t>Příspěvková organizace</w:t>
      </w:r>
    </w:p>
    <w:p w:rsidR="002165B3" w:rsidRPr="001E7579" w:rsidRDefault="001E7579">
      <w:pPr>
        <w:spacing w:after="0" w:line="360" w:lineRule="auto"/>
        <w:jc w:val="center"/>
        <w:rPr>
          <w:b/>
          <w:i/>
          <w:color w:val="auto"/>
        </w:rPr>
      </w:pPr>
      <w:r w:rsidRPr="001E7579">
        <w:rPr>
          <w:b/>
          <w:i/>
          <w:color w:val="auto"/>
        </w:rPr>
        <w:t>Malé náměstí 2006, 25601 Benešov</w:t>
      </w:r>
    </w:p>
    <w:p w:rsidR="002165B3" w:rsidRPr="001E7579" w:rsidRDefault="00377552">
      <w:pPr>
        <w:spacing w:after="0" w:line="360" w:lineRule="auto"/>
        <w:jc w:val="center"/>
        <w:rPr>
          <w:b/>
          <w:i/>
          <w:color w:val="auto"/>
        </w:rPr>
      </w:pPr>
      <w:r w:rsidRPr="001E7579">
        <w:rPr>
          <w:b/>
          <w:i/>
          <w:color w:val="auto"/>
        </w:rPr>
        <w:t>IČ</w:t>
      </w:r>
      <w:r w:rsidR="001E7579" w:rsidRPr="001E7579">
        <w:rPr>
          <w:b/>
          <w:i/>
          <w:color w:val="auto"/>
        </w:rPr>
        <w:t>: 71459251</w:t>
      </w:r>
    </w:p>
    <w:p w:rsidR="002165B3" w:rsidRDefault="00377552">
      <w:pPr>
        <w:spacing w:after="0" w:line="360" w:lineRule="auto"/>
        <w:jc w:val="center"/>
      </w:pPr>
      <w:r>
        <w:t>(dále jen Odběratel)</w:t>
      </w:r>
    </w:p>
    <w:p w:rsidR="002165B3" w:rsidRDefault="00377552">
      <w:pPr>
        <w:spacing w:after="0" w:line="360" w:lineRule="auto"/>
        <w:jc w:val="center"/>
      </w:pPr>
      <w:r>
        <w:t>uzavírají</w:t>
      </w:r>
    </w:p>
    <w:p w:rsidR="002165B3" w:rsidRDefault="00377552">
      <w:pPr>
        <w:spacing w:after="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smlouvu o potravinové </w:t>
      </w:r>
      <w:r>
        <w:rPr>
          <w:b/>
          <w:sz w:val="28"/>
        </w:rPr>
        <w:t>pomoci</w:t>
      </w:r>
    </w:p>
    <w:p w:rsidR="002165B3" w:rsidRDefault="00377552">
      <w:pPr>
        <w:spacing w:after="0" w:line="360" w:lineRule="auto"/>
        <w:jc w:val="center"/>
      </w:pPr>
      <w:r>
        <w:t>(dále jen smlouva)</w:t>
      </w:r>
    </w:p>
    <w:p w:rsidR="002165B3" w:rsidRDefault="002165B3">
      <w:pPr>
        <w:spacing w:after="0" w:line="360" w:lineRule="auto"/>
      </w:pPr>
    </w:p>
    <w:p w:rsidR="002165B3" w:rsidRDefault="0037755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ab/>
        <w:t>Účel smlouvy</w:t>
      </w:r>
    </w:p>
    <w:p w:rsidR="002165B3" w:rsidRDefault="00377552">
      <w:pPr>
        <w:spacing w:after="0" w:line="360" w:lineRule="auto"/>
      </w:pPr>
      <w:r>
        <w:t>1.</w:t>
      </w:r>
      <w:r>
        <w:tab/>
        <w:t>Potravinová banka se zavazuje, že Odběrateli poskytne zdarma potraviny v množství, jež uzná za spravedlivé, na základě využitelnosti a podle potřeb všech Odběratelů, které zásobuje.</w:t>
      </w:r>
    </w:p>
    <w:p w:rsidR="002165B3" w:rsidRDefault="002165B3">
      <w:pPr>
        <w:spacing w:after="0" w:line="360" w:lineRule="auto"/>
        <w:rPr>
          <w:b/>
          <w:sz w:val="24"/>
          <w:szCs w:val="24"/>
          <w:u w:val="single"/>
        </w:rPr>
      </w:pPr>
    </w:p>
    <w:p w:rsidR="002165B3" w:rsidRDefault="0037755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II.</w:t>
      </w:r>
      <w:r>
        <w:rPr>
          <w:b/>
          <w:sz w:val="24"/>
          <w:szCs w:val="24"/>
          <w:u w:val="single"/>
        </w:rPr>
        <w:tab/>
        <w:t>Povinnosti Odběratele</w:t>
      </w:r>
    </w:p>
    <w:p w:rsidR="002165B3" w:rsidRDefault="00377552">
      <w:pPr>
        <w:spacing w:after="0" w:line="360" w:lineRule="auto"/>
      </w:pPr>
      <w:r>
        <w:t>1</w:t>
      </w:r>
      <w:r>
        <w:t>.</w:t>
      </w:r>
      <w:r>
        <w:tab/>
        <w:t>Odběratel se zavazuje, že rozdělí přijaté potraviny výhradně ve prospěch osob v tísni v rámci svých činností a bude brát ohled na jejich důstojnost, jejich potřebu dialogu a lidských vztahů, jakož i stravovací návyky.</w:t>
      </w:r>
    </w:p>
    <w:p w:rsidR="002165B3" w:rsidRDefault="00377552">
      <w:pPr>
        <w:spacing w:after="0" w:line="360" w:lineRule="auto"/>
      </w:pPr>
      <w:r>
        <w:t>2.</w:t>
      </w:r>
      <w:r>
        <w:tab/>
        <w:t>Odběratel oznámí Potravinové banc</w:t>
      </w:r>
      <w:r>
        <w:t>e formou přiloženého dotazníku:</w:t>
      </w:r>
    </w:p>
    <w:p w:rsidR="002165B3" w:rsidRDefault="00377552">
      <w:pPr>
        <w:spacing w:after="0" w:line="360" w:lineRule="auto"/>
        <w:ind w:left="708"/>
      </w:pPr>
      <w:r>
        <w:t>-</w:t>
      </w:r>
      <w:r>
        <w:tab/>
        <w:t>jak stanoví potřeby potravinové pomoci v souladu s rodinnou i osobní situací konečných odběratelů a v souladu se stravovacími návyky;</w:t>
      </w:r>
    </w:p>
    <w:p w:rsidR="002165B3" w:rsidRDefault="00377552">
      <w:pPr>
        <w:spacing w:after="0" w:line="360" w:lineRule="auto"/>
        <w:ind w:left="708"/>
      </w:pPr>
      <w:r>
        <w:t>-</w:t>
      </w:r>
      <w:r>
        <w:tab/>
        <w:t>jak zajišťuje průběžný dohled nad konečnými odběrateli a uživateli;</w:t>
      </w:r>
    </w:p>
    <w:p w:rsidR="002165B3" w:rsidRDefault="00377552">
      <w:pPr>
        <w:spacing w:after="0" w:line="360" w:lineRule="auto"/>
        <w:ind w:left="708"/>
      </w:pPr>
      <w:r>
        <w:t>-</w:t>
      </w:r>
      <w:r>
        <w:tab/>
        <w:t>jak uvědomuje ko</w:t>
      </w:r>
      <w:r>
        <w:t>nečné odběratele a uživatele o hodnotě pomoci (zhodnocení balíčku);</w:t>
      </w:r>
    </w:p>
    <w:p w:rsidR="002165B3" w:rsidRDefault="00377552">
      <w:pPr>
        <w:spacing w:after="0" w:line="360" w:lineRule="auto"/>
        <w:ind w:left="708"/>
      </w:pPr>
      <w:r>
        <w:t>-</w:t>
      </w:r>
      <w:r>
        <w:tab/>
        <w:t>jak podněcuje u klientů poskytování vzájemných služeb dobrovolného typu (pomoc Odběrateli, pomoc jiné rodině atd.);</w:t>
      </w:r>
    </w:p>
    <w:p w:rsidR="002165B3" w:rsidRDefault="00377552">
      <w:pPr>
        <w:spacing w:after="0" w:line="360" w:lineRule="auto"/>
        <w:ind w:left="708"/>
      </w:pPr>
      <w:r>
        <w:lastRenderedPageBreak/>
        <w:t>-</w:t>
      </w:r>
      <w:r>
        <w:tab/>
        <w:t>jak vytváří vztahy mezi uživateli, kterým pomáhá, a dobrovolníky Odb</w:t>
      </w:r>
      <w:r>
        <w:t>ěratele (organizace jídla, svátky).</w:t>
      </w:r>
    </w:p>
    <w:p w:rsidR="002165B3" w:rsidRDefault="00377552">
      <w:pPr>
        <w:spacing w:after="0" w:line="360" w:lineRule="auto"/>
      </w:pPr>
      <w:r>
        <w:t>3.</w:t>
      </w:r>
      <w:r>
        <w:tab/>
        <w:t>Odběratel se dále zavazuje, že: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 xml:space="preserve">nebude shromažďovat potraviny k užitku vlastních zaměstnanců; 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nebude využívat Potravinovou banku bez jejího povolení u výrobců nebo obchodníků, kteří jsou dodavateli Potravinové banky,</w:t>
      </w:r>
      <w:r>
        <w:rPr>
          <w:color w:val="000000"/>
        </w:rPr>
        <w:t xml:space="preserve"> vyjma dohody s Potravinovou bankou;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nebude hromadit nadměrné zásoby potravin přijatých od Potravinové banky;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nebude užívat přijaté potraviny k obchodním účelům;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se zdrží jakékoli podvodné manipulace s potravinami;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vyvaruje se jakékoli činnosti, zejména po</w:t>
      </w:r>
      <w:r>
        <w:rPr>
          <w:color w:val="000000"/>
        </w:rPr>
        <w:t>litické, a obecně každého jednání, které by mohlo škodit přímo či nepřímo dobrou pověst Potravinové banky, která je organizací apolitickou;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  <w:rPr>
          <w:b/>
          <w:color w:val="000000"/>
        </w:rPr>
      </w:pPr>
      <w:r>
        <w:rPr>
          <w:b/>
          <w:color w:val="000000"/>
        </w:rPr>
        <w:t>nebude odběratelem jiné potravinové banky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  <w:rPr>
          <w:b/>
          <w:color w:val="000000"/>
        </w:rPr>
      </w:pPr>
      <w:r>
        <w:rPr>
          <w:b/>
          <w:color w:val="000000"/>
        </w:rPr>
        <w:t>doloží vyplněné Čestné prohlášení, které je součástí této smlouvy o potrav</w:t>
      </w:r>
      <w:r>
        <w:rPr>
          <w:b/>
          <w:color w:val="000000"/>
        </w:rPr>
        <w:t>inové pomoci z jiných potravinových komodit Evropské unie (v rámci potravinových programů PEAD, FEAD, OP PMP). Pokud dojte ke změně skutečnosti, neprodleně to oznámí Potravinové bance.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 xml:space="preserve">pokud bude mít prospět z jiných potravinových komodit Evropské unie (v </w:t>
      </w:r>
      <w:r>
        <w:rPr>
          <w:color w:val="000000"/>
        </w:rPr>
        <w:t>rámci potravinových programů PEAD, FEAD, OP PMP) nahlásí odběratel tuto skutečnost Potravinové bance (přílohou této smlouvy poté bude Čestné prohlášení, že je odběratelem potravinové pomoci z těchto programů a v jakém objemu (postačuje finanční vyjádření).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 xml:space="preserve">že přijme kontrolu zástupce Potravinové banky vyslaného pro lepší poznání vývoje jejích potřeb, jejího specifického projektu, aby se ujistil, že je stále v souladu s Chartou evropských potravinových bank a touto smlouvou, jejího způsobu fungování, </w:t>
      </w:r>
      <w:r>
        <w:rPr>
          <w:color w:val="000000"/>
        </w:rPr>
        <w:t>pedagogických činností a ke sbírání postřehů a připomínek. Tento zástupce vysvětlí fungování Potravinové banky a její etické principy. Dodá všechny přesné údaje vztahující se k platnosti a uchování potravin, jakož i technické podmínky rozdělování;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bude mít</w:t>
      </w:r>
      <w:r>
        <w:rPr>
          <w:color w:val="000000"/>
        </w:rPr>
        <w:t xml:space="preserve"> k dispozici pro skladování potravin vhodný, specifický a trvalý prostor mimo soukromé bydliště všech členů Odběratele (kromě nezbytných případů uznaných PB).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uhradí příslušný roční odběratelský nebo členský poplatek 2 000 Kč, a to nejdéle k 15. dni měsíce</w:t>
      </w:r>
      <w:r>
        <w:rPr>
          <w:b/>
          <w:color w:val="000000"/>
        </w:rPr>
        <w:t xml:space="preserve"> následujícího po podpisu smlouvy. Poplatek bude hrazen ve výši ekvivalentní 1/12 za každý měsíc kalendářního roku, od data podpisu smlouvy do jeho konce. Po podpisu smlouvy bude odběrateli vystavena faktura.</w:t>
      </w:r>
    </w:p>
    <w:p w:rsidR="002165B3" w:rsidRDefault="00377552">
      <w:pPr>
        <w:spacing w:after="0" w:line="360" w:lineRule="auto"/>
      </w:pPr>
      <w:bookmarkStart w:id="1" w:name="_gjdgxs"/>
      <w:bookmarkEnd w:id="1"/>
      <w:r>
        <w:t>4.</w:t>
      </w:r>
      <w:r>
        <w:tab/>
        <w:t>Odběratel nemůže používat označení „Potravin</w:t>
      </w:r>
      <w:r>
        <w:t>ová banka“. Toto pojmenování je chráněnou známkou. K jeho udělení je oprávněná pouze Česká federace potravinových bank. Výhradně během národní nebo regionální potravinové sbírky bude Odběratel oprávněná shromažďovat potraviny pod jménem Potravinové banky.</w:t>
      </w:r>
    </w:p>
    <w:p w:rsidR="002165B3" w:rsidRDefault="002165B3">
      <w:pPr>
        <w:spacing w:after="0" w:line="360" w:lineRule="auto"/>
        <w:rPr>
          <w:b/>
          <w:sz w:val="24"/>
          <w:szCs w:val="24"/>
          <w:u w:val="single"/>
        </w:rPr>
      </w:pPr>
    </w:p>
    <w:p w:rsidR="002165B3" w:rsidRDefault="0037755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III.</w:t>
      </w:r>
      <w:r>
        <w:rPr>
          <w:b/>
          <w:sz w:val="24"/>
          <w:szCs w:val="24"/>
          <w:u w:val="single"/>
        </w:rPr>
        <w:tab/>
        <w:t>Podpora Potravinové banky</w:t>
      </w:r>
    </w:p>
    <w:p w:rsidR="002165B3" w:rsidRDefault="00377552">
      <w:pPr>
        <w:spacing w:after="0" w:line="360" w:lineRule="auto"/>
      </w:pPr>
      <w:r>
        <w:t>1.</w:t>
      </w:r>
      <w:r>
        <w:tab/>
        <w:t xml:space="preserve">Odběratel se zavazuje k podpoře činnosti Potravinové banky, zejména tím, že se bude aktivně podílet na potravinových sbírkách a propagaci činnosti Potravinové banky. </w:t>
      </w:r>
    </w:p>
    <w:p w:rsidR="002165B3" w:rsidRDefault="00377552">
      <w:pPr>
        <w:spacing w:after="0" w:line="360" w:lineRule="auto"/>
      </w:pPr>
      <w:r>
        <w:t>2.</w:t>
      </w:r>
      <w:r>
        <w:tab/>
        <w:t>Odpovědný člen zmocněný Odběratelem se bude účastni</w:t>
      </w:r>
      <w:r>
        <w:t>t koordinačních nebo informačních schůzí organizovaných z iniciativy potravinové banky.</w:t>
      </w:r>
    </w:p>
    <w:p w:rsidR="002165B3" w:rsidRDefault="002165B3">
      <w:pPr>
        <w:spacing w:after="0" w:line="360" w:lineRule="auto"/>
      </w:pPr>
    </w:p>
    <w:p w:rsidR="002165B3" w:rsidRDefault="0037755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IV.</w:t>
      </w:r>
      <w:r>
        <w:rPr>
          <w:b/>
          <w:sz w:val="24"/>
          <w:szCs w:val="24"/>
          <w:u w:val="single"/>
        </w:rPr>
        <w:tab/>
        <w:t>Zásobování</w:t>
      </w:r>
    </w:p>
    <w:p w:rsidR="002165B3" w:rsidRDefault="00377552">
      <w:pPr>
        <w:spacing w:after="0" w:line="360" w:lineRule="auto"/>
      </w:pPr>
      <w:r>
        <w:t>1.</w:t>
      </w:r>
      <w:r>
        <w:tab/>
        <w:t xml:space="preserve">Odběratel se bude zásobovat u Potravinové banky vlastními prostředky podle kalendáře stanoveného dohodou obou smluvních stran. Ke každému vyzvednutí </w:t>
      </w:r>
      <w:r>
        <w:t>bude vyhotovena výdejka, povinně podepsaný představitelem Odběratele, jenž bude pozván, aby se na místě ujistil o podobě své dodávky. Na jakoukoliv pozdější reklamaci nebude brán zřetel.</w:t>
      </w:r>
    </w:p>
    <w:p w:rsidR="002165B3" w:rsidRDefault="00377552">
      <w:pPr>
        <w:spacing w:after="0" w:line="360" w:lineRule="auto"/>
      </w:pPr>
      <w:r>
        <w:t>Podpisem dodacího listu o vyzvednutí dochází k převodu vlastnictví to</w:t>
      </w:r>
      <w:r>
        <w:t>hoto zboží a v tomto smyslu vzniká veškerá odpovědnost Odběratele.</w:t>
      </w:r>
    </w:p>
    <w:p w:rsidR="002165B3" w:rsidRDefault="00377552">
      <w:pPr>
        <w:spacing w:after="0" w:line="360" w:lineRule="auto"/>
      </w:pPr>
      <w:r>
        <w:t>2.</w:t>
      </w:r>
      <w:r>
        <w:tab/>
        <w:t>Odběratel se zavazuje: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že učiní všechna nezbytná opatření, a</w:t>
      </w:r>
      <w:bookmarkStart w:id="2" w:name="_GoBack"/>
      <w:bookmarkEnd w:id="2"/>
      <w:r>
        <w:rPr>
          <w:color w:val="000000"/>
        </w:rPr>
        <w:t xml:space="preserve">by uchovala potraviny přijaté od Potravinové banky v dobrém stavu od okamžiku, kdy jí byly předány. Pouze ona je odpovědná za </w:t>
      </w:r>
      <w:r>
        <w:rPr>
          <w:color w:val="000000"/>
        </w:rPr>
        <w:t>dopravu a jejich využití podle platných právních předpisů.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  <w:rPr>
          <w:b/>
        </w:rPr>
      </w:pPr>
      <w:r>
        <w:rPr>
          <w:b/>
          <w:color w:val="000000"/>
        </w:rPr>
        <w:t>svědomitě dodržovat platné právní předpisy, týkající se dopravy, způsobu skladování a využitím potravin, které jí byly svěřeny, a učinit všechna nezbytná opatření, aby je uchovala v dobrém stavu.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t>o</w:t>
      </w:r>
      <w:r>
        <w:rPr>
          <w:color w:val="000000"/>
        </w:rPr>
        <w:t>devzdat svým klientům potraviny před vypršením doby minimální trvanlivosti, pokud tomuto režimu podléhají.</w:t>
      </w:r>
    </w:p>
    <w:p w:rsidR="002165B3" w:rsidRDefault="00377552">
      <w:pPr>
        <w:numPr>
          <w:ilvl w:val="0"/>
          <w:numId w:val="1"/>
        </w:numPr>
        <w:spacing w:after="0" w:line="360" w:lineRule="auto"/>
        <w:contextualSpacing/>
      </w:pPr>
      <w:r>
        <w:rPr>
          <w:color w:val="000000"/>
        </w:rPr>
        <w:lastRenderedPageBreak/>
        <w:t>že se ujistí o jejich zničení a o upozornění klientů, pokud byly potraviny předmětem stažení z prodeje nebo poplachu, k němuž došlo kvůli administrat</w:t>
      </w:r>
      <w:r>
        <w:rPr>
          <w:color w:val="000000"/>
        </w:rPr>
        <w:t>ivě nebo kvůli odborníkům z důvodů bezpečnosti potravin.</w:t>
      </w:r>
    </w:p>
    <w:p w:rsidR="002165B3" w:rsidRDefault="00377552">
      <w:pPr>
        <w:spacing w:after="0" w:line="360" w:lineRule="auto"/>
      </w:pPr>
      <w:r>
        <w:t>3.</w:t>
      </w:r>
      <w:r>
        <w:tab/>
        <w:t>Potravinová banka je odpovědná za potraviny až do té doby, než je naloží Odběratel do svého dopravního prostředku. Pokud Odběratel nemá k dispozici prostředky, vhodné k přepravě čerstvých a zmraze</w:t>
      </w:r>
      <w:r>
        <w:t>ných potravin, které potravinová banka požaduje, odmítne Potravinová banka předání těchto kategorií produktů.</w:t>
      </w:r>
    </w:p>
    <w:p w:rsidR="002165B3" w:rsidRDefault="00377552">
      <w:pPr>
        <w:spacing w:after="0" w:line="360" w:lineRule="auto"/>
      </w:pPr>
      <w:r>
        <w:t>4.</w:t>
      </w:r>
      <w:r>
        <w:tab/>
        <w:t>Odběratel může omezit své zásobování pouze na trvanlivé potraviny.</w:t>
      </w:r>
    </w:p>
    <w:p w:rsidR="002165B3" w:rsidRDefault="00377552">
      <w:pPr>
        <w:spacing w:after="0" w:line="360" w:lineRule="auto"/>
      </w:pPr>
      <w:r>
        <w:t>5.</w:t>
      </w:r>
      <w:r>
        <w:tab/>
        <w:t>Jakékoli zanedbání kteréhokoliv z těchto závazků zprošťuje tímto okamžitě</w:t>
      </w:r>
      <w:r>
        <w:t xml:space="preserve"> Potravinovou banku veškeré odpovědnosti vůči Odběrateli. Může mít za následek odstoupení Potravinové banky od této smlouvy a v důsledku toho dočasné pozastavení nebo přerušení veškeré distribuce potravin Odběrateli.</w:t>
      </w:r>
    </w:p>
    <w:p w:rsidR="002165B3" w:rsidRDefault="002165B3">
      <w:pPr>
        <w:spacing w:after="0" w:line="360" w:lineRule="auto"/>
      </w:pPr>
    </w:p>
    <w:p w:rsidR="002165B3" w:rsidRDefault="00377552">
      <w:pPr>
        <w:spacing w:after="0" w:line="36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</w:t>
      </w:r>
      <w:r>
        <w:rPr>
          <w:b/>
          <w:sz w:val="24"/>
          <w:szCs w:val="24"/>
          <w:u w:val="single"/>
        </w:rPr>
        <w:tab/>
        <w:t>Závěrečná ustanovení</w:t>
      </w:r>
    </w:p>
    <w:p w:rsidR="002165B3" w:rsidRDefault="00377552">
      <w:pPr>
        <w:spacing w:after="0" w:line="360" w:lineRule="auto"/>
      </w:pPr>
      <w:r>
        <w:t>1.</w:t>
      </w:r>
      <w:r>
        <w:tab/>
        <w:t>Tato smlouv</w:t>
      </w:r>
      <w:r>
        <w:t>a se uzavírá na dobu jednoho roku. Je obnovitelná automatickým prodloužením smlouvy, pokud došlo během roku ke kontrole Odběratele.</w:t>
      </w:r>
    </w:p>
    <w:p w:rsidR="002165B3" w:rsidRDefault="00377552">
      <w:pPr>
        <w:spacing w:after="0" w:line="360" w:lineRule="auto"/>
      </w:pPr>
      <w:r>
        <w:t>2.</w:t>
      </w:r>
      <w:r>
        <w:tab/>
        <w:t>Každá ze stran má právo vypovědět tuto smlouvu doporučeným dopisem s dodejkou, adresovaným statutárnímu orgánu Potravinov</w:t>
      </w:r>
      <w:r>
        <w:t>é banky nebo Odběratele s výpovědní lhůtou jeden měsíc.</w:t>
      </w:r>
    </w:p>
    <w:p w:rsidR="002165B3" w:rsidRDefault="00377552">
      <w:pPr>
        <w:spacing w:after="0" w:line="360" w:lineRule="auto"/>
      </w:pPr>
      <w:r>
        <w:t>3.</w:t>
      </w:r>
      <w:r>
        <w:tab/>
        <w:t>Odběratel připojí ke smlouvě vyplněnou kartu odběratele a dotazník. Tyto dokumenty mohou být kdykoliv změněny, podle potřeb odběratele, po dohodě se statutárním zástupce Potravinové banky.</w:t>
      </w:r>
    </w:p>
    <w:p w:rsidR="002165B3" w:rsidRDefault="00377552">
      <w:pPr>
        <w:spacing w:after="0" w:line="360" w:lineRule="auto"/>
      </w:pPr>
      <w:r>
        <w:t>4.</w:t>
      </w:r>
      <w:r>
        <w:tab/>
        <w:t>Odběr</w:t>
      </w:r>
      <w:r>
        <w:t>atel bude Potravinovou banku systematicky informovat o všech změnách, které by mohly dodatečně nastat.</w:t>
      </w:r>
    </w:p>
    <w:p w:rsidR="002165B3" w:rsidRDefault="002165B3">
      <w:pPr>
        <w:spacing w:after="0" w:line="360" w:lineRule="auto"/>
      </w:pPr>
    </w:p>
    <w:p w:rsidR="001E7579" w:rsidRDefault="001E7579">
      <w:pPr>
        <w:spacing w:after="0" w:line="360" w:lineRule="auto"/>
      </w:pPr>
    </w:p>
    <w:p w:rsidR="002165B3" w:rsidRDefault="00377552">
      <w:pPr>
        <w:spacing w:after="0" w:line="360" w:lineRule="auto"/>
      </w:pPr>
      <w:r>
        <w:t xml:space="preserve">V………………………………. </w:t>
      </w:r>
      <w:proofErr w:type="gramStart"/>
      <w:r>
        <w:t>dne</w:t>
      </w:r>
      <w:proofErr w:type="gramEnd"/>
      <w:r>
        <w:t xml:space="preserve">……………………………..   V………………………………. </w:t>
      </w:r>
      <w:proofErr w:type="gramStart"/>
      <w:r>
        <w:t>dne</w:t>
      </w:r>
      <w:proofErr w:type="gramEnd"/>
      <w:r>
        <w:t>…………………………………..</w:t>
      </w:r>
    </w:p>
    <w:p w:rsidR="002165B3" w:rsidRDefault="002165B3">
      <w:pPr>
        <w:spacing w:after="0" w:line="360" w:lineRule="auto"/>
      </w:pPr>
    </w:p>
    <w:p w:rsidR="002165B3" w:rsidRDefault="002165B3">
      <w:pPr>
        <w:spacing w:after="0" w:line="360" w:lineRule="auto"/>
        <w:jc w:val="center"/>
      </w:pPr>
    </w:p>
    <w:p w:rsidR="002165B3" w:rsidRDefault="002165B3">
      <w:pPr>
        <w:spacing w:after="0" w:line="360" w:lineRule="auto"/>
        <w:jc w:val="center"/>
      </w:pPr>
    </w:p>
    <w:p w:rsidR="002165B3" w:rsidRDefault="00377552">
      <w:pPr>
        <w:spacing w:after="0" w:line="360" w:lineRule="auto"/>
        <w:jc w:val="center"/>
        <w:rPr>
          <w:color w:val="FF0000"/>
        </w:rPr>
      </w:pPr>
      <w:r>
        <w:tab/>
      </w:r>
      <w:r>
        <w:tab/>
      </w:r>
      <w:r>
        <w:tab/>
        <w:t xml:space="preserve">         </w:t>
      </w:r>
      <w:r>
        <w:tab/>
      </w:r>
    </w:p>
    <w:p w:rsidR="002165B3" w:rsidRDefault="002165B3">
      <w:pPr>
        <w:spacing w:after="0" w:line="360" w:lineRule="auto"/>
      </w:pPr>
    </w:p>
    <w:p w:rsidR="002165B3" w:rsidRDefault="002165B3">
      <w:pPr>
        <w:spacing w:after="0" w:line="360" w:lineRule="auto"/>
      </w:pPr>
    </w:p>
    <w:p w:rsidR="002165B3" w:rsidRDefault="002165B3">
      <w:pPr>
        <w:spacing w:after="0" w:line="360" w:lineRule="auto"/>
      </w:pPr>
    </w:p>
    <w:p w:rsidR="002165B3" w:rsidRDefault="002165B3">
      <w:pPr>
        <w:spacing w:after="0" w:line="360" w:lineRule="auto"/>
      </w:pPr>
    </w:p>
    <w:sectPr w:rsidR="002165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552" w:rsidRDefault="00377552">
      <w:pPr>
        <w:spacing w:after="0" w:line="240" w:lineRule="auto"/>
      </w:pPr>
      <w:r>
        <w:separator/>
      </w:r>
    </w:p>
  </w:endnote>
  <w:endnote w:type="continuationSeparator" w:id="0">
    <w:p w:rsidR="00377552" w:rsidRDefault="0037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1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B3" w:rsidRDefault="00377552">
    <w:pPr>
      <w:jc w:val="center"/>
    </w:pPr>
    <w:r>
      <w:rPr>
        <w:i/>
        <w:iCs/>
        <w:color w:val="000000"/>
      </w:rPr>
      <w:t xml:space="preserve">Potravinová banka </w:t>
    </w:r>
    <w:proofErr w:type="spellStart"/>
    <w:r>
      <w:rPr>
        <w:i/>
        <w:iCs/>
        <w:color w:val="000000"/>
      </w:rPr>
      <w:t>Central</w:t>
    </w:r>
    <w:proofErr w:type="spellEnd"/>
  </w:p>
  <w:p w:rsidR="002165B3" w:rsidRDefault="00377552">
    <w:pPr>
      <w:jc w:val="center"/>
    </w:pPr>
    <w:r>
      <w:rPr>
        <w:i/>
        <w:iCs/>
        <w:color w:val="000000"/>
      </w:rPr>
      <w:t xml:space="preserve">sídlo skladu: </w:t>
    </w:r>
    <w:bookmarkStart w:id="3" w:name="__DdeLink__2020_3416386957"/>
    <w:r>
      <w:rPr>
        <w:i/>
        <w:iCs/>
        <w:color w:val="000000"/>
      </w:rPr>
      <w:t xml:space="preserve">Modletice </w:t>
    </w:r>
    <w:proofErr w:type="gramStart"/>
    <w:r>
      <w:rPr>
        <w:i/>
        <w:iCs/>
        <w:color w:val="000000"/>
      </w:rPr>
      <w:t xml:space="preserve">71,  </w:t>
    </w:r>
    <w:bookmarkEnd w:id="3"/>
    <w:r>
      <w:rPr>
        <w:i/>
        <w:iCs/>
        <w:color w:val="000000"/>
      </w:rPr>
      <w:t>251 01</w:t>
    </w:r>
    <w:proofErr w:type="gramEnd"/>
    <w:r>
      <w:rPr>
        <w:i/>
        <w:iCs/>
        <w:color w:val="000000"/>
      </w:rPr>
      <w:t xml:space="preserve">  Říčany u Prahy</w:t>
    </w:r>
  </w:p>
  <w:p w:rsidR="002165B3" w:rsidRDefault="00377552">
    <w:pPr>
      <w:jc w:val="center"/>
    </w:pPr>
    <w:r>
      <w:rPr>
        <w:i/>
        <w:iCs/>
        <w:color w:val="000000"/>
      </w:rPr>
      <w:t xml:space="preserve">email: </w:t>
    </w:r>
    <w:hyperlink r:id="rId1">
      <w:r>
        <w:rPr>
          <w:rStyle w:val="InternetLink"/>
          <w:i/>
          <w:iCs/>
          <w:color w:val="000000"/>
        </w:rPr>
        <w:t>ruzickova</w:t>
      </w:r>
      <w:r>
        <w:rPr>
          <w:rStyle w:val="InternetLink"/>
          <w:i/>
          <w:iCs/>
          <w:color w:val="000000"/>
          <w:lang w:val="en-US"/>
        </w:rPr>
        <w:t>@potravinovabanka.cz</w:t>
      </w:r>
    </w:hyperlink>
  </w:p>
  <w:p w:rsidR="002165B3" w:rsidRDefault="00377552">
    <w:pPr>
      <w:jc w:val="center"/>
    </w:pPr>
    <w:proofErr w:type="spellStart"/>
    <w:proofErr w:type="gramStart"/>
    <w:r>
      <w:rPr>
        <w:i/>
        <w:iCs/>
        <w:color w:val="000000"/>
        <w:sz w:val="24"/>
        <w:szCs w:val="24"/>
        <w:lang w:val="en-US"/>
      </w:rPr>
      <w:t>tel</w:t>
    </w:r>
    <w:proofErr w:type="spellEnd"/>
    <w:proofErr w:type="gramEnd"/>
    <w:r>
      <w:rPr>
        <w:i/>
        <w:iCs/>
        <w:color w:val="000000"/>
        <w:sz w:val="24"/>
        <w:szCs w:val="24"/>
        <w:lang w:val="en-US"/>
      </w:rPr>
      <w:t xml:space="preserve">: +420 776 328 646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552" w:rsidRDefault="00377552">
      <w:pPr>
        <w:spacing w:after="0" w:line="240" w:lineRule="auto"/>
      </w:pPr>
      <w:r>
        <w:separator/>
      </w:r>
    </w:p>
  </w:footnote>
  <w:footnote w:type="continuationSeparator" w:id="0">
    <w:p w:rsidR="00377552" w:rsidRDefault="00377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5B3" w:rsidRDefault="002165B3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2165B3" w:rsidRDefault="002165B3">
    <w:pP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1562D"/>
    <w:multiLevelType w:val="multilevel"/>
    <w:tmpl w:val="8F8461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9DA040F"/>
    <w:multiLevelType w:val="multilevel"/>
    <w:tmpl w:val="CABE56A4"/>
    <w:lvl w:ilvl="0">
      <w:start w:val="1"/>
      <w:numFmt w:val="bullet"/>
      <w:lvlText w:val="-"/>
      <w:lvlJc w:val="left"/>
      <w:pPr>
        <w:ind w:left="1070" w:hanging="71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5B3"/>
    <w:rsid w:val="001E7579"/>
    <w:rsid w:val="002165B3"/>
    <w:rsid w:val="00377552"/>
    <w:rsid w:val="00F0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6C072-03A9-42C3-A80B-AE721609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color w:val="00000A"/>
      <w:sz w:val="22"/>
    </w:rPr>
  </w:style>
  <w:style w:type="paragraph" w:styleId="Nadpis1">
    <w:name w:val="heading 1"/>
    <w:basedOn w:val="Normln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  <w:b/>
    </w:rPr>
  </w:style>
  <w:style w:type="character" w:customStyle="1" w:styleId="ListLabel2">
    <w:name w:val="ListLabel 2"/>
    <w:qFormat/>
    <w:rPr>
      <w:rFonts w:eastAsia="Courier New" w:cs="Courier New"/>
    </w:rPr>
  </w:style>
  <w:style w:type="character" w:customStyle="1" w:styleId="ListLabel3">
    <w:name w:val="ListLabel 3"/>
    <w:qFormat/>
    <w:rPr>
      <w:rFonts w:eastAsia="Noto Sans Symbols" w:cs="Noto Sans Symbols"/>
    </w:rPr>
  </w:style>
  <w:style w:type="character" w:customStyle="1" w:styleId="ListLabel4">
    <w:name w:val="ListLabel 4"/>
    <w:qFormat/>
    <w:rPr>
      <w:rFonts w:eastAsia="Noto Sans Symbols" w:cs="Noto Sans Symbols"/>
    </w:rPr>
  </w:style>
  <w:style w:type="character" w:customStyle="1" w:styleId="ListLabel5">
    <w:name w:val="ListLabel 5"/>
    <w:qFormat/>
    <w:rPr>
      <w:rFonts w:eastAsia="Courier New" w:cs="Courier New"/>
    </w:rPr>
  </w:style>
  <w:style w:type="character" w:customStyle="1" w:styleId="ListLabel6">
    <w:name w:val="ListLabel 6"/>
    <w:qFormat/>
    <w:rPr>
      <w:rFonts w:eastAsia="Noto Sans Symbols" w:cs="Noto Sans Symbols"/>
    </w:rPr>
  </w:style>
  <w:style w:type="character" w:customStyle="1" w:styleId="ListLabel7">
    <w:name w:val="ListLabel 7"/>
    <w:qFormat/>
    <w:rPr>
      <w:rFonts w:eastAsia="Noto Sans Symbols" w:cs="Noto Sans Symbols"/>
    </w:rPr>
  </w:style>
  <w:style w:type="character" w:customStyle="1" w:styleId="ListLabel8">
    <w:name w:val="ListLabel 8"/>
    <w:qFormat/>
    <w:rPr>
      <w:rFonts w:eastAsia="Courier New" w:cs="Courier New"/>
    </w:rPr>
  </w:style>
  <w:style w:type="character" w:customStyle="1" w:styleId="ListLabel9">
    <w:name w:val="ListLabel 9"/>
    <w:qFormat/>
    <w:rPr>
      <w:rFonts w:eastAsia="Noto Sans Symbols" w:cs="Noto Sans Symbol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qFormat/>
    <w:rPr>
      <w:rFonts w:cs="Calibri"/>
      <w:b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Noto Sans Symbols"/>
    </w:rPr>
  </w:style>
  <w:style w:type="character" w:customStyle="1" w:styleId="ListLabel13">
    <w:name w:val="ListLabel 13"/>
    <w:qFormat/>
    <w:rPr>
      <w:rFonts w:cs="Noto Sans Symbol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Noto Sans Symbols"/>
    </w:rPr>
  </w:style>
  <w:style w:type="character" w:customStyle="1" w:styleId="ListLabel16">
    <w:name w:val="ListLabel 16"/>
    <w:qFormat/>
    <w:rPr>
      <w:rFonts w:cs="Noto Sans Symbols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Noto Sans Symbol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Mangal"/>
    </w:rPr>
  </w:style>
  <w:style w:type="paragraph" w:styleId="Nzev">
    <w:name w:val="Title"/>
    <w:basedOn w:val="Normln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0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7B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uzickova@potravinovaba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997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Alena Králíčková</cp:lastModifiedBy>
  <cp:revision>7</cp:revision>
  <cp:lastPrinted>2018-08-15T06:56:00Z</cp:lastPrinted>
  <dcterms:created xsi:type="dcterms:W3CDTF">2018-06-14T18:44:00Z</dcterms:created>
  <dcterms:modified xsi:type="dcterms:W3CDTF">2018-08-15T07:02:00Z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