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7F" w:rsidRDefault="001B3F7F" w:rsidP="001B3F7F">
      <w:pPr>
        <w:jc w:val="right"/>
        <w:rPr>
          <w:rFonts w:ascii="Arial" w:hAnsi="Arial" w:cs="Arial"/>
        </w:rPr>
      </w:pPr>
      <w:r w:rsidRPr="00F7553A">
        <w:rPr>
          <w:rFonts w:ascii="Arial" w:hAnsi="Arial" w:cs="Arial"/>
        </w:rPr>
        <w:t xml:space="preserve">Příloha č. </w:t>
      </w:r>
      <w:r w:rsidR="00EE14B8">
        <w:rPr>
          <w:rFonts w:ascii="Arial" w:hAnsi="Arial" w:cs="Arial"/>
        </w:rPr>
        <w:t>1</w:t>
      </w:r>
      <w:r w:rsidR="000C6F40" w:rsidRPr="00F7553A">
        <w:rPr>
          <w:rFonts w:ascii="Arial" w:hAnsi="Arial" w:cs="Arial"/>
        </w:rPr>
        <w:t xml:space="preserve"> </w:t>
      </w:r>
      <w:r w:rsidR="00EE14B8">
        <w:rPr>
          <w:rFonts w:ascii="Arial" w:hAnsi="Arial" w:cs="Arial"/>
        </w:rPr>
        <w:t>Smlouvy</w:t>
      </w:r>
    </w:p>
    <w:p w:rsidR="00075C4C" w:rsidRPr="00F7553A" w:rsidRDefault="00075C4C" w:rsidP="001B3F7F">
      <w:pPr>
        <w:jc w:val="right"/>
        <w:rPr>
          <w:rFonts w:ascii="Arial" w:hAnsi="Arial" w:cs="Arial"/>
        </w:rPr>
      </w:pPr>
    </w:p>
    <w:p w:rsidR="001B3F7F" w:rsidRDefault="001A7B98" w:rsidP="001B3F7F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Technická specifikace</w:t>
      </w:r>
    </w:p>
    <w:p w:rsidR="00075C4C" w:rsidRPr="00F7553A" w:rsidRDefault="00075C4C" w:rsidP="001B3F7F">
      <w:pPr>
        <w:jc w:val="center"/>
        <w:rPr>
          <w:rFonts w:ascii="Arial" w:hAnsi="Arial" w:cs="Arial"/>
          <w:b/>
          <w:sz w:val="32"/>
          <w:szCs w:val="36"/>
        </w:rPr>
      </w:pPr>
    </w:p>
    <w:p w:rsidR="001B3F7F" w:rsidRDefault="001B3F7F" w:rsidP="001B3F7F">
      <w:pPr>
        <w:spacing w:after="120"/>
        <w:rPr>
          <w:rFonts w:ascii="Arial" w:hAnsi="Arial" w:cs="Arial"/>
        </w:rPr>
      </w:pPr>
      <w:r w:rsidRPr="00F7553A">
        <w:rPr>
          <w:rFonts w:ascii="Arial" w:hAnsi="Arial" w:cs="Arial"/>
          <w:b/>
        </w:rPr>
        <w:t>Veřejná zakázka:</w:t>
      </w:r>
      <w:r w:rsidRPr="00F7553A">
        <w:rPr>
          <w:rFonts w:ascii="Arial" w:hAnsi="Arial" w:cs="Arial"/>
          <w:b/>
        </w:rPr>
        <w:tab/>
      </w:r>
      <w:r w:rsidRPr="00F7553A">
        <w:rPr>
          <w:rFonts w:ascii="Arial" w:hAnsi="Arial" w:cs="Arial"/>
          <w:b/>
        </w:rPr>
        <w:tab/>
      </w:r>
      <w:r w:rsidR="00843BC3" w:rsidRPr="00F7553A">
        <w:rPr>
          <w:rFonts w:ascii="Arial" w:hAnsi="Arial" w:cs="Arial"/>
        </w:rPr>
        <w:t>Server</w:t>
      </w:r>
      <w:r w:rsidR="000C6F40">
        <w:rPr>
          <w:rFonts w:ascii="Arial" w:hAnsi="Arial" w:cs="Arial"/>
        </w:rPr>
        <w:t xml:space="preserve"> a software</w:t>
      </w:r>
      <w:r w:rsidR="00843BC3" w:rsidRPr="00F7553A">
        <w:rPr>
          <w:rFonts w:ascii="Arial" w:hAnsi="Arial" w:cs="Arial"/>
        </w:rPr>
        <w:t xml:space="preserve"> pro SFDI 2018</w:t>
      </w:r>
      <w:r w:rsidR="00E95794">
        <w:rPr>
          <w:rFonts w:ascii="Arial" w:hAnsi="Arial" w:cs="Arial"/>
        </w:rPr>
        <w:t xml:space="preserve"> </w:t>
      </w:r>
    </w:p>
    <w:p w:rsidR="00075C4C" w:rsidRPr="00F7553A" w:rsidRDefault="00075C4C" w:rsidP="001B3F7F">
      <w:pPr>
        <w:spacing w:after="120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6238"/>
      </w:tblGrid>
      <w:tr w:rsidR="00FA4CBB" w:rsidRPr="00FA4CBB" w:rsidTr="00995823">
        <w:tc>
          <w:tcPr>
            <w:tcW w:w="2942" w:type="dxa"/>
          </w:tcPr>
          <w:p w:rsidR="00FA4CBB" w:rsidRPr="00FA4CBB" w:rsidRDefault="00FA4CBB" w:rsidP="000504B2">
            <w:pPr>
              <w:spacing w:after="120"/>
              <w:rPr>
                <w:rFonts w:ascii="Arial" w:hAnsi="Arial" w:cs="Arial"/>
                <w:b/>
              </w:rPr>
            </w:pPr>
            <w:r w:rsidRPr="00FA4CBB">
              <w:rPr>
                <w:rFonts w:ascii="Arial" w:hAnsi="Arial" w:cs="Arial"/>
                <w:b/>
              </w:rPr>
              <w:t>Identifikace účastníka:</w:t>
            </w:r>
          </w:p>
        </w:tc>
        <w:sdt>
          <w:sdtPr>
            <w:rPr>
              <w:rFonts w:ascii="Arial" w:hAnsi="Arial" w:cs="Arial"/>
            </w:rPr>
            <w:id w:val="-13881881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238" w:type="dxa"/>
              </w:tcPr>
              <w:p w:rsidR="00FA4CBB" w:rsidRPr="00FA4CBB" w:rsidRDefault="00FF329E" w:rsidP="000504B2">
                <w:pPr>
                  <w:spacing w:after="120"/>
                  <w:rPr>
                    <w:rFonts w:ascii="Arial" w:hAnsi="Arial" w:cs="Arial"/>
                    <w:b/>
                  </w:rPr>
                </w:pPr>
                <w:r w:rsidRPr="00FF329E">
                  <w:rPr>
                    <w:rFonts w:ascii="Arial" w:hAnsi="Arial" w:cs="Arial"/>
                  </w:rPr>
                  <w:t>Hi-Tech Services</w:t>
                </w:r>
                <w:r>
                  <w:rPr>
                    <w:rFonts w:ascii="Arial" w:hAnsi="Arial" w:cs="Arial"/>
                  </w:rPr>
                  <w:t>, spol. s r.o.</w:t>
                </w:r>
              </w:p>
            </w:tc>
          </w:sdtContent>
        </w:sdt>
      </w:tr>
      <w:tr w:rsidR="00FA4CBB" w:rsidRPr="00FA4CBB" w:rsidTr="00995823">
        <w:tc>
          <w:tcPr>
            <w:tcW w:w="2942" w:type="dxa"/>
          </w:tcPr>
          <w:p w:rsidR="00FA4CBB" w:rsidRPr="00FA4CBB" w:rsidRDefault="00FA4CBB" w:rsidP="00234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firma/jméno:</w:t>
            </w:r>
          </w:p>
        </w:tc>
        <w:sdt>
          <w:sdtPr>
            <w:rPr>
              <w:rFonts w:ascii="Arial" w:hAnsi="Arial" w:cs="Arial"/>
            </w:rPr>
            <w:id w:val="73096725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238" w:type="dxa"/>
              </w:tcPr>
              <w:p w:rsidR="00FA4CBB" w:rsidRPr="00FA4CBB" w:rsidRDefault="008D1672" w:rsidP="00FA4CB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Hi-Tech Services, spol. s r.o.</w:t>
                </w:r>
              </w:p>
            </w:tc>
          </w:sdtContent>
        </w:sdt>
      </w:tr>
      <w:tr w:rsidR="00FA4CBB" w:rsidRPr="00FA4CBB" w:rsidTr="00995823">
        <w:tc>
          <w:tcPr>
            <w:tcW w:w="2942" w:type="dxa"/>
          </w:tcPr>
          <w:p w:rsidR="00FA4CBB" w:rsidRPr="00FA4CBB" w:rsidRDefault="00FA4CBB" w:rsidP="00234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sdt>
          <w:sdtPr>
            <w:rPr>
              <w:rFonts w:ascii="Arial" w:hAnsi="Arial" w:cs="Arial"/>
            </w:rPr>
            <w:id w:val="157901103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238" w:type="dxa"/>
              </w:tcPr>
              <w:p w:rsidR="00FA4CBB" w:rsidRPr="00FA4CBB" w:rsidRDefault="00FF329E" w:rsidP="00FA4CB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Hlinky 138/27, 603 00 Brno</w:t>
                </w:r>
              </w:p>
            </w:tc>
          </w:sdtContent>
        </w:sdt>
      </w:tr>
      <w:tr w:rsidR="00FA4CBB" w:rsidRPr="00FA4CBB" w:rsidTr="00995823">
        <w:tc>
          <w:tcPr>
            <w:tcW w:w="2942" w:type="dxa"/>
          </w:tcPr>
          <w:p w:rsidR="00FA4CBB" w:rsidRPr="00FA4CBB" w:rsidRDefault="00FA4CBB" w:rsidP="00234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sdt>
          <w:sdtPr>
            <w:rPr>
              <w:rFonts w:ascii="Arial" w:hAnsi="Arial" w:cs="Arial"/>
            </w:rPr>
            <w:id w:val="-15902193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238" w:type="dxa"/>
              </w:tcPr>
              <w:p w:rsidR="00FA4CBB" w:rsidRPr="00FA4CBB" w:rsidRDefault="00FF329E" w:rsidP="00FA4CB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25507605</w:t>
                </w:r>
              </w:p>
            </w:tc>
          </w:sdtContent>
        </w:sdt>
      </w:tr>
      <w:tr w:rsidR="00FA4CBB" w:rsidRPr="00F7553A" w:rsidTr="00995823">
        <w:tc>
          <w:tcPr>
            <w:tcW w:w="2942" w:type="dxa"/>
          </w:tcPr>
          <w:p w:rsidR="00FA4CBB" w:rsidRPr="00F7553A" w:rsidRDefault="00FA4CBB" w:rsidP="00234A44">
            <w:pPr>
              <w:rPr>
                <w:rFonts w:ascii="Arial" w:hAnsi="Arial" w:cs="Arial"/>
              </w:rPr>
            </w:pPr>
            <w:r w:rsidRPr="00FA4CBB">
              <w:rPr>
                <w:rFonts w:ascii="Arial" w:hAnsi="Arial" w:cs="Arial"/>
              </w:rPr>
              <w:t>Jednající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73311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238" w:type="dxa"/>
              </w:tcPr>
              <w:p w:rsidR="00FA4CBB" w:rsidRPr="00FA4CBB" w:rsidRDefault="00FF329E" w:rsidP="00FA4CBB">
                <w:pPr>
                  <w:rPr>
                    <w:rFonts w:ascii="Arial" w:hAnsi="Arial" w:cs="Arial"/>
                  </w:rPr>
                </w:pPr>
                <w:proofErr w:type="gramStart"/>
                <w:r>
                  <w:rPr>
                    <w:rFonts w:ascii="Arial" w:hAnsi="Arial" w:cs="Arial"/>
                  </w:rPr>
                  <w:t>Libor  N O V O T N Ý, jednatel</w:t>
                </w:r>
                <w:proofErr w:type="gramEnd"/>
                <w:r>
                  <w:rPr>
                    <w:rFonts w:ascii="Arial" w:hAnsi="Arial" w:cs="Arial"/>
                  </w:rPr>
                  <w:t xml:space="preserve"> společnosti</w:t>
                </w:r>
              </w:p>
            </w:tc>
          </w:sdtContent>
        </w:sdt>
      </w:tr>
    </w:tbl>
    <w:p w:rsidR="001B3F7F" w:rsidRPr="00F7553A" w:rsidRDefault="001B3F7F" w:rsidP="001B3F7F">
      <w:pPr>
        <w:spacing w:after="0"/>
        <w:rPr>
          <w:rFonts w:ascii="Arial" w:hAnsi="Arial" w:cs="Arial"/>
        </w:rPr>
      </w:pPr>
      <w:r w:rsidRPr="00F7553A">
        <w:rPr>
          <w:rFonts w:ascii="Arial" w:hAnsi="Arial" w:cs="Arial"/>
        </w:rPr>
        <w:tab/>
      </w:r>
      <w:r w:rsidRPr="00F7553A">
        <w:rPr>
          <w:rFonts w:ascii="Arial" w:hAnsi="Arial" w:cs="Arial"/>
        </w:rPr>
        <w:tab/>
      </w:r>
      <w:r w:rsidRPr="00F7553A">
        <w:rPr>
          <w:rFonts w:ascii="Arial" w:hAnsi="Arial" w:cs="Arial"/>
        </w:rPr>
        <w:tab/>
      </w:r>
    </w:p>
    <w:p w:rsidR="001B3F7F" w:rsidRPr="00F7553A" w:rsidRDefault="001B3F7F" w:rsidP="001B3F7F">
      <w:pPr>
        <w:rPr>
          <w:rFonts w:ascii="Arial" w:hAnsi="Arial" w:cs="Arial"/>
          <w:i/>
          <w:color w:val="FF0000"/>
          <w:sz w:val="20"/>
        </w:rPr>
      </w:pPr>
    </w:p>
    <w:p w:rsidR="001B3F7F" w:rsidRDefault="001B3F7F" w:rsidP="00E26335">
      <w:pPr>
        <w:jc w:val="both"/>
        <w:rPr>
          <w:rFonts w:ascii="Arial" w:hAnsi="Arial" w:cs="Arial"/>
          <w:i/>
          <w:color w:val="FF0000"/>
          <w:sz w:val="20"/>
        </w:rPr>
      </w:pPr>
      <w:r w:rsidRPr="00F7553A">
        <w:rPr>
          <w:rFonts w:ascii="Arial" w:hAnsi="Arial" w:cs="Arial"/>
          <w:i/>
          <w:color w:val="FF0000"/>
          <w:sz w:val="20"/>
        </w:rPr>
        <w:t>Účastník je povinen vyplnit</w:t>
      </w:r>
      <w:r w:rsidR="00E40A34">
        <w:rPr>
          <w:rFonts w:ascii="Arial" w:hAnsi="Arial" w:cs="Arial"/>
          <w:i/>
          <w:color w:val="FF0000"/>
          <w:sz w:val="20"/>
        </w:rPr>
        <w:t xml:space="preserve"> své identifikační údaje a</w:t>
      </w:r>
      <w:r w:rsidRPr="00F7553A">
        <w:rPr>
          <w:rFonts w:ascii="Arial" w:hAnsi="Arial" w:cs="Arial"/>
          <w:i/>
          <w:color w:val="FF0000"/>
          <w:sz w:val="20"/>
        </w:rPr>
        <w:t xml:space="preserve"> všechny žlutě vyznačené kolonky. Účastník doplní vždy daný technický parametr nabízené</w:t>
      </w:r>
      <w:r w:rsidR="001A7B98">
        <w:rPr>
          <w:rFonts w:ascii="Arial" w:hAnsi="Arial" w:cs="Arial"/>
          <w:i/>
          <w:color w:val="FF0000"/>
          <w:sz w:val="20"/>
        </w:rPr>
        <w:t>ho</w:t>
      </w:r>
      <w:r w:rsidRPr="00F7553A">
        <w:rPr>
          <w:rFonts w:ascii="Arial" w:hAnsi="Arial" w:cs="Arial"/>
          <w:i/>
          <w:color w:val="FF0000"/>
          <w:sz w:val="20"/>
        </w:rPr>
        <w:t xml:space="preserve"> </w:t>
      </w:r>
      <w:r w:rsidR="001A7B98">
        <w:rPr>
          <w:rFonts w:ascii="Arial" w:hAnsi="Arial" w:cs="Arial"/>
          <w:i/>
          <w:color w:val="FF0000"/>
          <w:sz w:val="20"/>
        </w:rPr>
        <w:t>plně sestaveného serveru s přednastavenou konfigurací diskových polí</w:t>
      </w:r>
      <w:r w:rsidR="000C6F40">
        <w:rPr>
          <w:rFonts w:ascii="Arial" w:hAnsi="Arial" w:cs="Arial"/>
          <w:i/>
          <w:color w:val="FF0000"/>
          <w:sz w:val="20"/>
        </w:rPr>
        <w:t xml:space="preserve"> a softwaru</w:t>
      </w:r>
      <w:r w:rsidR="001A7B98">
        <w:rPr>
          <w:rFonts w:ascii="Arial" w:hAnsi="Arial" w:cs="Arial"/>
          <w:i/>
          <w:color w:val="FF0000"/>
          <w:sz w:val="20"/>
        </w:rPr>
        <w:t xml:space="preserve"> </w:t>
      </w:r>
      <w:r w:rsidRPr="00F7553A">
        <w:rPr>
          <w:rFonts w:ascii="Arial" w:hAnsi="Arial" w:cs="Arial"/>
          <w:i/>
          <w:color w:val="FF0000"/>
          <w:sz w:val="20"/>
        </w:rPr>
        <w:t>anebo potvrdí, že daný parametr</w:t>
      </w:r>
      <w:r w:rsidR="000C6F40">
        <w:rPr>
          <w:rFonts w:ascii="Arial" w:hAnsi="Arial" w:cs="Arial"/>
          <w:i/>
          <w:color w:val="FF0000"/>
          <w:sz w:val="20"/>
        </w:rPr>
        <w:t xml:space="preserve"> je</w:t>
      </w:r>
      <w:r w:rsidRPr="00F7553A">
        <w:rPr>
          <w:rFonts w:ascii="Arial" w:hAnsi="Arial" w:cs="Arial"/>
          <w:i/>
          <w:color w:val="FF0000"/>
          <w:sz w:val="20"/>
        </w:rPr>
        <w:t xml:space="preserve"> spl</w:t>
      </w:r>
      <w:r w:rsidR="000C6F40">
        <w:rPr>
          <w:rFonts w:ascii="Arial" w:hAnsi="Arial" w:cs="Arial"/>
          <w:i/>
          <w:color w:val="FF0000"/>
          <w:sz w:val="20"/>
        </w:rPr>
        <w:t>něn</w:t>
      </w:r>
      <w:r w:rsidRPr="00F7553A">
        <w:rPr>
          <w:rFonts w:ascii="Arial" w:hAnsi="Arial" w:cs="Arial"/>
          <w:i/>
          <w:color w:val="FF0000"/>
          <w:sz w:val="20"/>
        </w:rPr>
        <w:t>.</w:t>
      </w:r>
    </w:p>
    <w:p w:rsidR="00DB2799" w:rsidRPr="00F7553A" w:rsidRDefault="00DB2799" w:rsidP="00E26335">
      <w:pPr>
        <w:jc w:val="both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 xml:space="preserve">V případě, že je ve sloupci „Požadováno doložení </w:t>
      </w:r>
      <w:proofErr w:type="spellStart"/>
      <w:r>
        <w:rPr>
          <w:rFonts w:ascii="Arial" w:hAnsi="Arial" w:cs="Arial"/>
          <w:i/>
          <w:color w:val="FF0000"/>
          <w:sz w:val="20"/>
        </w:rPr>
        <w:t>tech</w:t>
      </w:r>
      <w:proofErr w:type="spellEnd"/>
      <w:r>
        <w:rPr>
          <w:rFonts w:ascii="Arial" w:hAnsi="Arial" w:cs="Arial"/>
          <w:i/>
          <w:color w:val="FF0000"/>
          <w:sz w:val="20"/>
        </w:rPr>
        <w:t xml:space="preserve">. listu či potvrzení splnění parametru od výrobce serveru“ uvedeno „X“, zadavatel požaduje, aby účastník doložil splnění daného parametru prostřednictvím </w:t>
      </w:r>
      <w:proofErr w:type="spellStart"/>
      <w:r>
        <w:rPr>
          <w:rFonts w:ascii="Arial" w:hAnsi="Arial" w:cs="Arial"/>
          <w:i/>
          <w:color w:val="FF0000"/>
          <w:sz w:val="20"/>
        </w:rPr>
        <w:t>tech</w:t>
      </w:r>
      <w:proofErr w:type="spellEnd"/>
      <w:r>
        <w:rPr>
          <w:rFonts w:ascii="Arial" w:hAnsi="Arial" w:cs="Arial"/>
          <w:i/>
          <w:color w:val="FF0000"/>
          <w:sz w:val="20"/>
        </w:rPr>
        <w:t>. listu či potvrzení splnění parametru od výrobce serveru.</w:t>
      </w:r>
    </w:p>
    <w:p w:rsidR="00675EBA" w:rsidRPr="00F7553A" w:rsidRDefault="00675EBA" w:rsidP="00675EBA">
      <w:pPr>
        <w:jc w:val="both"/>
        <w:rPr>
          <w:rFonts w:ascii="Arial" w:hAnsi="Arial" w:cs="Arial"/>
        </w:rPr>
      </w:pPr>
      <w:r w:rsidRPr="00F7553A">
        <w:rPr>
          <w:rFonts w:ascii="Arial" w:hAnsi="Arial" w:cs="Arial"/>
        </w:rPr>
        <w:t>U parametru „Procesor“</w:t>
      </w:r>
      <w:r w:rsidR="000C6F40">
        <w:rPr>
          <w:rFonts w:ascii="Arial" w:hAnsi="Arial" w:cs="Arial"/>
        </w:rPr>
        <w:t>, uvedeného v části A tohoto dokumentu,</w:t>
      </w:r>
      <w:r w:rsidRPr="00F7553A">
        <w:rPr>
          <w:rFonts w:ascii="Arial" w:hAnsi="Arial" w:cs="Arial"/>
        </w:rPr>
        <w:t xml:space="preserve"> účastník použije pro nalezení hodnoty benchmarku </w:t>
      </w:r>
      <w:r w:rsidR="00C40844" w:rsidRPr="00F7553A">
        <w:rPr>
          <w:rFonts w:ascii="Arial" w:hAnsi="Arial" w:cs="Arial"/>
        </w:rPr>
        <w:t>tabulk</w:t>
      </w:r>
      <w:r w:rsidR="00843BC3" w:rsidRPr="00F7553A">
        <w:rPr>
          <w:rFonts w:ascii="Arial" w:hAnsi="Arial" w:cs="Arial"/>
        </w:rPr>
        <w:t>u</w:t>
      </w:r>
      <w:r w:rsidR="00C40844" w:rsidRPr="00F7553A">
        <w:rPr>
          <w:rFonts w:ascii="Arial" w:hAnsi="Arial" w:cs="Arial"/>
        </w:rPr>
        <w:t xml:space="preserve"> </w:t>
      </w:r>
      <w:r w:rsidRPr="00F7553A">
        <w:rPr>
          <w:rFonts w:ascii="Arial" w:hAnsi="Arial" w:cs="Arial"/>
        </w:rPr>
        <w:t xml:space="preserve">„CPU </w:t>
      </w:r>
      <w:r w:rsidR="00BD37AD">
        <w:rPr>
          <w:rFonts w:ascii="Arial" w:hAnsi="Arial" w:cs="Arial"/>
        </w:rPr>
        <w:t>B</w:t>
      </w:r>
      <w:r w:rsidR="00C40844" w:rsidRPr="00F7553A">
        <w:rPr>
          <w:rFonts w:ascii="Arial" w:hAnsi="Arial" w:cs="Arial"/>
        </w:rPr>
        <w:t>enchmark“</w:t>
      </w:r>
      <w:r w:rsidRPr="00F7553A">
        <w:rPr>
          <w:rFonts w:ascii="Arial" w:hAnsi="Arial" w:cs="Arial"/>
        </w:rPr>
        <w:t xml:space="preserve">, </w:t>
      </w:r>
      <w:r w:rsidR="00C40844" w:rsidRPr="00F7553A">
        <w:rPr>
          <w:rFonts w:ascii="Arial" w:hAnsi="Arial" w:cs="Arial"/>
        </w:rPr>
        <w:t>kter</w:t>
      </w:r>
      <w:r w:rsidR="00843BC3" w:rsidRPr="00F7553A">
        <w:rPr>
          <w:rFonts w:ascii="Arial" w:hAnsi="Arial" w:cs="Arial"/>
        </w:rPr>
        <w:t>á</w:t>
      </w:r>
      <w:r w:rsidR="00C40844" w:rsidRPr="00F7553A">
        <w:rPr>
          <w:rFonts w:ascii="Arial" w:hAnsi="Arial" w:cs="Arial"/>
        </w:rPr>
        <w:t xml:space="preserve"> j</w:t>
      </w:r>
      <w:r w:rsidR="00843BC3" w:rsidRPr="00F7553A">
        <w:rPr>
          <w:rFonts w:ascii="Arial" w:hAnsi="Arial" w:cs="Arial"/>
        </w:rPr>
        <w:t>e</w:t>
      </w:r>
      <w:r w:rsidRPr="00F7553A">
        <w:rPr>
          <w:rFonts w:ascii="Arial" w:hAnsi="Arial" w:cs="Arial"/>
        </w:rPr>
        <w:t xml:space="preserve"> přílohou č. </w:t>
      </w:r>
      <w:r w:rsidR="00D3185C">
        <w:rPr>
          <w:rFonts w:ascii="Arial" w:hAnsi="Arial" w:cs="Arial"/>
        </w:rPr>
        <w:t>5</w:t>
      </w:r>
      <w:r w:rsidR="00D3185C" w:rsidRPr="00F7553A">
        <w:rPr>
          <w:rFonts w:ascii="Arial" w:hAnsi="Arial" w:cs="Arial"/>
        </w:rPr>
        <w:t xml:space="preserve">A </w:t>
      </w:r>
      <w:r w:rsidRPr="00F7553A">
        <w:rPr>
          <w:rFonts w:ascii="Arial" w:hAnsi="Arial" w:cs="Arial"/>
        </w:rPr>
        <w:t>zadávací dokumentace. V t</w:t>
      </w:r>
      <w:r w:rsidR="00843BC3" w:rsidRPr="00F7553A">
        <w:rPr>
          <w:rFonts w:ascii="Arial" w:hAnsi="Arial" w:cs="Arial"/>
        </w:rPr>
        <w:t>éto</w:t>
      </w:r>
      <w:r w:rsidRPr="00F7553A">
        <w:rPr>
          <w:rFonts w:ascii="Arial" w:hAnsi="Arial" w:cs="Arial"/>
        </w:rPr>
        <w:t xml:space="preserve"> příl</w:t>
      </w:r>
      <w:r w:rsidR="00843BC3" w:rsidRPr="00F7553A">
        <w:rPr>
          <w:rFonts w:ascii="Arial" w:hAnsi="Arial" w:cs="Arial"/>
        </w:rPr>
        <w:t>oze</w:t>
      </w:r>
      <w:r w:rsidRPr="00F7553A">
        <w:rPr>
          <w:rFonts w:ascii="Arial" w:hAnsi="Arial" w:cs="Arial"/>
        </w:rPr>
        <w:t xml:space="preserve"> jsou uvedeny hodnoty k </w:t>
      </w:r>
      <w:r w:rsidRPr="006D73F2">
        <w:rPr>
          <w:rFonts w:ascii="Arial" w:hAnsi="Arial" w:cs="Arial"/>
        </w:rPr>
        <w:t xml:space="preserve">datu </w:t>
      </w:r>
      <w:r w:rsidR="005F5348" w:rsidRPr="006D73F2">
        <w:rPr>
          <w:rFonts w:ascii="Arial" w:hAnsi="Arial" w:cs="Arial"/>
        </w:rPr>
        <w:t>2</w:t>
      </w:r>
      <w:r w:rsidR="006D73F2" w:rsidRPr="006D73F2">
        <w:rPr>
          <w:rFonts w:ascii="Arial" w:hAnsi="Arial" w:cs="Arial"/>
        </w:rPr>
        <w:t>3</w:t>
      </w:r>
      <w:r w:rsidR="00743AA4" w:rsidRPr="006D73F2">
        <w:rPr>
          <w:rFonts w:ascii="Arial" w:hAnsi="Arial" w:cs="Arial"/>
        </w:rPr>
        <w:t xml:space="preserve">. </w:t>
      </w:r>
      <w:r w:rsidR="006D73F2" w:rsidRPr="006D73F2">
        <w:rPr>
          <w:rFonts w:ascii="Arial" w:hAnsi="Arial" w:cs="Arial"/>
        </w:rPr>
        <w:t>8</w:t>
      </w:r>
      <w:r w:rsidR="00743AA4" w:rsidRPr="006D73F2">
        <w:rPr>
          <w:rFonts w:ascii="Arial" w:hAnsi="Arial" w:cs="Arial"/>
        </w:rPr>
        <w:t>. 201</w:t>
      </w:r>
      <w:r w:rsidR="00B70250" w:rsidRPr="006D73F2">
        <w:rPr>
          <w:rFonts w:ascii="Arial" w:hAnsi="Arial" w:cs="Arial"/>
        </w:rPr>
        <w:t>8</w:t>
      </w:r>
      <w:r w:rsidRPr="006D73F2">
        <w:rPr>
          <w:rFonts w:ascii="Arial" w:hAnsi="Arial" w:cs="Arial"/>
        </w:rPr>
        <w:t>. Zdrojem</w:t>
      </w:r>
      <w:r w:rsidRPr="00F7553A">
        <w:rPr>
          <w:rFonts w:ascii="Arial" w:hAnsi="Arial" w:cs="Arial"/>
        </w:rPr>
        <w:t xml:space="preserve"> údajů obsažených v </w:t>
      </w:r>
      <w:r w:rsidR="00C40844" w:rsidRPr="00F7553A">
        <w:rPr>
          <w:rFonts w:ascii="Arial" w:hAnsi="Arial" w:cs="Arial"/>
        </w:rPr>
        <w:t>přílo</w:t>
      </w:r>
      <w:r w:rsidR="00843BC3" w:rsidRPr="00F7553A">
        <w:rPr>
          <w:rFonts w:ascii="Arial" w:hAnsi="Arial" w:cs="Arial"/>
        </w:rPr>
        <w:t>ze</w:t>
      </w:r>
      <w:r w:rsidR="00C40844" w:rsidRPr="00F7553A">
        <w:rPr>
          <w:rFonts w:ascii="Arial" w:hAnsi="Arial" w:cs="Arial"/>
        </w:rPr>
        <w:t xml:space="preserve"> </w:t>
      </w:r>
      <w:r w:rsidRPr="00F7553A">
        <w:rPr>
          <w:rFonts w:ascii="Arial" w:hAnsi="Arial" w:cs="Arial"/>
        </w:rPr>
        <w:t xml:space="preserve">č. </w:t>
      </w:r>
      <w:r w:rsidR="00D3185C">
        <w:rPr>
          <w:rFonts w:ascii="Arial" w:hAnsi="Arial" w:cs="Arial"/>
        </w:rPr>
        <w:t>5</w:t>
      </w:r>
      <w:r w:rsidR="00D3185C" w:rsidRPr="00F7553A">
        <w:rPr>
          <w:rFonts w:ascii="Arial" w:hAnsi="Arial" w:cs="Arial"/>
        </w:rPr>
        <w:t xml:space="preserve">A </w:t>
      </w:r>
      <w:r w:rsidRPr="00F7553A">
        <w:rPr>
          <w:rFonts w:ascii="Arial" w:hAnsi="Arial" w:cs="Arial"/>
        </w:rPr>
        <w:t xml:space="preserve">zadávací dokumentace je PASSMARK SOFTWARE </w:t>
      </w:r>
      <w:hyperlink r:id="rId9" w:history="1">
        <w:r w:rsidRPr="00F7553A">
          <w:rPr>
            <w:rStyle w:val="Hypertextovodkaz"/>
            <w:rFonts w:ascii="Arial" w:hAnsi="Arial" w:cs="Arial"/>
          </w:rPr>
          <w:t>www.cpubenchmark.net</w:t>
        </w:r>
      </w:hyperlink>
      <w:r w:rsidRPr="00F7553A">
        <w:rPr>
          <w:rFonts w:ascii="Arial" w:hAnsi="Arial" w:cs="Arial"/>
        </w:rPr>
        <w:t xml:space="preserve"> a </w:t>
      </w:r>
      <w:hyperlink r:id="rId10" w:history="1">
        <w:r w:rsidRPr="00F7553A">
          <w:rPr>
            <w:rStyle w:val="Hypertextovodkaz"/>
            <w:rFonts w:ascii="Arial" w:hAnsi="Arial" w:cs="Arial"/>
          </w:rPr>
          <w:t>www.videocardbenchmark.net</w:t>
        </w:r>
      </w:hyperlink>
      <w:r w:rsidRPr="00F7553A">
        <w:rPr>
          <w:rFonts w:ascii="Arial" w:hAnsi="Arial" w:cs="Arial"/>
        </w:rPr>
        <w:t xml:space="preserve">. </w:t>
      </w:r>
    </w:p>
    <w:p w:rsidR="00141254" w:rsidRDefault="00675EBA" w:rsidP="00675EBA">
      <w:pPr>
        <w:jc w:val="both"/>
        <w:rPr>
          <w:rFonts w:ascii="Arial" w:hAnsi="Arial" w:cs="Arial"/>
        </w:rPr>
      </w:pPr>
      <w:r w:rsidRPr="00F7553A">
        <w:rPr>
          <w:rFonts w:ascii="Arial" w:hAnsi="Arial" w:cs="Arial"/>
        </w:rPr>
        <w:t xml:space="preserve">Pokud </w:t>
      </w:r>
      <w:r w:rsidR="00520CCA">
        <w:rPr>
          <w:rFonts w:ascii="Arial" w:hAnsi="Arial" w:cs="Arial"/>
        </w:rPr>
        <w:t xml:space="preserve">účastník </w:t>
      </w:r>
      <w:r w:rsidRPr="00F7553A">
        <w:rPr>
          <w:rFonts w:ascii="Arial" w:hAnsi="Arial" w:cs="Arial"/>
        </w:rPr>
        <w:t xml:space="preserve">v této tabulce dodávaný procesor nenalezne, doloží účastník prokazatelně hodnotu udávaného CPU tabulkou z jiného data, ale stejného zdroje. Doložení jiného zdroje hodnoty benchmarku CPU nebude akceptováno. Pokud při </w:t>
      </w:r>
      <w:r w:rsidR="00B55199" w:rsidRPr="00F7553A">
        <w:rPr>
          <w:rFonts w:ascii="Arial" w:hAnsi="Arial" w:cs="Arial"/>
        </w:rPr>
        <w:t xml:space="preserve">posouzení </w:t>
      </w:r>
      <w:r w:rsidRPr="00F7553A">
        <w:rPr>
          <w:rFonts w:ascii="Arial" w:hAnsi="Arial" w:cs="Arial"/>
        </w:rPr>
        <w:t>nabídky hodnotící komise nalezne tento procesor nebo GPU v </w:t>
      </w:r>
      <w:r w:rsidR="00C40844" w:rsidRPr="00F7553A">
        <w:rPr>
          <w:rFonts w:ascii="Arial" w:hAnsi="Arial" w:cs="Arial"/>
        </w:rPr>
        <w:t>přílo</w:t>
      </w:r>
      <w:r w:rsidR="00843BC3" w:rsidRPr="00F7553A">
        <w:rPr>
          <w:rFonts w:ascii="Arial" w:hAnsi="Arial" w:cs="Arial"/>
        </w:rPr>
        <w:t>ze</w:t>
      </w:r>
      <w:r w:rsidR="00C40844" w:rsidRPr="00F7553A">
        <w:rPr>
          <w:rFonts w:ascii="Arial" w:hAnsi="Arial" w:cs="Arial"/>
        </w:rPr>
        <w:t xml:space="preserve"> </w:t>
      </w:r>
      <w:r w:rsidRPr="00F7553A">
        <w:rPr>
          <w:rFonts w:ascii="Arial" w:hAnsi="Arial" w:cs="Arial"/>
        </w:rPr>
        <w:t xml:space="preserve">č. </w:t>
      </w:r>
      <w:r w:rsidR="00D3185C">
        <w:rPr>
          <w:rFonts w:ascii="Arial" w:hAnsi="Arial" w:cs="Arial"/>
        </w:rPr>
        <w:t>5</w:t>
      </w:r>
      <w:r w:rsidR="00D3185C" w:rsidRPr="00F7553A">
        <w:rPr>
          <w:rFonts w:ascii="Arial" w:hAnsi="Arial" w:cs="Arial"/>
        </w:rPr>
        <w:t xml:space="preserve">A </w:t>
      </w:r>
      <w:r w:rsidRPr="00F7553A">
        <w:rPr>
          <w:rFonts w:ascii="Arial" w:hAnsi="Arial" w:cs="Arial"/>
        </w:rPr>
        <w:t xml:space="preserve">zadávací dokumentace, bude pro posouzení parametru „Procesor“ použita příloha č. </w:t>
      </w:r>
      <w:r w:rsidR="00D3185C">
        <w:rPr>
          <w:rFonts w:ascii="Arial" w:hAnsi="Arial" w:cs="Arial"/>
        </w:rPr>
        <w:t>5</w:t>
      </w:r>
      <w:r w:rsidR="00D3185C" w:rsidRPr="00F7553A">
        <w:rPr>
          <w:rFonts w:ascii="Arial" w:hAnsi="Arial" w:cs="Arial"/>
        </w:rPr>
        <w:t xml:space="preserve">A </w:t>
      </w:r>
      <w:r w:rsidRPr="00F7553A">
        <w:rPr>
          <w:rFonts w:ascii="Arial" w:hAnsi="Arial" w:cs="Arial"/>
        </w:rPr>
        <w:t xml:space="preserve">zadávací dokumentace.  </w:t>
      </w:r>
    </w:p>
    <w:p w:rsidR="00141254" w:rsidRDefault="001412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4C6F67" w:rsidRDefault="004C6F67" w:rsidP="00675EBA">
      <w:pPr>
        <w:jc w:val="both"/>
        <w:rPr>
          <w:rFonts w:ascii="Arial" w:hAnsi="Arial" w:cs="Arial"/>
        </w:rPr>
      </w:pP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3199"/>
        <w:gridCol w:w="1240"/>
        <w:gridCol w:w="2549"/>
      </w:tblGrid>
      <w:tr w:rsidR="00141254" w:rsidRPr="00141254" w:rsidTr="00141254">
        <w:trPr>
          <w:trHeight w:val="375"/>
        </w:trPr>
        <w:tc>
          <w:tcPr>
            <w:tcW w:w="86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Část A - Hardware</w:t>
            </w:r>
            <w:r w:rsidRPr="00141254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41254" w:rsidRPr="00141254" w:rsidTr="00141254">
        <w:trPr>
          <w:trHeight w:val="330"/>
        </w:trPr>
        <w:tc>
          <w:tcPr>
            <w:tcW w:w="868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2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254" w:rsidRPr="00141254" w:rsidTr="00141254">
        <w:trPr>
          <w:trHeight w:val="1935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Parametr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Požadované technické parametry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Požadováno doložení </w:t>
            </w:r>
            <w:proofErr w:type="spellStart"/>
            <w:r w:rsidRPr="00141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="006537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r w:rsidRPr="001412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listu, či potvrzení splnění parametru od výrobce serveru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Nabízené technické parametry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41254" w:rsidRPr="00141254" w:rsidTr="00FF329E">
        <w:trPr>
          <w:trHeight w:val="780"/>
        </w:trPr>
        <w:tc>
          <w:tcPr>
            <w:tcW w:w="6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nabízeného zařízení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7574FF" w:rsidRDefault="00DB1724" w:rsidP="0014125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574FF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cs-CZ"/>
              </w:rPr>
              <w:t>FUJITSU PRIMERGY RX2540 M4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41254" w:rsidRPr="00141254" w:rsidTr="00FF329E">
        <w:trPr>
          <w:trHeight w:val="315"/>
        </w:trPr>
        <w:tc>
          <w:tcPr>
            <w:tcW w:w="6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FF329E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FF329E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7574FF" w:rsidRDefault="00FF329E" w:rsidP="0014125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7574FF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lang w:eastAsia="cs-CZ"/>
              </w:rPr>
              <w:t>FUJITSU</w:t>
            </w:r>
          </w:p>
        </w:tc>
      </w:tr>
      <w:tr w:rsidR="00141254" w:rsidRPr="00141254" w:rsidTr="007574FF">
        <w:trPr>
          <w:trHeight w:val="1425"/>
        </w:trPr>
        <w:tc>
          <w:tcPr>
            <w:tcW w:w="17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Provedení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Typ provedení skříně – osazení do racku 19“ o maximální hloubce 800 mm vč. montážního příslušenství (posuvy).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1724" w:rsidRPr="009C1D90" w:rsidRDefault="00DB1724" w:rsidP="009C1D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Rackové provedení skříně serveru o výšce 2U do 19“ racku,</w:t>
            </w:r>
            <w:r w:rsidR="007574FF"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574FF"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rack</w:t>
            </w:r>
            <w:proofErr w:type="spellEnd"/>
            <w:r w:rsidR="007574FF"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(Š x H x V)</w:t>
            </w:r>
          </w:p>
          <w:p w:rsidR="00141254" w:rsidRPr="009C1D90" w:rsidRDefault="00DB1724" w:rsidP="009C1D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482,4 mm (vnější) / 445 mm (tělo) x 770 x 86.6 mm</w:t>
            </w:r>
            <w:r w:rsidR="007574FF"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, Montážní hloubka racku 740 mm, viz. přiložený katalogový list</w:t>
            </w:r>
          </w:p>
        </w:tc>
      </w:tr>
      <w:tr w:rsidR="00141254" w:rsidRPr="00141254" w:rsidTr="009C1D90">
        <w:trPr>
          <w:trHeight w:val="2610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Plně sestavený server s přednastavenou konfigurací prvního diskového pole pro systémová data s aktivovanou ochranou dat eliminující HW poruchu minimálně jednoho z disků a druhého diskového pole pro uživatelská data s aktivovanou ochranou eliminující poruchu dvou disků a to s uvedenými minimálními parametry.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9C1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9C1D90" w:rsidRDefault="007574FF" w:rsidP="009C1D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Se</w:t>
            </w:r>
            <w:r w:rsid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rver je plně sestaven, funkční, </w:t>
            </w:r>
            <w:r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zahořen v nabízené konfiguraci s nastaveným </w:t>
            </w:r>
            <w:r w:rsid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prvním </w:t>
            </w:r>
            <w:r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diskovým polem </w:t>
            </w:r>
            <w:r w:rsid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v </w:t>
            </w:r>
            <w:r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RAID1</w:t>
            </w:r>
            <w:r w:rsidR="009C1D90"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složeného </w:t>
            </w:r>
            <w:r w:rsidR="009C1D90"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z 2 ks SSD HDD</w:t>
            </w:r>
            <w:r w:rsid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, které zajišťuje ochranu před poruchou 1 ks HDD a druhé ho diskového pole pro uživatelská data v RAID6, které zajišťuje ochranu před poruchou 2 ks </w:t>
            </w:r>
            <w:proofErr w:type="gramStart"/>
            <w:r w:rsid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HDD </w:t>
            </w:r>
            <w:r w:rsidR="009C1D90"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nabízených</w:t>
            </w:r>
            <w:proofErr w:type="gramEnd"/>
            <w:r w:rsidR="009C1D90" w:rsidRPr="009C1D9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parametrů a kapacity</w:t>
            </w:r>
          </w:p>
        </w:tc>
      </w:tr>
      <w:tr w:rsidR="00141254" w:rsidRPr="00141254" w:rsidTr="009C1D90">
        <w:trPr>
          <w:trHeight w:val="795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Základní deska musí umožňovat osazení 1 i 2 ks procesorů.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9C1D90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9C1D90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9C1D90" w:rsidRDefault="00E40639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Základní deska </w:t>
            </w:r>
            <w:r w:rsidRPr="00E40639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server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u umožňující osazení pouze 1 ks procesoru, stejně jako 2 ks současně.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141254" w:rsidRPr="00141254" w:rsidTr="00E40639">
        <w:trPr>
          <w:trHeight w:val="2505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Procesor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41254">
              <w:rPr>
                <w:rFonts w:ascii="Arial" w:eastAsia="Times New Roman" w:hAnsi="Arial" w:cs="Arial"/>
                <w:lang w:eastAsia="cs-CZ"/>
              </w:rPr>
              <w:t>Min. 10 jader a výkonnostní skóre větší než 21.800 bodů dle „</w:t>
            </w:r>
            <w:proofErr w:type="spellStart"/>
            <w:r w:rsidRPr="00141254">
              <w:rPr>
                <w:rFonts w:ascii="Arial" w:eastAsia="Times New Roman" w:hAnsi="Arial" w:cs="Arial"/>
                <w:lang w:eastAsia="cs-CZ"/>
              </w:rPr>
              <w:t>Average</w:t>
            </w:r>
            <w:proofErr w:type="spellEnd"/>
            <w:r w:rsidRPr="00141254">
              <w:rPr>
                <w:rFonts w:ascii="Arial" w:eastAsia="Times New Roman" w:hAnsi="Arial" w:cs="Arial"/>
                <w:lang w:eastAsia="cs-CZ"/>
              </w:rPr>
              <w:t xml:space="preserve"> CPU Mark/</w:t>
            </w:r>
            <w:proofErr w:type="spellStart"/>
            <w:r w:rsidRPr="00141254">
              <w:rPr>
                <w:rFonts w:ascii="Arial" w:eastAsia="Times New Roman" w:hAnsi="Arial" w:cs="Arial"/>
                <w:lang w:eastAsia="cs-CZ"/>
              </w:rPr>
              <w:t>PassMark</w:t>
            </w:r>
            <w:proofErr w:type="spellEnd"/>
            <w:r w:rsidRPr="00141254">
              <w:rPr>
                <w:rFonts w:ascii="Arial" w:eastAsia="Times New Roman" w:hAnsi="Arial" w:cs="Arial"/>
                <w:lang w:eastAsia="cs-CZ"/>
              </w:rPr>
              <w:t xml:space="preserve"> – CPU Mark“ s možností rozšíření o druhý fyzický procesor. Údaj o srovnávací hodnotě výkonu byl získán z veřejně dostupného zdroje www.cpubenchmark.net 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F271E1" w:rsidRDefault="00BE25A7" w:rsidP="00F271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1</w:t>
            </w:r>
            <w:r w:rsidR="00544C23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0</w:t>
            </w:r>
            <w:r w:rsidR="00537DF0"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 xml:space="preserve"> jader a výkonnostní skóre </w:t>
            </w:r>
            <w:r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2</w:t>
            </w:r>
            <w:r w:rsidR="00544C23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1</w:t>
            </w:r>
            <w:r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.</w:t>
            </w:r>
            <w:r w:rsidR="00544C23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833</w:t>
            </w:r>
            <w:r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 xml:space="preserve"> </w:t>
            </w:r>
            <w:r w:rsidR="00537DF0"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bodů dle „</w:t>
            </w:r>
            <w:proofErr w:type="spellStart"/>
            <w:r w:rsidR="00537DF0"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Average</w:t>
            </w:r>
            <w:proofErr w:type="spellEnd"/>
            <w:r w:rsidR="00537DF0"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 xml:space="preserve"> CPU Mark/</w:t>
            </w:r>
            <w:proofErr w:type="spellStart"/>
            <w:r w:rsidR="00537DF0"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PassMark</w:t>
            </w:r>
            <w:proofErr w:type="spellEnd"/>
            <w:r w:rsidR="00537DF0"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 xml:space="preserve"> – CPU Mark“ s možností rozšíření o druhý fyzický procesor. Údaj o srovnávací hodnotě výkonu byl získán z veřejně dostupného zdroje www.cpubenchmark.net.</w:t>
            </w:r>
            <w:r w:rsidR="00F271E1" w:rsidRPr="00F271E1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 xml:space="preserve"> Nabízený model CPU </w:t>
            </w:r>
            <w:r w:rsidR="00544C23" w:rsidRPr="00544C23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 xml:space="preserve">Intel </w:t>
            </w:r>
            <w:proofErr w:type="spellStart"/>
            <w:r w:rsidR="00544C23" w:rsidRPr="00544C23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>Xeon</w:t>
            </w:r>
            <w:proofErr w:type="spellEnd"/>
            <w:r w:rsidR="00544C23" w:rsidRPr="00544C23">
              <w:rPr>
                <w:rFonts w:ascii="Arial" w:eastAsia="Times New Roman" w:hAnsi="Arial" w:cs="Arial"/>
                <w:i/>
                <w:color w:val="000000" w:themeColor="text1"/>
                <w:lang w:eastAsia="cs-CZ"/>
              </w:rPr>
              <w:t xml:space="preserve"> Gold 5115 10C 2.40 GHz</w:t>
            </w:r>
          </w:p>
        </w:tc>
      </w:tr>
    </w:tbl>
    <w:p w:rsidR="00141254" w:rsidRDefault="00141254">
      <w:r>
        <w:br w:type="page"/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4260"/>
        <w:gridCol w:w="1240"/>
        <w:gridCol w:w="1420"/>
      </w:tblGrid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</w:tr>
      <w:tr w:rsidR="00141254" w:rsidRPr="00141254" w:rsidTr="00F271E1">
        <w:trPr>
          <w:trHeight w:val="2325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Paměť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RAM min. 64 GB s taktovací frekvencí odpovídající min. DDR4-2133 a podporou ECC.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F271E1" w:rsidRDefault="00537DF0" w:rsidP="00537D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F271E1">
              <w:rPr>
                <w:rFonts w:ascii="Arial" w:eastAsia="Times New Roman" w:hAnsi="Arial" w:cs="Arial"/>
                <w:i/>
                <w:color w:val="000000"/>
                <w:lang w:eastAsia="cs-CZ"/>
              </w:rPr>
              <w:t>RAM 64 GB s taktovací frekvencí odpovídající DDR4-2666 a podporou ECC.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141254" w:rsidRPr="00141254" w:rsidTr="00F271E1">
        <w:trPr>
          <w:trHeight w:val="1290"/>
        </w:trPr>
        <w:tc>
          <w:tcPr>
            <w:tcW w:w="17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Řadič disků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S podporou RAID 0 / 1 / 1+0 / 5 / 5+0 / 6 / 6+0 a vyrovnávací pamětí min. 2GB.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F271E1" w:rsidRDefault="00537DF0" w:rsidP="00537D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F271E1">
              <w:rPr>
                <w:rFonts w:ascii="Arial" w:eastAsia="Times New Roman" w:hAnsi="Arial" w:cs="Arial"/>
                <w:i/>
                <w:color w:val="000000"/>
                <w:lang w:eastAsia="cs-CZ"/>
              </w:rPr>
              <w:t>S podporou RAID 0 / 1 / 1+0 / 5 / 5+0 / 6 / 6+0 a vyrovnávací pamětí 2GB.</w:t>
            </w:r>
          </w:p>
        </w:tc>
      </w:tr>
      <w:tr w:rsidR="00141254" w:rsidRPr="00141254" w:rsidTr="00F271E1">
        <w:trPr>
          <w:trHeight w:val="1290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S podporou rychlosti datového přenosu min. 6 </w:t>
            </w:r>
            <w:proofErr w:type="spellStart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Gbit</w:t>
            </w:r>
            <w:proofErr w:type="spellEnd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/s.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F271E1" w:rsidRDefault="00537DF0" w:rsidP="00537D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F271E1">
              <w:rPr>
                <w:rFonts w:ascii="Arial" w:eastAsia="Times New Roman" w:hAnsi="Arial" w:cs="Arial"/>
                <w:i/>
                <w:color w:val="000000"/>
                <w:lang w:eastAsia="cs-CZ"/>
              </w:rPr>
              <w:t xml:space="preserve">S podporou rychlosti datového přenosu 12 </w:t>
            </w:r>
            <w:proofErr w:type="spellStart"/>
            <w:r w:rsidRPr="00F271E1">
              <w:rPr>
                <w:rFonts w:ascii="Arial" w:eastAsia="Times New Roman" w:hAnsi="Arial" w:cs="Arial"/>
                <w:i/>
                <w:color w:val="000000"/>
                <w:lang w:eastAsia="cs-CZ"/>
              </w:rPr>
              <w:t>Gbit</w:t>
            </w:r>
            <w:proofErr w:type="spellEnd"/>
            <w:r w:rsidRPr="00F271E1">
              <w:rPr>
                <w:rFonts w:ascii="Arial" w:eastAsia="Times New Roman" w:hAnsi="Arial" w:cs="Arial"/>
                <w:i/>
                <w:color w:val="000000"/>
                <w:lang w:eastAsia="cs-CZ"/>
              </w:rPr>
              <w:t>/s.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141254" w:rsidRPr="00141254" w:rsidTr="007B6580">
        <w:trPr>
          <w:trHeight w:val="1035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Disky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Všechny použité disky umožní výměnu bez nutnosti zastavovat běh serveru nebo jeho vypnutí, tzv. HOTSWAP.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7B6580" w:rsidRDefault="00141254" w:rsidP="007B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7B6580" w:rsidRDefault="007B6580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Hot-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Plug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HDD vyměnitelné za chodu serveru.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141254" w:rsidRPr="00141254" w:rsidTr="007B6580">
        <w:trPr>
          <w:trHeight w:val="2310"/>
        </w:trPr>
        <w:tc>
          <w:tcPr>
            <w:tcW w:w="17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První diskové úložiště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Dostupných celkem min. </w:t>
            </w: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480GB</w:t>
            </w: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při současné aktivované ochraně dat eliminující HW poruchu min. jednoho z disků (RAID).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537DF0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7B658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2x 480GB SSD v RAID1</w:t>
            </w:r>
          </w:p>
        </w:tc>
      </w:tr>
      <w:tr w:rsidR="00141254" w:rsidRPr="00141254" w:rsidTr="007B6580">
        <w:trPr>
          <w:trHeight w:val="1035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S technologií záznamu dat typu paměťových buněk SSD.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  <w:r w:rsidR="004830F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7B6580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7B658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Technologie zápisu do paměťových buněk SSD</w:t>
            </w:r>
          </w:p>
        </w:tc>
      </w:tr>
      <w:tr w:rsidR="00141254" w:rsidRPr="00141254" w:rsidTr="00FF2096">
        <w:trPr>
          <w:trHeight w:val="968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Použité záznamové disky musí být přímo výrobcem určeny pro provoz v serverech při současném splnění podmínky životnosti min. 850TBW (nebo ekvivalentní vyjádření hodnoty) každého jednoho z použitých disků.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FF2096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cs-CZ"/>
              </w:rPr>
            </w:pPr>
            <w:r w:rsidRPr="00FF2096">
              <w:rPr>
                <w:rFonts w:ascii="Arial" w:eastAsia="Times New Roman" w:hAnsi="Arial" w:cs="Arial"/>
                <w:b/>
                <w:bCs/>
                <w:i/>
                <w:color w:val="000000"/>
                <w:lang w:eastAsia="cs-CZ"/>
              </w:rPr>
              <w:t> </w:t>
            </w:r>
            <w:r w:rsidR="004830F0" w:rsidRPr="00FF2096">
              <w:rPr>
                <w:rFonts w:ascii="Arial" w:eastAsia="Times New Roman" w:hAnsi="Arial" w:cs="Arial"/>
                <w:b/>
                <w:bCs/>
                <w:i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FF2096" w:rsidRDefault="00FF2096" w:rsidP="005D58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>Z</w:t>
            </w:r>
            <w:r w:rsidR="005D588B"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 xml:space="preserve">áznamové disky </w:t>
            </w:r>
            <w:r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 xml:space="preserve">jsou </w:t>
            </w:r>
            <w:r w:rsidR="005D588B"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>výrobcem určeny pro provoz v</w:t>
            </w:r>
            <w:r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> </w:t>
            </w:r>
            <w:r w:rsidR="005D588B"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>serverech</w:t>
            </w:r>
            <w:r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 xml:space="preserve"> v režimu 24/7</w:t>
            </w:r>
            <w:r w:rsidR="005D588B"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>. Životnosti</w:t>
            </w:r>
            <w:r w:rsidR="005D588B" w:rsidRPr="00FF209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  <w:t xml:space="preserve"> 3080TBW </w:t>
            </w:r>
            <w:r w:rsidR="005D588B"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 xml:space="preserve">každého </w:t>
            </w:r>
            <w:r w:rsidR="005D588B"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lastRenderedPageBreak/>
              <w:t>jednoho z použitých disků</w:t>
            </w:r>
          </w:p>
        </w:tc>
      </w:tr>
      <w:tr w:rsidR="00141254" w:rsidRPr="00141254" w:rsidTr="00FF2096">
        <w:trPr>
          <w:trHeight w:val="2541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483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Dále požadujeme min.: rychlost náhodného čtení 59.000 IOPS, náhodný zápis 14.000 IOPS, sekvenční čtení 460MB/s a sekvenční zápis 450MB/s.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FF2096" w:rsidRDefault="004830F0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cs-CZ"/>
              </w:rPr>
            </w:pPr>
            <w:r w:rsidRPr="00FF2096">
              <w:rPr>
                <w:rFonts w:ascii="Arial" w:eastAsia="Times New Roman" w:hAnsi="Arial" w:cs="Arial"/>
                <w:b/>
                <w:bCs/>
                <w:i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FF2096" w:rsidRDefault="00FF2096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cs-CZ"/>
              </w:rPr>
              <w:t>R</w:t>
            </w:r>
            <w:r w:rsidR="00B86074" w:rsidRPr="00FF2096">
              <w:rPr>
                <w:rFonts w:ascii="Arial" w:eastAsia="Times New Roman" w:hAnsi="Arial" w:cs="Arial"/>
                <w:i/>
                <w:color w:val="000000"/>
                <w:lang w:eastAsia="cs-CZ"/>
              </w:rPr>
              <w:t>ychlost náhodného čtení 95.000 IOPS, náhodný zápis 19.000 IOPS, sekvenční čtení 510MB/s a sekvenční zápis 485MB/s.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41254" w:rsidRPr="00141254" w:rsidTr="00FF2096">
        <w:trPr>
          <w:trHeight w:val="1727"/>
        </w:trPr>
        <w:tc>
          <w:tcPr>
            <w:tcW w:w="17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Druhé diskové úložiště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Min. </w:t>
            </w: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 TB</w:t>
            </w: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s aktivovanou ochranou eliminující poruchu d</w:t>
            </w:r>
            <w:r w:rsidR="0082622A">
              <w:rPr>
                <w:rFonts w:ascii="Arial" w:eastAsia="Times New Roman" w:hAnsi="Arial" w:cs="Arial"/>
                <w:color w:val="000000"/>
                <w:lang w:eastAsia="cs-CZ"/>
              </w:rPr>
              <w:t xml:space="preserve">vou disků (RAID) v konfiguraci </w:t>
            </w: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a provedení s min. 7200 RPM.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FF2096" w:rsidRDefault="00023E45" w:rsidP="009C17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5x 2TB </w:t>
            </w:r>
            <w:r w:rsidR="00FF2096"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SATA HDD Hot-</w:t>
            </w:r>
            <w:proofErr w:type="spellStart"/>
            <w:r w:rsidR="00FF2096"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Plug</w:t>
            </w:r>
            <w:proofErr w:type="spellEnd"/>
            <w:r w:rsidR="00FF2096"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7200 RPM </w:t>
            </w:r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disk v RAID6 (3+2).</w:t>
            </w:r>
          </w:p>
          <w:p w:rsidR="00023E45" w:rsidRPr="00141254" w:rsidRDefault="00FF2096" w:rsidP="009C17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Celková k</w:t>
            </w:r>
            <w:r w:rsidR="00023E45"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apacita 3x2TB=6TB</w:t>
            </w:r>
          </w:p>
        </w:tc>
      </w:tr>
      <w:tr w:rsidR="00141254" w:rsidRPr="00141254" w:rsidTr="00FF2096">
        <w:trPr>
          <w:trHeight w:val="1710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Použité záznamové disky musí být přímo výrobcem určeny pro provoz v serverech.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4830F0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FF2096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Nabízené HDD jsou určeny pro provoz v serverech – provedení BC business </w:t>
            </w:r>
            <w:proofErr w:type="spellStart"/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critical</w:t>
            </w:r>
            <w:proofErr w:type="spellEnd"/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.</w:t>
            </w:r>
          </w:p>
        </w:tc>
      </w:tr>
      <w:tr w:rsidR="00141254" w:rsidRPr="00141254" w:rsidTr="00FF2096">
        <w:trPr>
          <w:trHeight w:val="1710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Použité záznamové disky musí mít min. MTBF 1.200.000 hodin poskytnutou výrobcem.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FF2096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FF2096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 </w:t>
            </w:r>
            <w:r w:rsidR="004830F0" w:rsidRPr="00FF2096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FF2096" w:rsidRDefault="00C81698" w:rsidP="001821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MTBF </w:t>
            </w:r>
            <w:r w:rsidR="00182179"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2.000.000 hodin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41254" w:rsidRPr="00141254" w:rsidTr="00FF2096">
        <w:trPr>
          <w:trHeight w:val="780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Síťové rozhraní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Min. 4 x 1Gbit.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82179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6x 1Gbit (2x </w:t>
            </w:r>
            <w:proofErr w:type="spellStart"/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onboard</w:t>
            </w:r>
            <w:proofErr w:type="spellEnd"/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+ 4x na přídavné </w:t>
            </w:r>
            <w:r w:rsidR="00C37B89"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kartě PLAN OCP</w:t>
            </w:r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)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41254" w:rsidRPr="00141254" w:rsidTr="00FF2096">
        <w:trPr>
          <w:trHeight w:val="525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Mechanika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DVD-RW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FF2096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DVD-RW </w:t>
            </w:r>
            <w:proofErr w:type="spellStart"/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supermulti</w:t>
            </w:r>
            <w:proofErr w:type="spellEnd"/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ultraslim</w:t>
            </w:r>
            <w:proofErr w:type="spellEnd"/>
            <w:r w:rsidRPr="00FF209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SATA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41254" w:rsidRPr="00141254" w:rsidTr="00D563B5">
        <w:trPr>
          <w:trHeight w:val="2250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 xml:space="preserve">Rozhraní pro připojení </w:t>
            </w:r>
            <w:proofErr w:type="spellStart"/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ext</w:t>
            </w:r>
            <w:proofErr w:type="spellEnd"/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mechaniky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A3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Rozhraní </w:t>
            </w:r>
            <w:r w:rsidR="001A3856" w:rsidRPr="00141254">
              <w:rPr>
                <w:rFonts w:ascii="Arial" w:eastAsia="Times New Roman" w:hAnsi="Arial" w:cs="Arial"/>
                <w:color w:val="000000"/>
                <w:lang w:eastAsia="cs-CZ"/>
              </w:rPr>
              <w:t>s konektorem na zadní straně serveru pro připojení SAS kabelu s konektorem SFF-8088</w:t>
            </w:r>
            <w:r w:rsidR="001A097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pro připojení již používané externí páskové zálohovací mechaniky "HP </w:t>
            </w:r>
            <w:proofErr w:type="spellStart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Storage</w:t>
            </w:r>
            <w:proofErr w:type="spellEnd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Ultrium</w:t>
            </w:r>
            <w:proofErr w:type="spellEnd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3000 SAS"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DD27F8" w:rsidP="00033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Výkonný ř</w:t>
            </w:r>
            <w:r w:rsidR="000335D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adič s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 externím </w:t>
            </w:r>
            <w:r w:rsidR="000335D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rozhraním </w:t>
            </w:r>
            <w:r w:rsidRPr="00DD27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SFF-8644 (Mini SAS HD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 a kabelem umožňujícím připojení externí HP SU3000 s konektorem SFF-8088</w:t>
            </w:r>
            <w:r w:rsidR="00EE3C5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 kabel je součástí dodávky</w:t>
            </w:r>
          </w:p>
        </w:tc>
      </w:tr>
    </w:tbl>
    <w:p w:rsidR="00141254" w:rsidRDefault="00141254">
      <w:r>
        <w:br w:type="page"/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420"/>
        <w:gridCol w:w="1420"/>
        <w:gridCol w:w="1420"/>
        <w:gridCol w:w="1240"/>
        <w:gridCol w:w="2394"/>
      </w:tblGrid>
      <w:tr w:rsidR="00141254" w:rsidRPr="00141254" w:rsidTr="005D781E">
        <w:trPr>
          <w:trHeight w:val="315"/>
        </w:trPr>
        <w:tc>
          <w:tcPr>
            <w:tcW w:w="965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</w:tr>
      <w:tr w:rsidR="00141254" w:rsidRPr="00141254" w:rsidTr="005D781E">
        <w:trPr>
          <w:trHeight w:val="1665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Zdroj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Základní a redundantní zdroj s výkonem dostačujícím pro maximální osazení serveru a účinností více než 90% a napájecím napětím 230V 50Hz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DD27F8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2 ks napájecích zdrojů - 230V, </w:t>
            </w:r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450W </w:t>
            </w:r>
            <w:proofErr w:type="spellStart"/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modular</w:t>
            </w:r>
            <w:proofErr w:type="spellEnd"/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Power</w:t>
            </w:r>
            <w:proofErr w:type="spellEnd"/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Supply </w:t>
            </w:r>
            <w:proofErr w:type="spellStart"/>
            <w:proofErr w:type="gramStart"/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Module,hot</w:t>
            </w:r>
            <w:proofErr w:type="spellEnd"/>
            <w:proofErr w:type="gramEnd"/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plug,platinum</w:t>
            </w:r>
            <w:proofErr w:type="spellEnd"/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(94%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účinnost</w:t>
            </w:r>
            <w:r w:rsidRPr="00DD27F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), Turbo Mode</w:t>
            </w:r>
          </w:p>
        </w:tc>
      </w:tr>
      <w:tr w:rsidR="00141254" w:rsidRPr="00141254" w:rsidTr="005D781E">
        <w:trPr>
          <w:trHeight w:val="315"/>
        </w:trPr>
        <w:tc>
          <w:tcPr>
            <w:tcW w:w="965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85A00" w:rsidRPr="00885A00" w:rsidTr="005D781E">
        <w:trPr>
          <w:trHeight w:val="1290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Softwarová podpora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Softwarová podpora výrobců třetích stran (Microsoft, </w:t>
            </w:r>
            <w:proofErr w:type="spellStart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VMware</w:t>
            </w:r>
            <w:proofErr w:type="spellEnd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SuSe</w:t>
            </w:r>
            <w:proofErr w:type="spellEnd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RedHat</w:t>
            </w:r>
            <w:proofErr w:type="spellEnd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A00" w:rsidRPr="00885A00" w:rsidRDefault="00885A00" w:rsidP="00885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Certifikované a podporované operační systémy a virtualizační software</w:t>
            </w:r>
            <w:r w:rsidR="005D781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: </w:t>
            </w:r>
            <w:r w:rsidR="00141254"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(</w:t>
            </w:r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operační systémy a virtualizační software</w:t>
            </w:r>
          </w:p>
          <w:p w:rsidR="00141254" w:rsidRPr="00885A00" w:rsidRDefault="00885A00" w:rsidP="00885A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Hyper-V Server 2016 Windows Server 2016 Datacenter Windows Server 2016 Standard Windows Server 2016 Essentials Windows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Storage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Server 2016 Standard Windows Server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Datacenter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version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1709 Hyper-V Server 2012 R2 Windows Server 2012 R2 Datacenter Windows Server 2012 R2 Standard Windows Server 2012 R2 Essentials Windows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Storage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Server 2012 R2 Standard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VMware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vSphere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™ 6.5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VMware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vSphere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™ 6.7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VMware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vSphere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™ 6.0 SUSE® Linux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Enterprise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Server 12 SUSE® Linux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Enterprise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Server 11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Red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Hat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®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Enterprise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Linux 7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Red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Hat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®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Enterprise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Linux 6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Oracle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® Linux 7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Oracle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® Linux 6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Oracle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® VM 3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Univention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Corporate</w:t>
            </w:r>
            <w:proofErr w:type="spellEnd"/>
            <w:r w:rsidRPr="00885A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Server 4</w:t>
            </w:r>
          </w:p>
        </w:tc>
      </w:tr>
      <w:tr w:rsidR="00141254" w:rsidRPr="00141254" w:rsidTr="005D781E">
        <w:trPr>
          <w:trHeight w:val="315"/>
        </w:trPr>
        <w:tc>
          <w:tcPr>
            <w:tcW w:w="965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41254" w:rsidRPr="00141254" w:rsidTr="005D781E">
        <w:trPr>
          <w:trHeight w:val="1530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Kompatibilita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Kompatibilita s operačním systémem Windows Server 2016, který bude součástí dodávky (část B).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EE3C51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Ano, server je certifikovaný pro Windows Server 2016 </w:t>
            </w:r>
            <w:r w:rsidR="005D781E" w:rsidRPr="005D781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viz. výše</w:t>
            </w:r>
          </w:p>
        </w:tc>
      </w:tr>
      <w:tr w:rsidR="00141254" w:rsidRPr="00141254" w:rsidTr="005D781E">
        <w:trPr>
          <w:trHeight w:val="315"/>
        </w:trPr>
        <w:tc>
          <w:tcPr>
            <w:tcW w:w="965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41254" w:rsidRPr="00141254" w:rsidTr="00EE3C51">
        <w:trPr>
          <w:trHeight w:val="1545"/>
        </w:trPr>
        <w:tc>
          <w:tcPr>
            <w:tcW w:w="17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B4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Záruka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Záruka na server, včetně disků, </w:t>
            </w: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poskytnutá výrobcem serveru</w:t>
            </w: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v délce 60 měsíců s ukončenou opravou v místě sídla zadavatele do 4 hodin od nahlášení poruchy.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EE3C51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EE3C5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S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ervisní balíček na 60 měsíců, služba v místě instalace v režimu 24x7 s garantovanou opravou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zařízení  do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4 hod. od nahlášení</w:t>
            </w:r>
          </w:p>
        </w:tc>
      </w:tr>
      <w:tr w:rsidR="00141254" w:rsidRPr="00141254" w:rsidTr="00EE3C51">
        <w:trPr>
          <w:trHeight w:val="1545"/>
        </w:trPr>
        <w:tc>
          <w:tcPr>
            <w:tcW w:w="17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V případě poruchy disku, bude po výměně původní disk ponechán zadavateli z důvodu ochrany citlivých dat.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EE3C51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Ano, součástí záruky je i výměna HDD bez nutnosti vrácení vadných disků výrobci. </w:t>
            </w:r>
          </w:p>
        </w:tc>
      </w:tr>
      <w:tr w:rsidR="005D781E" w:rsidRPr="00141254" w:rsidTr="005D781E">
        <w:trPr>
          <w:trHeight w:val="33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8586E" w:rsidRPr="00141254" w:rsidTr="00EE3C51">
        <w:trPr>
          <w:trHeight w:val="204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86E" w:rsidRPr="00141254" w:rsidRDefault="00E8586E" w:rsidP="00F94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B4545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Další volitelný požadavek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B4545A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cs-CZ"/>
              </w:rPr>
              <w:t>(nebude předmětem posouzení)</w:t>
            </w:r>
          </w:p>
        </w:tc>
        <w:tc>
          <w:tcPr>
            <w:tcW w:w="42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586E" w:rsidRPr="004830F0" w:rsidRDefault="00E8586E" w:rsidP="00E85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830F0">
              <w:rPr>
                <w:rFonts w:ascii="Arial" w:eastAsia="Times New Roman" w:hAnsi="Arial" w:cs="Arial"/>
                <w:color w:val="000000"/>
                <w:lang w:eastAsia="cs-CZ"/>
              </w:rPr>
              <w:t>Možnost prodloužení záruky poskytnuté výrobcem serveru o 24 měsíců s ukončenou opravou v místě sídla zadavatele do 4 hodin od nahlášení poruchy</w:t>
            </w:r>
          </w:p>
        </w:tc>
        <w:tc>
          <w:tcPr>
            <w:tcW w:w="36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586E" w:rsidRPr="005F0300" w:rsidRDefault="00E8586E" w:rsidP="00E858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1412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F03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ANO – prodloužení je možné </w:t>
            </w:r>
            <w:r w:rsidR="00666AA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o 12-24 měsíců </w:t>
            </w:r>
            <w:r w:rsidR="005F03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v době trvání stávající záruční lhůty bez dalších podmínek, v případě prodloužení po uplynutí záruční lhůty po auditu stavu zařízení. Cena za prodloužení (stejného typu servisní reakce) o dalších </w:t>
            </w:r>
            <w:r w:rsidR="005F0300" w:rsidRPr="005F03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SP </w:t>
            </w:r>
            <w:proofErr w:type="spellStart"/>
            <w:r w:rsidR="005F0300" w:rsidRPr="005F03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Xtend</w:t>
            </w:r>
            <w:proofErr w:type="spellEnd"/>
            <w:r w:rsidR="005F0300" w:rsidRPr="005F03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12m O</w:t>
            </w:r>
            <w:r w:rsidR="005F03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nSite</w:t>
            </w:r>
            <w:r w:rsidR="005F0300" w:rsidRPr="005F03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,24x7,4h </w:t>
            </w:r>
            <w:proofErr w:type="spellStart"/>
            <w:r w:rsidR="005F0300" w:rsidRPr="005F03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Rec</w:t>
            </w:r>
            <w:proofErr w:type="spellEnd"/>
            <w:r w:rsidR="005F030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. – 10.999,-- Kč bez DPH</w:t>
            </w:r>
          </w:p>
        </w:tc>
      </w:tr>
    </w:tbl>
    <w:p w:rsidR="00141254" w:rsidRDefault="00141254">
      <w:r>
        <w:br w:type="page"/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420"/>
        <w:gridCol w:w="1420"/>
        <w:gridCol w:w="1420"/>
        <w:gridCol w:w="1240"/>
        <w:gridCol w:w="1420"/>
      </w:tblGrid>
      <w:tr w:rsidR="00141254" w:rsidRPr="00141254" w:rsidTr="00141254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1254" w:rsidRPr="00141254" w:rsidTr="00141254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1254" w:rsidRPr="00141254" w:rsidTr="00141254">
        <w:trPr>
          <w:trHeight w:val="375"/>
        </w:trPr>
        <w:tc>
          <w:tcPr>
            <w:tcW w:w="60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Část B - Software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1254" w:rsidRPr="00141254" w:rsidTr="00141254">
        <w:trPr>
          <w:trHeight w:val="660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4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Množství ks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41254" w:rsidRPr="00141254" w:rsidTr="00141254">
        <w:trPr>
          <w:trHeight w:val="315"/>
        </w:trPr>
        <w:tc>
          <w:tcPr>
            <w:tcW w:w="868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41254" w:rsidRPr="00141254" w:rsidTr="001E7DFE">
        <w:trPr>
          <w:trHeight w:val="1995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254" w:rsidRPr="00B4545A" w:rsidRDefault="00141254" w:rsidP="00B454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4545A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Operační systém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Windows server 2016 </w:t>
            </w:r>
            <w:proofErr w:type="spellStart"/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Std</w:t>
            </w:r>
            <w:proofErr w:type="spellEnd"/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OLP NL GOVT- software </w:t>
            </w:r>
            <w:r w:rsidRPr="0014125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zajišťující běh serveru popsaného v části A tohoto dokumentu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8224DC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9EM-00227 Win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dows</w:t>
            </w:r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S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erver</w:t>
            </w:r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S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td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.</w:t>
            </w:r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Core</w:t>
            </w:r>
            <w:proofErr w:type="spellEnd"/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2016 16Lic OLP NL GOVT </w:t>
            </w:r>
            <w:proofErr w:type="spellStart"/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CoreLic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.</w:t>
            </w:r>
          </w:p>
        </w:tc>
      </w:tr>
      <w:tr w:rsidR="00141254" w:rsidRPr="00141254" w:rsidTr="008173AC">
        <w:trPr>
          <w:trHeight w:val="1830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B4545A" w:rsidRDefault="00141254" w:rsidP="00B454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4545A">
              <w:rPr>
                <w:rFonts w:ascii="Arial" w:eastAsia="Times New Roman" w:hAnsi="Arial" w:cs="Arial"/>
                <w:b/>
                <w:color w:val="000000"/>
                <w:lang w:eastAsia="cs-CZ"/>
              </w:rPr>
              <w:t>Uživatelské přístupy k OS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141254" w:rsidP="00141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Windows server 2016 </w:t>
            </w:r>
            <w:proofErr w:type="spellStart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>Std</w:t>
            </w:r>
            <w:proofErr w:type="spellEnd"/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User CAL NL GOVT</w:t>
            </w: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(uživatelsk</w:t>
            </w:r>
            <w:r w:rsidR="009C1795">
              <w:rPr>
                <w:rFonts w:ascii="Arial" w:eastAsia="Times New Roman" w:hAnsi="Arial" w:cs="Arial"/>
                <w:color w:val="000000"/>
                <w:lang w:eastAsia="cs-CZ"/>
              </w:rPr>
              <w:t>á</w:t>
            </w:r>
            <w:r w:rsidRPr="001412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licence pro výše uvedený OS)</w:t>
            </w:r>
            <w:r w:rsidR="009C179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9C1795" w:rsidRPr="00B4545A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pro 130 uživatelů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254" w:rsidRPr="00141254" w:rsidRDefault="00141254" w:rsidP="009C1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12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1254" w:rsidRPr="00141254" w:rsidRDefault="008224DC" w:rsidP="001412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18-05159 </w:t>
            </w:r>
            <w:proofErr w:type="spellStart"/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Win</w:t>
            </w:r>
            <w:proofErr w:type="spellEnd"/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>Svr</w:t>
            </w:r>
            <w:proofErr w:type="spellEnd"/>
            <w:r w:rsidRPr="008224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CAL 2016 OLP NL GOVT User CAL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– 130 licencí</w:t>
            </w:r>
          </w:p>
        </w:tc>
      </w:tr>
    </w:tbl>
    <w:p w:rsidR="00675EBA" w:rsidRPr="00F7553A" w:rsidRDefault="00675EBA" w:rsidP="00141254">
      <w:pPr>
        <w:rPr>
          <w:rFonts w:ascii="Arial" w:hAnsi="Arial" w:cs="Arial"/>
        </w:rPr>
      </w:pPr>
    </w:p>
    <w:sectPr w:rsidR="00675EBA" w:rsidRPr="00F7553A" w:rsidSect="003C71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A7" w:rsidRDefault="005A47A7" w:rsidP="003D7473">
      <w:pPr>
        <w:spacing w:after="0" w:line="240" w:lineRule="auto"/>
      </w:pPr>
      <w:r>
        <w:separator/>
      </w:r>
    </w:p>
  </w:endnote>
  <w:endnote w:type="continuationSeparator" w:id="0">
    <w:p w:rsidR="005A47A7" w:rsidRDefault="005A47A7" w:rsidP="003D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628116"/>
      <w:docPartObj>
        <w:docPartGallery w:val="Page Numbers (Bottom of Page)"/>
        <w:docPartUnique/>
      </w:docPartObj>
    </w:sdtPr>
    <w:sdtEndPr/>
    <w:sdtContent>
      <w:p w:rsidR="005F5348" w:rsidRDefault="00DB11F7">
        <w:pPr>
          <w:pStyle w:val="Zpat"/>
          <w:jc w:val="center"/>
        </w:pPr>
        <w:r>
          <w:fldChar w:fldCharType="begin"/>
        </w:r>
        <w:r w:rsidR="0082622A">
          <w:instrText>PAGE   \* MERGEFORMAT</w:instrText>
        </w:r>
        <w:r>
          <w:fldChar w:fldCharType="separate"/>
        </w:r>
        <w:r w:rsidR="00C41E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348" w:rsidRDefault="005F53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155252"/>
      <w:docPartObj>
        <w:docPartGallery w:val="Page Numbers (Bottom of Page)"/>
        <w:docPartUnique/>
      </w:docPartObj>
    </w:sdtPr>
    <w:sdtEndPr/>
    <w:sdtContent>
      <w:p w:rsidR="005F5348" w:rsidRDefault="00DB11F7">
        <w:pPr>
          <w:pStyle w:val="Zpat"/>
          <w:jc w:val="center"/>
        </w:pPr>
        <w:r>
          <w:fldChar w:fldCharType="begin"/>
        </w:r>
        <w:r w:rsidR="0082622A">
          <w:instrText>PAGE   \* MERGEFORMAT</w:instrText>
        </w:r>
        <w:r>
          <w:fldChar w:fldCharType="separate"/>
        </w:r>
        <w:r w:rsidR="00C41E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348" w:rsidRDefault="005F53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A7" w:rsidRDefault="005A47A7" w:rsidP="003D7473">
      <w:pPr>
        <w:spacing w:after="0" w:line="240" w:lineRule="auto"/>
      </w:pPr>
      <w:r>
        <w:separator/>
      </w:r>
    </w:p>
  </w:footnote>
  <w:footnote w:type="continuationSeparator" w:id="0">
    <w:p w:rsidR="005A47A7" w:rsidRDefault="005A47A7" w:rsidP="003D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48" w:rsidRDefault="005F5348" w:rsidP="001B3F7F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48" w:rsidRDefault="005F5348">
    <w:pPr>
      <w:pStyle w:val="Zhlav"/>
    </w:pPr>
    <w:r>
      <w:rPr>
        <w:noProof/>
        <w:lang w:eastAsia="cs-CZ"/>
      </w:rPr>
      <w:drawing>
        <wp:inline distT="0" distB="0" distL="0" distR="0">
          <wp:extent cx="5753100" cy="923925"/>
          <wp:effectExtent l="0" t="0" r="0" b="9525"/>
          <wp:docPr id="3" name="Obrázek 3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72A6"/>
    <w:multiLevelType w:val="hybridMultilevel"/>
    <w:tmpl w:val="76E48EE2"/>
    <w:lvl w:ilvl="0" w:tplc="9204381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A06"/>
    <w:multiLevelType w:val="hybridMultilevel"/>
    <w:tmpl w:val="F03AAA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E11D56"/>
    <w:multiLevelType w:val="hybridMultilevel"/>
    <w:tmpl w:val="A49A3BC4"/>
    <w:lvl w:ilvl="0" w:tplc="1C485E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73"/>
    <w:rsid w:val="00001E17"/>
    <w:rsid w:val="00023E45"/>
    <w:rsid w:val="00031891"/>
    <w:rsid w:val="000335DB"/>
    <w:rsid w:val="00037110"/>
    <w:rsid w:val="00071F19"/>
    <w:rsid w:val="00075C4C"/>
    <w:rsid w:val="0008654E"/>
    <w:rsid w:val="00095D73"/>
    <w:rsid w:val="000A2135"/>
    <w:rsid w:val="000C6F40"/>
    <w:rsid w:val="000E3FA6"/>
    <w:rsid w:val="000F684A"/>
    <w:rsid w:val="001255F0"/>
    <w:rsid w:val="001266D7"/>
    <w:rsid w:val="00141254"/>
    <w:rsid w:val="001640BA"/>
    <w:rsid w:val="00182179"/>
    <w:rsid w:val="001869BF"/>
    <w:rsid w:val="001A0808"/>
    <w:rsid w:val="001A0971"/>
    <w:rsid w:val="001A3856"/>
    <w:rsid w:val="001A3E6C"/>
    <w:rsid w:val="001A7B98"/>
    <w:rsid w:val="001B3F7F"/>
    <w:rsid w:val="001B7228"/>
    <w:rsid w:val="001E7DFE"/>
    <w:rsid w:val="00201DD4"/>
    <w:rsid w:val="00206FA8"/>
    <w:rsid w:val="002133FD"/>
    <w:rsid w:val="0022311A"/>
    <w:rsid w:val="002234EE"/>
    <w:rsid w:val="002508B7"/>
    <w:rsid w:val="00251174"/>
    <w:rsid w:val="00252A0A"/>
    <w:rsid w:val="00292ADD"/>
    <w:rsid w:val="002932C1"/>
    <w:rsid w:val="002A5EB7"/>
    <w:rsid w:val="002A6A83"/>
    <w:rsid w:val="002A7922"/>
    <w:rsid w:val="002C06F9"/>
    <w:rsid w:val="002F2A18"/>
    <w:rsid w:val="00310008"/>
    <w:rsid w:val="00320361"/>
    <w:rsid w:val="00353EAE"/>
    <w:rsid w:val="00354C82"/>
    <w:rsid w:val="003802C7"/>
    <w:rsid w:val="00384960"/>
    <w:rsid w:val="00384EA0"/>
    <w:rsid w:val="00385427"/>
    <w:rsid w:val="00391DBF"/>
    <w:rsid w:val="003A764F"/>
    <w:rsid w:val="003B2B5C"/>
    <w:rsid w:val="003C71A2"/>
    <w:rsid w:val="003D7473"/>
    <w:rsid w:val="003E6E5A"/>
    <w:rsid w:val="00400926"/>
    <w:rsid w:val="0041572F"/>
    <w:rsid w:val="00417F30"/>
    <w:rsid w:val="004405F4"/>
    <w:rsid w:val="00441A3C"/>
    <w:rsid w:val="00447CEE"/>
    <w:rsid w:val="00464AB7"/>
    <w:rsid w:val="004830F0"/>
    <w:rsid w:val="004C6F67"/>
    <w:rsid w:val="004F0094"/>
    <w:rsid w:val="00502C08"/>
    <w:rsid w:val="00520CCA"/>
    <w:rsid w:val="00537DF0"/>
    <w:rsid w:val="00544C23"/>
    <w:rsid w:val="005637B1"/>
    <w:rsid w:val="005A47A7"/>
    <w:rsid w:val="005A60E3"/>
    <w:rsid w:val="005B0E61"/>
    <w:rsid w:val="005D24F2"/>
    <w:rsid w:val="005D588B"/>
    <w:rsid w:val="005D781E"/>
    <w:rsid w:val="005F0300"/>
    <w:rsid w:val="005F41AA"/>
    <w:rsid w:val="005F5348"/>
    <w:rsid w:val="006041AD"/>
    <w:rsid w:val="00621023"/>
    <w:rsid w:val="006537F3"/>
    <w:rsid w:val="00656347"/>
    <w:rsid w:val="0066613A"/>
    <w:rsid w:val="00666AAD"/>
    <w:rsid w:val="006715C6"/>
    <w:rsid w:val="00675EBA"/>
    <w:rsid w:val="006A2CF3"/>
    <w:rsid w:val="006B4C25"/>
    <w:rsid w:val="006C3811"/>
    <w:rsid w:val="006D73F2"/>
    <w:rsid w:val="006F0320"/>
    <w:rsid w:val="007020F2"/>
    <w:rsid w:val="00716C3B"/>
    <w:rsid w:val="007225B4"/>
    <w:rsid w:val="0072490E"/>
    <w:rsid w:val="0073035A"/>
    <w:rsid w:val="0073255C"/>
    <w:rsid w:val="0074170A"/>
    <w:rsid w:val="00743AA4"/>
    <w:rsid w:val="00754419"/>
    <w:rsid w:val="007574FF"/>
    <w:rsid w:val="0076459A"/>
    <w:rsid w:val="0076489F"/>
    <w:rsid w:val="00774403"/>
    <w:rsid w:val="00787BAA"/>
    <w:rsid w:val="007A19F2"/>
    <w:rsid w:val="007A6574"/>
    <w:rsid w:val="007B6580"/>
    <w:rsid w:val="008023B9"/>
    <w:rsid w:val="0080671A"/>
    <w:rsid w:val="008173AC"/>
    <w:rsid w:val="008224DC"/>
    <w:rsid w:val="0082622A"/>
    <w:rsid w:val="00843BC3"/>
    <w:rsid w:val="008461CC"/>
    <w:rsid w:val="00850DD7"/>
    <w:rsid w:val="00865D51"/>
    <w:rsid w:val="00876271"/>
    <w:rsid w:val="008771F6"/>
    <w:rsid w:val="00877470"/>
    <w:rsid w:val="00881CE2"/>
    <w:rsid w:val="00885A00"/>
    <w:rsid w:val="008A1EE5"/>
    <w:rsid w:val="008A449D"/>
    <w:rsid w:val="008C0948"/>
    <w:rsid w:val="008C7AE2"/>
    <w:rsid w:val="008D1672"/>
    <w:rsid w:val="008D292B"/>
    <w:rsid w:val="008E1CE9"/>
    <w:rsid w:val="0093199D"/>
    <w:rsid w:val="009328A8"/>
    <w:rsid w:val="00934CAE"/>
    <w:rsid w:val="00947E23"/>
    <w:rsid w:val="00967DDA"/>
    <w:rsid w:val="00986751"/>
    <w:rsid w:val="00995823"/>
    <w:rsid w:val="00996A2C"/>
    <w:rsid w:val="009A2F7A"/>
    <w:rsid w:val="009C1795"/>
    <w:rsid w:val="009C1D90"/>
    <w:rsid w:val="00A01873"/>
    <w:rsid w:val="00A0618D"/>
    <w:rsid w:val="00A1269C"/>
    <w:rsid w:val="00A661EF"/>
    <w:rsid w:val="00A73343"/>
    <w:rsid w:val="00A81398"/>
    <w:rsid w:val="00A85512"/>
    <w:rsid w:val="00AA082D"/>
    <w:rsid w:val="00AB6465"/>
    <w:rsid w:val="00AC10B4"/>
    <w:rsid w:val="00AE2556"/>
    <w:rsid w:val="00AF2BF1"/>
    <w:rsid w:val="00B0663A"/>
    <w:rsid w:val="00B24701"/>
    <w:rsid w:val="00B31AA4"/>
    <w:rsid w:val="00B4545A"/>
    <w:rsid w:val="00B55199"/>
    <w:rsid w:val="00B70250"/>
    <w:rsid w:val="00B77CDC"/>
    <w:rsid w:val="00B86074"/>
    <w:rsid w:val="00BA279A"/>
    <w:rsid w:val="00BA723C"/>
    <w:rsid w:val="00BB075E"/>
    <w:rsid w:val="00BC6372"/>
    <w:rsid w:val="00BD37AD"/>
    <w:rsid w:val="00BE25A7"/>
    <w:rsid w:val="00BF18F4"/>
    <w:rsid w:val="00C10703"/>
    <w:rsid w:val="00C329FA"/>
    <w:rsid w:val="00C37B89"/>
    <w:rsid w:val="00C40844"/>
    <w:rsid w:val="00C4141A"/>
    <w:rsid w:val="00C41EDC"/>
    <w:rsid w:val="00C540D8"/>
    <w:rsid w:val="00C70E70"/>
    <w:rsid w:val="00C7573F"/>
    <w:rsid w:val="00C81698"/>
    <w:rsid w:val="00CC1AF6"/>
    <w:rsid w:val="00CD0FE7"/>
    <w:rsid w:val="00CF7469"/>
    <w:rsid w:val="00D015B2"/>
    <w:rsid w:val="00D173BA"/>
    <w:rsid w:val="00D307C0"/>
    <w:rsid w:val="00D3185C"/>
    <w:rsid w:val="00D33522"/>
    <w:rsid w:val="00D533C7"/>
    <w:rsid w:val="00D54814"/>
    <w:rsid w:val="00D563B5"/>
    <w:rsid w:val="00D95041"/>
    <w:rsid w:val="00D96661"/>
    <w:rsid w:val="00D97C95"/>
    <w:rsid w:val="00DA7D9A"/>
    <w:rsid w:val="00DB11F7"/>
    <w:rsid w:val="00DB1724"/>
    <w:rsid w:val="00DB2799"/>
    <w:rsid w:val="00DC524D"/>
    <w:rsid w:val="00DD27F8"/>
    <w:rsid w:val="00DE61B3"/>
    <w:rsid w:val="00E002FF"/>
    <w:rsid w:val="00E045AB"/>
    <w:rsid w:val="00E26335"/>
    <w:rsid w:val="00E37234"/>
    <w:rsid w:val="00E40639"/>
    <w:rsid w:val="00E40A34"/>
    <w:rsid w:val="00E40BFA"/>
    <w:rsid w:val="00E73B1F"/>
    <w:rsid w:val="00E8586E"/>
    <w:rsid w:val="00E90DB4"/>
    <w:rsid w:val="00E91B02"/>
    <w:rsid w:val="00E946F6"/>
    <w:rsid w:val="00E95794"/>
    <w:rsid w:val="00E97E43"/>
    <w:rsid w:val="00EB1134"/>
    <w:rsid w:val="00ED6809"/>
    <w:rsid w:val="00EE0B32"/>
    <w:rsid w:val="00EE14B8"/>
    <w:rsid w:val="00EE3C51"/>
    <w:rsid w:val="00EE4498"/>
    <w:rsid w:val="00F031B3"/>
    <w:rsid w:val="00F0636E"/>
    <w:rsid w:val="00F15CA0"/>
    <w:rsid w:val="00F24B62"/>
    <w:rsid w:val="00F271E1"/>
    <w:rsid w:val="00F30BAC"/>
    <w:rsid w:val="00F33A14"/>
    <w:rsid w:val="00F552A8"/>
    <w:rsid w:val="00F60BC8"/>
    <w:rsid w:val="00F64722"/>
    <w:rsid w:val="00F72D56"/>
    <w:rsid w:val="00F7553A"/>
    <w:rsid w:val="00F75FC9"/>
    <w:rsid w:val="00F85C73"/>
    <w:rsid w:val="00F941AE"/>
    <w:rsid w:val="00FA2418"/>
    <w:rsid w:val="00FA4CBB"/>
    <w:rsid w:val="00FA5A4A"/>
    <w:rsid w:val="00FB1103"/>
    <w:rsid w:val="00FB156A"/>
    <w:rsid w:val="00FF2096"/>
    <w:rsid w:val="00FF329E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473"/>
  </w:style>
  <w:style w:type="paragraph" w:styleId="Zpat">
    <w:name w:val="footer"/>
    <w:basedOn w:val="Normln"/>
    <w:link w:val="ZpatChar"/>
    <w:uiPriority w:val="99"/>
    <w:unhideWhenUsed/>
    <w:rsid w:val="003D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473"/>
  </w:style>
  <w:style w:type="paragraph" w:styleId="Odstavecseseznamem">
    <w:name w:val="List Paragraph"/>
    <w:basedOn w:val="Normln"/>
    <w:uiPriority w:val="34"/>
    <w:qFormat/>
    <w:rsid w:val="003A76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DD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D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B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B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B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B1F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B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C1AF6"/>
    <w:pPr>
      <w:spacing w:after="0" w:line="240" w:lineRule="auto"/>
    </w:pPr>
  </w:style>
  <w:style w:type="character" w:customStyle="1" w:styleId="cpuname">
    <w:name w:val="cpuname"/>
    <w:basedOn w:val="Standardnpsmoodstavce"/>
    <w:rsid w:val="004C6F67"/>
  </w:style>
  <w:style w:type="character" w:styleId="Zstupntext">
    <w:name w:val="Placeholder Text"/>
    <w:basedOn w:val="Standardnpsmoodstavce"/>
    <w:uiPriority w:val="99"/>
    <w:semiHidden/>
    <w:rsid w:val="00FA4C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473"/>
  </w:style>
  <w:style w:type="paragraph" w:styleId="Zpat">
    <w:name w:val="footer"/>
    <w:basedOn w:val="Normln"/>
    <w:link w:val="ZpatChar"/>
    <w:uiPriority w:val="99"/>
    <w:unhideWhenUsed/>
    <w:rsid w:val="003D7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473"/>
  </w:style>
  <w:style w:type="paragraph" w:styleId="Odstavecseseznamem">
    <w:name w:val="List Paragraph"/>
    <w:basedOn w:val="Normln"/>
    <w:uiPriority w:val="34"/>
    <w:qFormat/>
    <w:rsid w:val="003A76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DD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D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B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B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B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B1F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B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C1AF6"/>
    <w:pPr>
      <w:spacing w:after="0" w:line="240" w:lineRule="auto"/>
    </w:pPr>
  </w:style>
  <w:style w:type="character" w:customStyle="1" w:styleId="cpuname">
    <w:name w:val="cpuname"/>
    <w:basedOn w:val="Standardnpsmoodstavce"/>
    <w:rsid w:val="004C6F67"/>
  </w:style>
  <w:style w:type="character" w:styleId="Zstupntext">
    <w:name w:val="Placeholder Text"/>
    <w:basedOn w:val="Standardnpsmoodstavce"/>
    <w:uiPriority w:val="99"/>
    <w:semiHidden/>
    <w:rsid w:val="00FA4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deocard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062CA-8665-4841-9E34-56C49266F9B7}"/>
      </w:docPartPr>
      <w:docPartBody>
        <w:p w:rsidR="00C67FDD" w:rsidRDefault="00F32709">
          <w:r w:rsidRPr="00B9032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2709"/>
    <w:rsid w:val="0050377D"/>
    <w:rsid w:val="00630C32"/>
    <w:rsid w:val="006C66AB"/>
    <w:rsid w:val="00952450"/>
    <w:rsid w:val="00C67FDD"/>
    <w:rsid w:val="00E46F91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27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490F-B735-46CF-BAA6-B30C5E0C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1284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KUKLA</dc:creator>
  <cp:lastModifiedBy>Jan Fančo</cp:lastModifiedBy>
  <cp:revision>20</cp:revision>
  <cp:lastPrinted>2018-07-27T08:51:00Z</cp:lastPrinted>
  <dcterms:created xsi:type="dcterms:W3CDTF">2018-09-07T13:20:00Z</dcterms:created>
  <dcterms:modified xsi:type="dcterms:W3CDTF">2018-09-17T12:13:00Z</dcterms:modified>
</cp:coreProperties>
</file>