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4C21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4C21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4C21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4C21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0F08DE" w:rsidRPr="00737B2B" w:rsidRDefault="004C21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4C21C8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783EE5">
        <w:rPr>
          <w:snapToGrid w:val="0"/>
          <w:sz w:val="18"/>
        </w:rPr>
        <w:t xml:space="preserve">Číslo </w:t>
      </w:r>
      <w:r w:rsidR="00DB577C" w:rsidRPr="00783EE5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C21490">
        <w:rPr>
          <w:bCs/>
          <w:smallCaps/>
          <w:snapToGrid w:val="0"/>
          <w:sz w:val="28"/>
          <w:szCs w:val="28"/>
        </w:rPr>
        <w:t>3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4C21C8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880B1D">
        <w:rPr>
          <w:b/>
          <w:snapToGrid w:val="0"/>
          <w:sz w:val="28"/>
          <w:szCs w:val="28"/>
        </w:rPr>
        <w:t>37</w:t>
      </w:r>
      <w:r w:rsidR="004C21C8">
        <w:rPr>
          <w:b/>
          <w:snapToGrid w:val="0"/>
          <w:sz w:val="28"/>
          <w:szCs w:val="28"/>
        </w:rPr>
        <w:t>0</w:t>
      </w:r>
      <w:r w:rsidR="008F536D">
        <w:rPr>
          <w:b/>
          <w:snapToGrid w:val="0"/>
          <w:sz w:val="28"/>
          <w:szCs w:val="28"/>
        </w:rPr>
        <w:t>/201</w:t>
      </w:r>
      <w:r w:rsidR="00880B1D">
        <w:rPr>
          <w:b/>
          <w:snapToGrid w:val="0"/>
          <w:sz w:val="28"/>
          <w:szCs w:val="28"/>
        </w:rPr>
        <w:t>7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83EE5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83EE5">
        <w:rPr>
          <w:rFonts w:ascii="Times New Roman" w:hAnsi="Times New Roman"/>
          <w:sz w:val="24"/>
          <w:szCs w:val="24"/>
        </w:rPr>
        <w:t>ust</w:t>
      </w:r>
      <w:proofErr w:type="spellEnd"/>
      <w:r w:rsidRPr="00783EE5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83EE5">
        <w:rPr>
          <w:rFonts w:ascii="Times New Roman" w:hAnsi="Times New Roman"/>
          <w:sz w:val="24"/>
          <w:szCs w:val="24"/>
        </w:rPr>
        <w:t>ZoPS</w:t>
      </w:r>
      <w:proofErr w:type="spellEnd"/>
      <w:r w:rsidRPr="00783EE5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7640DA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893AA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880B1D" w:rsidRPr="00DE2BC9" w:rsidRDefault="007C328F" w:rsidP="00880B1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80B1D">
        <w:rPr>
          <w:rFonts w:ascii="Times New Roman" w:hAnsi="Times New Roman"/>
          <w:b/>
          <w:snapToGrid w:val="0"/>
          <w:sz w:val="24"/>
        </w:rPr>
        <w:t>2.</w:t>
      </w:r>
      <w:r w:rsidRPr="00880B1D">
        <w:rPr>
          <w:rFonts w:ascii="Times New Roman" w:hAnsi="Times New Roman"/>
          <w:b/>
          <w:snapToGrid w:val="0"/>
          <w:sz w:val="24"/>
        </w:rPr>
        <w:tab/>
      </w:r>
      <w:r w:rsidRPr="00880B1D">
        <w:rPr>
          <w:rFonts w:ascii="Times New Roman" w:hAnsi="Times New Roman"/>
          <w:snapToGrid w:val="0"/>
          <w:sz w:val="24"/>
        </w:rPr>
        <w:t>ID:</w:t>
      </w:r>
      <w:r w:rsidRPr="007C328F">
        <w:rPr>
          <w:snapToGrid w:val="0"/>
          <w:sz w:val="24"/>
        </w:rPr>
        <w:t xml:space="preserve"> </w:t>
      </w:r>
      <w:r w:rsidR="004C21C8">
        <w:rPr>
          <w:rFonts w:ascii="Times New Roman" w:hAnsi="Times New Roman"/>
          <w:snapToGrid w:val="0"/>
          <w:sz w:val="24"/>
        </w:rPr>
        <w:t>377395001</w:t>
      </w:r>
    </w:p>
    <w:p w:rsidR="004C21C8" w:rsidRPr="00206D3F" w:rsidRDefault="004C21C8" w:rsidP="004C21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C349D">
        <w:rPr>
          <w:rFonts w:ascii="Times New Roman" w:hAnsi="Times New Roman"/>
          <w:b/>
          <w:snapToGrid w:val="0"/>
          <w:sz w:val="24"/>
        </w:rPr>
        <w:t>BIDLI energie, a.s.</w:t>
      </w:r>
    </w:p>
    <w:p w:rsidR="004C21C8" w:rsidRDefault="004C21C8" w:rsidP="004C21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Jindřišská 889/17, Nové Město, 110 00 Praha 1</w:t>
      </w:r>
    </w:p>
    <w:p w:rsidR="004C21C8" w:rsidRDefault="004C21C8" w:rsidP="004C21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Ing. Jiřím </w:t>
      </w:r>
      <w:proofErr w:type="spellStart"/>
      <w:r>
        <w:rPr>
          <w:rFonts w:ascii="Times New Roman" w:hAnsi="Times New Roman"/>
          <w:snapToGrid w:val="0"/>
          <w:sz w:val="24"/>
        </w:rPr>
        <w:t>Lejnarem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:rsidR="004C21C8" w:rsidRDefault="004C21C8" w:rsidP="004C21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06303684</w:t>
      </w:r>
    </w:p>
    <w:p w:rsidR="004C21C8" w:rsidRDefault="004C21C8" w:rsidP="004C21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06303684</w:t>
      </w:r>
    </w:p>
    <w:p w:rsidR="004C21C8" w:rsidRDefault="004C21C8" w:rsidP="004C21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soudem v Praze, oddíl B, vložka 22723</w:t>
      </w:r>
    </w:p>
    <w:p w:rsidR="004C21C8" w:rsidRPr="002D1185" w:rsidRDefault="004C21C8" w:rsidP="004C21C8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4C21C8" w:rsidRPr="002D1185" w:rsidRDefault="004C21C8" w:rsidP="004C21C8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893AA7">
        <w:rPr>
          <w:rFonts w:ascii="Times New Roman" w:hAnsi="Times New Roman"/>
          <w:b/>
          <w:snapToGrid w:val="0"/>
          <w:sz w:val="24"/>
        </w:rPr>
        <w:t>xxx</w:t>
      </w:r>
      <w:bookmarkStart w:id="0" w:name="_GoBack"/>
      <w:bookmarkEnd w:id="0"/>
    </w:p>
    <w:p w:rsidR="004C21C8" w:rsidRDefault="004C21C8" w:rsidP="004C21C8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4C21C8" w:rsidRDefault="004C21C8" w:rsidP="004C21C8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4E0645" w:rsidRPr="007C328F" w:rsidRDefault="004E0645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767DFA">
      <w:pPr>
        <w:pStyle w:val="Codstavec"/>
        <w:numPr>
          <w:ilvl w:val="0"/>
          <w:numId w:val="26"/>
        </w:numPr>
        <w:tabs>
          <w:tab w:val="left" w:pos="5670"/>
        </w:tabs>
        <w:spacing w:before="360"/>
        <w:ind w:left="426" w:right="204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4C21C8">
        <w:rPr>
          <w:rFonts w:ascii="Times New Roman" w:hAnsi="Times New Roman"/>
          <w:b/>
          <w:sz w:val="24"/>
        </w:rPr>
        <w:t>23</w:t>
      </w:r>
      <w:r w:rsidR="007C328F">
        <w:rPr>
          <w:rFonts w:ascii="Times New Roman" w:hAnsi="Times New Roman"/>
          <w:b/>
          <w:sz w:val="24"/>
        </w:rPr>
        <w:t>.</w:t>
      </w:r>
      <w:r w:rsidR="00A52CAF">
        <w:rPr>
          <w:rFonts w:ascii="Times New Roman" w:hAnsi="Times New Roman"/>
          <w:b/>
          <w:sz w:val="24"/>
        </w:rPr>
        <w:t>1</w:t>
      </w:r>
      <w:r w:rsidR="004C21C8">
        <w:rPr>
          <w:rFonts w:ascii="Times New Roman" w:hAnsi="Times New Roman"/>
          <w:b/>
          <w:sz w:val="24"/>
        </w:rPr>
        <w:t>0</w:t>
      </w:r>
      <w:r w:rsidR="008F536D">
        <w:rPr>
          <w:rFonts w:ascii="Times New Roman" w:hAnsi="Times New Roman"/>
          <w:b/>
          <w:sz w:val="24"/>
        </w:rPr>
        <w:t>.201</w:t>
      </w:r>
      <w:r w:rsidR="004C21C8">
        <w:rPr>
          <w:rFonts w:ascii="Times New Roman" w:hAnsi="Times New Roman"/>
          <w:b/>
          <w:sz w:val="24"/>
        </w:rPr>
        <w:t>7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C21C8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4C21C8">
        <w:rPr>
          <w:rFonts w:ascii="Times New Roman" w:hAnsi="Times New Roman"/>
          <w:b/>
          <w:snapToGrid w:val="0"/>
          <w:sz w:val="24"/>
          <w:szCs w:val="24"/>
        </w:rPr>
        <w:t>370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880B1D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767DFA" w:rsidRDefault="00767DFA" w:rsidP="00767DFA">
      <w:pPr>
        <w:pStyle w:val="Codstavec"/>
        <w:tabs>
          <w:tab w:val="left" w:pos="426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</w:t>
      </w:r>
      <w:r w:rsidR="00C21490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. </w:t>
      </w:r>
      <w:r w:rsidR="00C21490">
        <w:rPr>
          <w:rFonts w:ascii="Times New Roman" w:hAnsi="Times New Roman"/>
          <w:b/>
          <w:sz w:val="24"/>
        </w:rPr>
        <w:t>Převody plateb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</w:t>
      </w:r>
      <w:r w:rsidR="00C21490">
        <w:rPr>
          <w:rFonts w:ascii="Times New Roman" w:hAnsi="Times New Roman"/>
          <w:b/>
          <w:sz w:val="24"/>
        </w:rPr>
        <w:t>3.1</w:t>
      </w:r>
      <w:r>
        <w:rPr>
          <w:rFonts w:ascii="Times New Roman" w:hAnsi="Times New Roman"/>
          <w:b/>
          <w:sz w:val="24"/>
        </w:rPr>
        <w:t xml:space="preserve">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>se ruší</w:t>
      </w:r>
      <w:r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C21490" w:rsidRPr="003216A6" w:rsidRDefault="00C21490" w:rsidP="00C21490">
      <w:pPr>
        <w:pStyle w:val="Codstavec"/>
        <w:numPr>
          <w:ilvl w:val="1"/>
          <w:numId w:val="17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3216A6">
        <w:rPr>
          <w:rFonts w:ascii="Times New Roman" w:hAnsi="Times New Roman"/>
          <w:color w:val="3366FF"/>
          <w:sz w:val="24"/>
        </w:rPr>
        <w:t xml:space="preserve"> </w:t>
      </w:r>
      <w:r w:rsidRPr="003216A6">
        <w:rPr>
          <w:rFonts w:ascii="Times New Roman" w:hAnsi="Times New Roman"/>
          <w:b/>
          <w:sz w:val="24"/>
        </w:rPr>
        <w:t>denním odúčtováním</w:t>
      </w:r>
      <w:r w:rsidRPr="003216A6">
        <w:rPr>
          <w:rFonts w:ascii="Times New Roman" w:hAnsi="Times New Roman"/>
          <w:sz w:val="24"/>
        </w:rPr>
        <w:t xml:space="preserve"> do pěti pracovních dnů po vyinkasování od plátců na poště či bezhotovostním převodem od bank. </w:t>
      </w:r>
    </w:p>
    <w:p w:rsidR="00C21490" w:rsidRPr="00556062" w:rsidRDefault="00C21490" w:rsidP="00C21490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C21490" w:rsidRPr="00DE2BC9" w:rsidRDefault="00C21490" w:rsidP="00C21490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C21490" w:rsidRPr="00DE2BC9" w:rsidRDefault="00C21490" w:rsidP="00C21490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C21490" w:rsidRPr="00DE2BC9" w:rsidRDefault="00C21490" w:rsidP="00C21490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767DFA" w:rsidRDefault="00767DFA" w:rsidP="00C21490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C74939">
        <w:rPr>
          <w:rFonts w:ascii="Times New Roman" w:hAnsi="Times New Roman"/>
          <w:b/>
          <w:sz w:val="24"/>
        </w:rPr>
        <w:t>.</w:t>
      </w:r>
      <w:r w:rsidRPr="00C74939"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 xml:space="preserve">čl. </w:t>
      </w:r>
      <w:r w:rsidR="00C21490">
        <w:rPr>
          <w:rFonts w:ascii="Times New Roman" w:hAnsi="Times New Roman"/>
          <w:b/>
          <w:sz w:val="24"/>
        </w:rPr>
        <w:t>III. Převody plateb</w:t>
      </w:r>
      <w:r w:rsidR="00C21490" w:rsidRPr="002D570B">
        <w:rPr>
          <w:rFonts w:ascii="Times New Roman" w:hAnsi="Times New Roman"/>
          <w:b/>
          <w:sz w:val="24"/>
        </w:rPr>
        <w:t xml:space="preserve">, </w:t>
      </w:r>
      <w:r w:rsidR="00C21490">
        <w:rPr>
          <w:rFonts w:ascii="Times New Roman" w:hAnsi="Times New Roman"/>
          <w:b/>
          <w:sz w:val="24"/>
        </w:rPr>
        <w:t>odst. 3.1</w:t>
      </w:r>
      <w:r>
        <w:rPr>
          <w:rFonts w:ascii="Times New Roman" w:hAnsi="Times New Roman"/>
          <w:b/>
          <w:sz w:val="24"/>
        </w:rPr>
        <w:t xml:space="preserve">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 </w:t>
      </w:r>
      <w:r>
        <w:rPr>
          <w:rFonts w:ascii="Times New Roman" w:hAnsi="Times New Roman"/>
          <w:b/>
          <w:sz w:val="24"/>
        </w:rPr>
        <w:t xml:space="preserve">novém </w:t>
      </w:r>
      <w:r w:rsidRPr="002D570B">
        <w:rPr>
          <w:rFonts w:ascii="Times New Roman" w:hAnsi="Times New Roman"/>
          <w:b/>
          <w:sz w:val="24"/>
        </w:rPr>
        <w:t>znění:</w:t>
      </w:r>
    </w:p>
    <w:p w:rsidR="00C21490" w:rsidRPr="00C21490" w:rsidRDefault="00C21490" w:rsidP="00C21490">
      <w:pPr>
        <w:pStyle w:val="Codstavec"/>
        <w:numPr>
          <w:ilvl w:val="1"/>
          <w:numId w:val="31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</w:t>
      </w:r>
      <w:r>
        <w:rPr>
          <w:rFonts w:ascii="Times New Roman" w:hAnsi="Times New Roman"/>
          <w:sz w:val="24"/>
        </w:rPr>
        <w:t>í od plátců vyinkasované platby</w:t>
      </w:r>
      <w:r w:rsidRPr="00C21490">
        <w:rPr>
          <w:rFonts w:ascii="Times New Roman" w:hAnsi="Times New Roman"/>
          <w:sz w:val="24"/>
        </w:rPr>
        <w:t xml:space="preserve"> úhrnem vybraných plateb</w:t>
      </w:r>
      <w:r w:rsidRPr="00C21490">
        <w:rPr>
          <w:rFonts w:ascii="Times New Roman" w:hAnsi="Times New Roman"/>
          <w:b/>
          <w:sz w:val="24"/>
        </w:rPr>
        <w:t xml:space="preserve">, </w:t>
      </w:r>
      <w:r w:rsidRPr="00C21490">
        <w:rPr>
          <w:rFonts w:ascii="Times New Roman" w:hAnsi="Times New Roman"/>
          <w:sz w:val="24"/>
        </w:rPr>
        <w:t xml:space="preserve">a to </w:t>
      </w:r>
      <w:r w:rsidRPr="00C21490">
        <w:rPr>
          <w:rFonts w:ascii="Times New Roman" w:hAnsi="Times New Roman"/>
          <w:b/>
          <w:sz w:val="24"/>
        </w:rPr>
        <w:t>k 20. dni daného měsíce a doúčtování</w:t>
      </w:r>
      <w:r w:rsidRPr="00C21490">
        <w:rPr>
          <w:rFonts w:ascii="Times New Roman" w:hAnsi="Times New Roman"/>
          <w:sz w:val="24"/>
        </w:rPr>
        <w:t xml:space="preserve"> do 8. kalendářního dne následujícího měsíce. </w:t>
      </w:r>
    </w:p>
    <w:p w:rsidR="00C21490" w:rsidRPr="00556062" w:rsidRDefault="00C21490" w:rsidP="00C21490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C21490" w:rsidRDefault="00C21490" w:rsidP="00C21490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</w:p>
    <w:p w:rsidR="00C21490" w:rsidRPr="00DE2BC9" w:rsidRDefault="00C21490" w:rsidP="00C21490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specifický symbol: --</w:t>
      </w:r>
    </w:p>
    <w:p w:rsidR="00C21490" w:rsidRPr="00DE2BC9" w:rsidRDefault="00C21490" w:rsidP="00C21490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404EBD" w:rsidRPr="00C21490" w:rsidRDefault="00C21490" w:rsidP="00C21490">
      <w:pPr>
        <w:pStyle w:val="Codstavec"/>
        <w:spacing w:before="120"/>
        <w:ind w:left="709" w:firstLine="0"/>
        <w:jc w:val="both"/>
        <w:rPr>
          <w:rStyle w:val="Hypertextovodkaz"/>
          <w:rFonts w:ascii="Times New Roman" w:hAnsi="Times New Roman"/>
          <w:snapToGrid w:val="0"/>
          <w:color w:val="auto"/>
          <w:sz w:val="24"/>
          <w:u w:val="none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Sb., </w:t>
      </w:r>
      <w:r w:rsidRPr="001B7060">
        <w:rPr>
          <w:rFonts w:ascii="Times New Roman" w:hAnsi="Times New Roman"/>
          <w:sz w:val="24"/>
        </w:rPr>
        <w:t>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</w:t>
      </w:r>
      <w:r>
        <w:rPr>
          <w:rFonts w:ascii="Times New Roman" w:hAnsi="Times New Roman"/>
          <w:sz w:val="24"/>
        </w:rPr>
        <w:t xml:space="preserve"> </w:t>
      </w:r>
      <w:r w:rsidRPr="00B25FEB">
        <w:rPr>
          <w:rStyle w:val="upd"/>
          <w:rFonts w:ascii="Times New Roman" w:hAnsi="Times New Roman"/>
          <w:bCs/>
          <w:sz w:val="24"/>
          <w:szCs w:val="24"/>
        </w:rPr>
        <w:t xml:space="preserve">a evidence </w:t>
      </w:r>
      <w:proofErr w:type="spellStart"/>
      <w:r w:rsidRPr="00B25FEB">
        <w:rPr>
          <w:rStyle w:val="upd"/>
          <w:rFonts w:ascii="Times New Roman" w:hAnsi="Times New Roman"/>
          <w:bCs/>
          <w:sz w:val="24"/>
          <w:szCs w:val="24"/>
        </w:rPr>
        <w:t>svěřenských</w:t>
      </w:r>
      <w:proofErr w:type="spellEnd"/>
      <w:r w:rsidRPr="00B25FEB">
        <w:rPr>
          <w:rStyle w:val="upd"/>
          <w:rFonts w:ascii="Times New Roman" w:hAnsi="Times New Roman"/>
          <w:bCs/>
          <w:sz w:val="24"/>
          <w:szCs w:val="24"/>
        </w:rPr>
        <w:t xml:space="preserve"> fondů a evidence údajů o skutečných majitelích</w:t>
      </w:r>
      <w:r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F663E7" w:rsidRPr="00DB577C" w:rsidRDefault="00C21490" w:rsidP="00C2149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a účinnosti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C21490" w:rsidP="00C2149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C21490" w:rsidP="00767DFA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7E6B9F">
        <w:rPr>
          <w:rFonts w:ascii="Times New Roman" w:hAnsi="Times New Roman"/>
          <w:sz w:val="24"/>
        </w:rPr>
        <w:t>V</w:t>
      </w:r>
      <w:r w:rsidR="00880B1D">
        <w:rPr>
          <w:rFonts w:ascii="Times New Roman" w:hAnsi="Times New Roman"/>
          <w:sz w:val="24"/>
        </w:rPr>
        <w:t> </w:t>
      </w:r>
      <w:r w:rsidR="004C21C8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4C21C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4C21C8">
        <w:rPr>
          <w:rFonts w:ascii="Times New Roman" w:hAnsi="Times New Roman"/>
          <w:snapToGrid w:val="0"/>
          <w:sz w:val="24"/>
        </w:rPr>
        <w:t xml:space="preserve">Ing. Jiří </w:t>
      </w:r>
      <w:proofErr w:type="spellStart"/>
      <w:r w:rsidR="004C21C8">
        <w:rPr>
          <w:rFonts w:ascii="Times New Roman" w:hAnsi="Times New Roman"/>
          <w:snapToGrid w:val="0"/>
          <w:sz w:val="24"/>
        </w:rPr>
        <w:t>Lejnar</w:t>
      </w:r>
      <w:proofErr w:type="spellEnd"/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EE0B2B">
        <w:rPr>
          <w:rFonts w:ascii="Times New Roman" w:hAnsi="Times New Roman"/>
          <w:snapToGrid w:val="0"/>
          <w:sz w:val="24"/>
        </w:rPr>
        <w:t>předseda představenstva</w:t>
      </w:r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EF0FD7" w:rsidSect="006814DF">
      <w:footerReference w:type="default" r:id="rId8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4C21C8">
      <w:rPr>
        <w:sz w:val="16"/>
      </w:rPr>
      <w:t>1</w:t>
    </w:r>
    <w:proofErr w:type="gramEnd"/>
    <w:r w:rsidR="002F71B9">
      <w:rPr>
        <w:sz w:val="16"/>
      </w:rPr>
      <w:t xml:space="preserve"> –</w:t>
    </w:r>
    <w:proofErr w:type="gramStart"/>
    <w:r w:rsidR="00880B1D">
      <w:rPr>
        <w:sz w:val="16"/>
      </w:rPr>
      <w:t>37</w:t>
    </w:r>
    <w:r w:rsidR="004C21C8">
      <w:rPr>
        <w:sz w:val="16"/>
      </w:rPr>
      <w:t>0</w:t>
    </w:r>
    <w:r w:rsidR="008F536D">
      <w:rPr>
        <w:sz w:val="16"/>
      </w:rPr>
      <w:t>/201</w:t>
    </w:r>
    <w:r w:rsidR="00880B1D">
      <w:rPr>
        <w:sz w:val="16"/>
      </w:rPr>
      <w:t>7</w:t>
    </w:r>
    <w:proofErr w:type="gramEnd"/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893AA7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C21490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8F4F7E"/>
    <w:multiLevelType w:val="multilevel"/>
    <w:tmpl w:val="B5365C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EF7EFE"/>
    <w:multiLevelType w:val="hybridMultilevel"/>
    <w:tmpl w:val="C0B4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6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5A049E3"/>
    <w:multiLevelType w:val="multilevel"/>
    <w:tmpl w:val="A2BEF6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AC1702"/>
    <w:multiLevelType w:val="multilevel"/>
    <w:tmpl w:val="CC0A16E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4F6F100C"/>
    <w:multiLevelType w:val="multilevel"/>
    <w:tmpl w:val="AEF230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8493A06"/>
    <w:multiLevelType w:val="multilevel"/>
    <w:tmpl w:val="63C281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5E126FA"/>
    <w:multiLevelType w:val="multilevel"/>
    <w:tmpl w:val="2304A2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85C6964"/>
    <w:multiLevelType w:val="multilevel"/>
    <w:tmpl w:val="E2706C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2D073FF"/>
    <w:multiLevelType w:val="multilevel"/>
    <w:tmpl w:val="788C26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7C82513F"/>
    <w:multiLevelType w:val="multilevel"/>
    <w:tmpl w:val="2F0C31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0"/>
  </w:num>
  <w:num w:numId="5">
    <w:abstractNumId w:val="5"/>
  </w:num>
  <w:num w:numId="6">
    <w:abstractNumId w:val="18"/>
  </w:num>
  <w:num w:numId="7">
    <w:abstractNumId w:val="4"/>
  </w:num>
  <w:num w:numId="8">
    <w:abstractNumId w:val="11"/>
  </w:num>
  <w:num w:numId="9">
    <w:abstractNumId w:val="1"/>
  </w:num>
  <w:num w:numId="10">
    <w:abstractNumId w:val="16"/>
  </w:num>
  <w:num w:numId="11">
    <w:abstractNumId w:val="14"/>
  </w:num>
  <w:num w:numId="12">
    <w:abstractNumId w:val="30"/>
  </w:num>
  <w:num w:numId="13">
    <w:abstractNumId w:val="6"/>
  </w:num>
  <w:num w:numId="14">
    <w:abstractNumId w:val="22"/>
  </w:num>
  <w:num w:numId="15">
    <w:abstractNumId w:val="13"/>
  </w:num>
  <w:num w:numId="16">
    <w:abstractNumId w:val="9"/>
  </w:num>
  <w:num w:numId="17">
    <w:abstractNumId w:val="2"/>
  </w:num>
  <w:num w:numId="18">
    <w:abstractNumId w:val="29"/>
  </w:num>
  <w:num w:numId="19">
    <w:abstractNumId w:val="3"/>
  </w:num>
  <w:num w:numId="20">
    <w:abstractNumId w:val="12"/>
  </w:num>
  <w:num w:numId="21">
    <w:abstractNumId w:val="27"/>
  </w:num>
  <w:num w:numId="22">
    <w:abstractNumId w:val="28"/>
  </w:num>
  <w:num w:numId="23">
    <w:abstractNumId w:val="20"/>
  </w:num>
  <w:num w:numId="24">
    <w:abstractNumId w:val="21"/>
  </w:num>
  <w:num w:numId="25">
    <w:abstractNumId w:val="8"/>
  </w:num>
  <w:num w:numId="26">
    <w:abstractNumId w:val="10"/>
  </w:num>
  <w:num w:numId="27">
    <w:abstractNumId w:val="26"/>
  </w:num>
  <w:num w:numId="28">
    <w:abstractNumId w:val="24"/>
  </w:num>
  <w:num w:numId="29">
    <w:abstractNumId w:val="17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84FF5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0FFA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9DA"/>
    <w:rsid w:val="003353A3"/>
    <w:rsid w:val="003432E3"/>
    <w:rsid w:val="00352A2E"/>
    <w:rsid w:val="0035774F"/>
    <w:rsid w:val="00366124"/>
    <w:rsid w:val="00374322"/>
    <w:rsid w:val="0037561D"/>
    <w:rsid w:val="003A3567"/>
    <w:rsid w:val="003A73D8"/>
    <w:rsid w:val="003A7784"/>
    <w:rsid w:val="003A79AB"/>
    <w:rsid w:val="003B2FC7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4EBD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21C8"/>
    <w:rsid w:val="004C52DB"/>
    <w:rsid w:val="004C7256"/>
    <w:rsid w:val="004D0505"/>
    <w:rsid w:val="004E0401"/>
    <w:rsid w:val="004E0645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37AD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B7082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7E5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67DFA"/>
    <w:rsid w:val="007737FB"/>
    <w:rsid w:val="00781E97"/>
    <w:rsid w:val="00783EE5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7E6B9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0B1D"/>
    <w:rsid w:val="00884C02"/>
    <w:rsid w:val="00890EF1"/>
    <w:rsid w:val="00891078"/>
    <w:rsid w:val="00892891"/>
    <w:rsid w:val="00893AA7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31E9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B3428"/>
    <w:rsid w:val="009E009E"/>
    <w:rsid w:val="009E1CA3"/>
    <w:rsid w:val="00A0749D"/>
    <w:rsid w:val="00A14B15"/>
    <w:rsid w:val="00A16CE3"/>
    <w:rsid w:val="00A17803"/>
    <w:rsid w:val="00A32FFD"/>
    <w:rsid w:val="00A52CAF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B79ED"/>
    <w:rsid w:val="00AC10B7"/>
    <w:rsid w:val="00AC1E55"/>
    <w:rsid w:val="00AD187F"/>
    <w:rsid w:val="00AD4E7B"/>
    <w:rsid w:val="00AD59E3"/>
    <w:rsid w:val="00AD7EDC"/>
    <w:rsid w:val="00AE0CF2"/>
    <w:rsid w:val="00AE6C79"/>
    <w:rsid w:val="00AE6DEE"/>
    <w:rsid w:val="00AF27D8"/>
    <w:rsid w:val="00B01B9F"/>
    <w:rsid w:val="00B03B48"/>
    <w:rsid w:val="00B12E1B"/>
    <w:rsid w:val="00B21968"/>
    <w:rsid w:val="00B32AF1"/>
    <w:rsid w:val="00B36316"/>
    <w:rsid w:val="00B42576"/>
    <w:rsid w:val="00B44940"/>
    <w:rsid w:val="00B44992"/>
    <w:rsid w:val="00B5266E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1490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2E9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D3843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E0B2B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upd">
    <w:name w:val="upd"/>
    <w:basedOn w:val="Standardnpsmoodstavce"/>
    <w:rsid w:val="00C21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upd">
    <w:name w:val="upd"/>
    <w:basedOn w:val="Standardnpsmoodstavce"/>
    <w:rsid w:val="00C2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627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4</cp:revision>
  <cp:lastPrinted>2018-07-18T09:21:00Z</cp:lastPrinted>
  <dcterms:created xsi:type="dcterms:W3CDTF">2018-09-06T12:30:00Z</dcterms:created>
  <dcterms:modified xsi:type="dcterms:W3CDTF">2018-09-20T08:53:00Z</dcterms:modified>
</cp:coreProperties>
</file>