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Pr="004C4795" w:rsidRDefault="00AB71C0" w:rsidP="004C4795">
      <w:pPr>
        <w:pStyle w:val="Nadpis1"/>
        <w:jc w:val="right"/>
        <w:rPr>
          <w:rFonts w:ascii="Arial" w:hAnsi="Arial" w:cs="Arial"/>
          <w:b w:val="0"/>
          <w:sz w:val="20"/>
        </w:rPr>
      </w:pPr>
      <w:r w:rsidRPr="003D28FC">
        <w:rPr>
          <w:rFonts w:ascii="Arial" w:hAnsi="Arial" w:cs="Arial"/>
          <w:b w:val="0"/>
          <w:sz w:val="20"/>
        </w:rPr>
        <w:t>č.</w:t>
      </w:r>
      <w:r>
        <w:rPr>
          <w:rFonts w:ascii="Arial" w:hAnsi="Arial" w:cs="Arial"/>
          <w:b w:val="0"/>
          <w:sz w:val="20"/>
        </w:rPr>
        <w:t xml:space="preserve"> sml. </w:t>
      </w:r>
      <w:r w:rsidRPr="007D1E09">
        <w:rPr>
          <w:rFonts w:ascii="Arial" w:hAnsi="Arial" w:cs="Arial"/>
          <w:b w:val="0"/>
          <w:sz w:val="20"/>
        </w:rPr>
        <w:t>57123_1/BVB</w:t>
      </w:r>
    </w:p>
    <w:p w:rsidR="00D70C3A" w:rsidRPr="004C4795" w:rsidRDefault="00D13F5D" w:rsidP="005D5BB8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F24">
        <w:t xml:space="preserve">   </w:t>
      </w:r>
      <w:r w:rsidR="00123F24" w:rsidRPr="00EA7C1F">
        <w:rPr>
          <w:rFonts w:ascii="Arial" w:hAnsi="Arial" w:cs="Arial"/>
        </w:rPr>
        <w:t>OSM</w:t>
      </w:r>
      <w:r w:rsidR="00EA7C1F">
        <w:rPr>
          <w:rFonts w:ascii="Arial" w:hAnsi="Arial" w:cs="Arial"/>
        </w:rPr>
        <w:t>/00163/2018/SOB</w:t>
      </w:r>
      <w:r w:rsidRPr="00123F24">
        <w:rPr>
          <w:rFonts w:ascii="Arial" w:hAnsi="Arial" w:cs="Arial"/>
          <w:b/>
        </w:rPr>
        <w:t xml:space="preserve">                                       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</w:rPr>
      </w:pPr>
      <w:r w:rsidRPr="00FA0D4D">
        <w:rPr>
          <w:rFonts w:ascii="Arial" w:hAnsi="Arial" w:cs="Arial"/>
        </w:rPr>
        <w:t>SMLOUVA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FA0D4D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572C55" w:rsidRDefault="00D70C3A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>
        <w:rPr>
          <w:rFonts w:ascii="Arial" w:hAnsi="Arial" w:cs="Arial"/>
        </w:rPr>
        <w:t>na č. 89/2012 Sb., občanský zákoník, ve znění pozdějších předpisů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1F3DC6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1F3DC6">
        <w:rPr>
          <w:rFonts w:ascii="Arial" w:hAnsi="Arial" w:cs="Arial"/>
          <w:b/>
        </w:rPr>
        <w:t>město Chrudim</w:t>
      </w:r>
    </w:p>
    <w:p w:rsidR="00D70C3A" w:rsidRPr="00564736" w:rsidRDefault="00D70C3A" w:rsidP="00FC02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Resselovo náměstí 77, 537 16 </w:t>
      </w:r>
      <w:r w:rsidRPr="001F3DC6">
        <w:rPr>
          <w:rFonts w:ascii="Arial" w:hAnsi="Arial" w:cs="Arial"/>
        </w:rPr>
        <w:t xml:space="preserve">Chrudim </w:t>
      </w:r>
    </w:p>
    <w:p w:rsidR="00D70C3A" w:rsidRPr="001F3DC6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F3DC6">
        <w:rPr>
          <w:rFonts w:ascii="Arial" w:hAnsi="Arial" w:cs="Arial"/>
        </w:rPr>
        <w:t xml:space="preserve">: 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00270211</w:t>
      </w:r>
    </w:p>
    <w:p w:rsidR="00D70C3A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DIČ: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GasNet,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624D9C">
        <w:rPr>
          <w:rFonts w:ascii="Arial" w:hAnsi="Arial" w:cs="Arial"/>
        </w:rPr>
        <w:t>Klíšská 940/96, Klíše,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GridServices,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D70C3A" w:rsidRDefault="00D70C3A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:rsidR="00D70C3A" w:rsidRDefault="00D70C3A" w:rsidP="00B81659">
      <w:pPr>
        <w:jc w:val="both"/>
        <w:rPr>
          <w:rFonts w:ascii="Arial" w:hAnsi="Arial" w:cs="Arial"/>
        </w:rPr>
      </w:pPr>
    </w:p>
    <w:p w:rsidR="00152153" w:rsidRDefault="00152153" w:rsidP="00B81659">
      <w:pPr>
        <w:jc w:val="both"/>
        <w:rPr>
          <w:rFonts w:ascii="Arial" w:hAnsi="Arial" w:cs="Arial"/>
        </w:rPr>
      </w:pPr>
    </w:p>
    <w:p w:rsidR="00152153" w:rsidRDefault="00152153" w:rsidP="00B81659">
      <w:pPr>
        <w:jc w:val="both"/>
        <w:rPr>
          <w:rFonts w:ascii="Arial" w:hAnsi="Arial" w:cs="Arial"/>
        </w:rPr>
      </w:pPr>
    </w:p>
    <w:p w:rsidR="00152153" w:rsidRDefault="00152153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D70C3A" w:rsidRPr="00BB216A" w:rsidRDefault="00AB71C0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 xml:space="preserve">pozemků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130/4,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568/35,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568/40,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2701/3,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2725/10,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2725/19,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2725/21,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2956/7,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2956/9,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2956/10,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2956/11, </w:t>
      </w:r>
      <w:r w:rsidR="00D626D8" w:rsidRPr="00EB3D47">
        <w:rPr>
          <w:rFonts w:ascii="Arial" w:hAnsi="Arial" w:cs="Arial"/>
        </w:rPr>
        <w:t xml:space="preserve">parc. č. </w:t>
      </w:r>
      <w:r w:rsidR="00D626D8" w:rsidRPr="00EB3D47">
        <w:rPr>
          <w:rFonts w:ascii="Arial" w:hAnsi="Arial" w:cs="Arial"/>
          <w:noProof/>
        </w:rPr>
        <w:t>2</w:t>
      </w:r>
      <w:r w:rsidR="00D626D8">
        <w:rPr>
          <w:rFonts w:ascii="Arial" w:hAnsi="Arial" w:cs="Arial"/>
          <w:noProof/>
        </w:rPr>
        <w:t>725</w:t>
      </w:r>
      <w:r w:rsidR="00D626D8" w:rsidRPr="00EB3D47">
        <w:rPr>
          <w:rFonts w:ascii="Arial" w:hAnsi="Arial" w:cs="Arial"/>
          <w:noProof/>
        </w:rPr>
        <w:t>/</w:t>
      </w:r>
      <w:r w:rsidR="00D626D8">
        <w:rPr>
          <w:rFonts w:ascii="Arial" w:hAnsi="Arial" w:cs="Arial"/>
          <w:noProof/>
        </w:rPr>
        <w:t>4</w:t>
      </w:r>
      <w:r w:rsidR="00D626D8" w:rsidRPr="00EB3D47">
        <w:rPr>
          <w:rFonts w:ascii="Arial" w:hAnsi="Arial" w:cs="Arial"/>
          <w:noProof/>
        </w:rPr>
        <w:t>,</w:t>
      </w:r>
      <w:r w:rsidR="00D626D8">
        <w:rPr>
          <w:rFonts w:ascii="Arial" w:hAnsi="Arial" w:cs="Arial"/>
          <w:noProof/>
        </w:rPr>
        <w:t xml:space="preserve"> </w:t>
      </w:r>
      <w:r w:rsidR="00D626D8" w:rsidRPr="00EB3D47">
        <w:rPr>
          <w:rFonts w:ascii="Arial" w:hAnsi="Arial" w:cs="Arial"/>
        </w:rPr>
        <w:t xml:space="preserve">parc. č. </w:t>
      </w:r>
      <w:r w:rsidR="00D626D8">
        <w:rPr>
          <w:rFonts w:ascii="Arial" w:hAnsi="Arial" w:cs="Arial"/>
        </w:rPr>
        <w:t>796/5</w:t>
      </w:r>
      <w:r w:rsidR="00D626D8" w:rsidRPr="00EB3D47">
        <w:rPr>
          <w:rFonts w:ascii="Arial" w:hAnsi="Arial" w:cs="Arial"/>
          <w:noProof/>
        </w:rPr>
        <w:t>,</w:t>
      </w:r>
      <w:r w:rsidR="00D626D8">
        <w:rPr>
          <w:rFonts w:ascii="Arial" w:hAnsi="Arial" w:cs="Arial"/>
          <w:noProof/>
        </w:rPr>
        <w:t xml:space="preserve"> </w:t>
      </w:r>
      <w:r w:rsidR="00D626D8" w:rsidRPr="00EB3D47">
        <w:rPr>
          <w:rFonts w:ascii="Arial" w:hAnsi="Arial" w:cs="Arial"/>
        </w:rPr>
        <w:t xml:space="preserve">parc. č. </w:t>
      </w:r>
      <w:r w:rsidR="00D626D8">
        <w:rPr>
          <w:rFonts w:ascii="Arial" w:hAnsi="Arial" w:cs="Arial"/>
          <w:noProof/>
        </w:rPr>
        <w:t xml:space="preserve">2670/9 </w:t>
      </w:r>
      <w:bookmarkStart w:id="0" w:name="_GoBack"/>
      <w:bookmarkEnd w:id="0"/>
      <w:r w:rsidRPr="00EB3D47">
        <w:rPr>
          <w:rFonts w:ascii="Arial" w:hAnsi="Arial" w:cs="Arial"/>
          <w:noProof/>
        </w:rPr>
        <w:t>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k.ú. </w:t>
      </w:r>
      <w:r w:rsidRPr="00BE636F">
        <w:rPr>
          <w:rFonts w:ascii="Arial" w:hAnsi="Arial" w:cs="Arial"/>
          <w:noProof/>
        </w:rPr>
        <w:t>Chrudim</w:t>
      </w:r>
      <w:r w:rsidRPr="00A73122">
        <w:rPr>
          <w:rFonts w:ascii="Arial" w:hAnsi="Arial" w:cs="Arial"/>
        </w:rPr>
        <w:t xml:space="preserve">, obec </w:t>
      </w:r>
      <w:r w:rsidRPr="00BE636F">
        <w:rPr>
          <w:rFonts w:ascii="Arial" w:hAnsi="Arial" w:cs="Arial"/>
          <w:noProof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 w:rsidRPr="00715F49">
        <w:rPr>
          <w:rFonts w:ascii="Arial" w:hAnsi="Arial" w:cs="Arial"/>
          <w:noProof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 w:rsidRPr="00BE636F">
        <w:rPr>
          <w:rFonts w:ascii="Arial" w:hAnsi="Arial" w:cs="Arial"/>
          <w:noProof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="00AB71C0" w:rsidRPr="00AB71C0">
        <w:rPr>
          <w:rFonts w:ascii="Arial" w:hAnsi="Arial" w:cs="Arial"/>
          <w:b/>
        </w:rPr>
        <w:t>„Reko MS Chrudim - Tovární, číslo stavby: 57123</w:t>
      </w:r>
      <w:r w:rsidR="00AB71C0" w:rsidRPr="00AB71C0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152153" w:rsidRDefault="00152153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lastRenderedPageBreak/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 xml:space="preserve">jednoho roku po doručení kolaudačního souhlasu k plynárenskému zařízení nebo jiného dokladu vydaného (potvrzeného) stavebním úřadem, kterým se prokáže, že lze stavbu plynárenského zařízení užívat, nejpozději však do 31.12.2022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30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>na základě znaleckého posudku vyhotoveného v souladu s § 16b zák.č.151/1997(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„ZoDPH“</w:t>
      </w:r>
      <w:r w:rsidRPr="00476718">
        <w:rPr>
          <w:rFonts w:ascii="Arial" w:hAnsi="Arial" w:cs="Arial"/>
          <w:sz w:val="20"/>
        </w:rPr>
        <w:t>), je budoucí oprávněný oprávněn postupovat podle ustanovení § 109a ZoDPH,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Pr="005105EC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lastRenderedPageBreak/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smluv ( zákon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Default="00696417" w:rsidP="00696417">
      <w:pPr>
        <w:rPr>
          <w:rFonts w:ascii="Tahoma" w:hAnsi="Tahoma" w:cs="Tahoma"/>
          <w:color w:val="00B050"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r w:rsidRPr="00C705AB">
        <w:rPr>
          <w:rFonts w:ascii="Arial" w:hAnsi="Arial" w:cs="Arial"/>
          <w:bCs/>
          <w:i/>
        </w:rPr>
        <w:t>GridServices</w:t>
      </w:r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e-mailové adresy </w:t>
      </w:r>
      <w:r w:rsidRPr="000D1E4E">
        <w:rPr>
          <w:rStyle w:val="Zvraznn"/>
          <w:rFonts w:ascii="Tahoma" w:hAnsi="Tahoma" w:cs="Tahoma"/>
          <w:i w:val="0"/>
        </w:rPr>
        <w:t>)  bude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123F24" w:rsidRPr="00435D1D" w:rsidRDefault="00123F24" w:rsidP="00696417">
      <w:pPr>
        <w:rPr>
          <w:rFonts w:ascii="Arial" w:hAnsi="Arial" w:cs="Arial"/>
          <w:i/>
        </w:rPr>
      </w:pP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>Tato smlouva nabývá účinnosti dnem zveřejnění do registru smluv v souladu s § 6 odst.1 zákona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132A6" w:rsidRDefault="00D132A6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132A6" w:rsidRPr="0025469F" w:rsidRDefault="00D132A6" w:rsidP="00D132A6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  <w:r w:rsidRPr="0025469F">
        <w:rPr>
          <w:rFonts w:ascii="Arial" w:hAnsi="Arial" w:cs="Arial"/>
          <w:b/>
        </w:rPr>
        <w:t>V</w:t>
      </w:r>
      <w:r w:rsidR="009A7DC2">
        <w:rPr>
          <w:rFonts w:ascii="Arial" w:hAnsi="Arial" w:cs="Arial"/>
          <w:b/>
        </w:rPr>
        <w:t>I</w:t>
      </w:r>
      <w:r w:rsidRPr="0025469F">
        <w:rPr>
          <w:rFonts w:ascii="Arial" w:hAnsi="Arial" w:cs="Arial"/>
          <w:b/>
        </w:rPr>
        <w:t>I.</w:t>
      </w:r>
    </w:p>
    <w:p w:rsidR="00D132A6" w:rsidRDefault="00D132A6" w:rsidP="00D132A6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132A6" w:rsidRDefault="00D132A6" w:rsidP="00D132A6">
      <w:pPr>
        <w:tabs>
          <w:tab w:val="left" w:pos="3480"/>
        </w:tabs>
        <w:jc w:val="both"/>
        <w:rPr>
          <w:rFonts w:ascii="Arial" w:hAnsi="Arial" w:cs="Arial"/>
        </w:rPr>
      </w:pPr>
      <w:r w:rsidRPr="00A858CB">
        <w:rPr>
          <w:rFonts w:ascii="Arial" w:hAnsi="Arial" w:cs="Arial"/>
        </w:rPr>
        <w:t xml:space="preserve">GasNet, s.r.o. je, ve smyslu Nařízení Evropského parlamentu a Rady (EU) 2016/679 ze dne 27. dubna 2016 </w:t>
      </w:r>
      <w:r>
        <w:rPr>
          <w:rFonts w:ascii="Arial" w:hAnsi="Arial" w:cs="Arial"/>
        </w:rPr>
        <w:t xml:space="preserve">o </w:t>
      </w:r>
      <w:r w:rsidRPr="00A858CB">
        <w:rPr>
          <w:rFonts w:ascii="Arial" w:hAnsi="Arial" w:cs="Arial"/>
        </w:rPr>
        <w:t>ochraně fyzických osob v souvislosti se zpracováním osobních údajů a o volném pohybu těchto údajů a o zrušení směrnice 95/46/ES (obecné naří</w:t>
      </w:r>
      <w:r>
        <w:rPr>
          <w:rFonts w:ascii="Arial" w:hAnsi="Arial" w:cs="Arial"/>
        </w:rPr>
        <w:t xml:space="preserve">zení o ochraně osobních údajů), </w:t>
      </w:r>
      <w:r w:rsidRPr="00A858CB">
        <w:rPr>
          <w:rFonts w:ascii="Arial" w:hAnsi="Arial" w:cs="Arial"/>
        </w:rPr>
        <w:t>správcem osobních údajů subjektů údajů</w:t>
      </w:r>
      <w:r>
        <w:rPr>
          <w:rFonts w:ascii="Arial" w:hAnsi="Arial" w:cs="Arial"/>
        </w:rPr>
        <w:t>.</w:t>
      </w:r>
      <w:r w:rsidRPr="00A858CB">
        <w:rPr>
          <w:rFonts w:ascii="Arial" w:hAnsi="Arial" w:cs="Arial"/>
        </w:rPr>
        <w:t xml:space="preserve"> Informace o jejich zpracování vyžadované platnými právními předpisy, včetně jejich rozsahu a účelu zpracování, přehledu práv a povinností GasNet, s.r.o. a aktualizovaného seznamu zpracovatelů osobních údajů, jsou zveřejněny na webové stránce </w:t>
      </w:r>
      <w:r>
        <w:rPr>
          <w:rFonts w:ascii="Arial" w:hAnsi="Arial" w:cs="Arial"/>
        </w:rPr>
        <w:t>GasNet, s.r.o.</w:t>
      </w:r>
      <w:r w:rsidRPr="00A858CB">
        <w:rPr>
          <w:rFonts w:ascii="Arial" w:hAnsi="Arial" w:cs="Arial"/>
        </w:rPr>
        <w:t xml:space="preserve"> (www.gasnet.cz/cs/informace-o-zpracovani-osobnich-udaju) a při uzavírání smlouvy nebo kdykoli v</w:t>
      </w:r>
      <w:r>
        <w:rPr>
          <w:rFonts w:ascii="Arial" w:hAnsi="Arial" w:cs="Arial"/>
        </w:rPr>
        <w:t> </w:t>
      </w:r>
      <w:r w:rsidRPr="00A858CB">
        <w:rPr>
          <w:rFonts w:ascii="Arial" w:hAnsi="Arial" w:cs="Arial"/>
        </w:rPr>
        <w:t>průběhu jejího trvání budou subjektu údajů poskytnuty na jeho vyžádání, adresované písemně na adresu sídla GasNet, s.r.o. nebo do jeho datové schránky ID rdxzhzt.</w:t>
      </w:r>
    </w:p>
    <w:p w:rsidR="00D132A6" w:rsidRDefault="00D132A6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6C5953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D70C3A" w:rsidRPr="009B06CE">
        <w:rPr>
          <w:rFonts w:ascii="Arial" w:hAnsi="Arial" w:cs="Arial"/>
          <w:b/>
        </w:rPr>
        <w:lastRenderedPageBreak/>
        <w:t>V</w:t>
      </w:r>
      <w:r w:rsidR="00D70C3A">
        <w:rPr>
          <w:rFonts w:ascii="Arial" w:hAnsi="Arial" w:cs="Arial"/>
          <w:b/>
        </w:rPr>
        <w:t>I</w:t>
      </w:r>
      <w:r w:rsidR="009A7DC2">
        <w:rPr>
          <w:rFonts w:ascii="Arial" w:hAnsi="Arial" w:cs="Arial"/>
          <w:b/>
        </w:rPr>
        <w:t>I</w:t>
      </w:r>
      <w:r w:rsidR="00D70C3A" w:rsidRPr="009B06CE">
        <w:rPr>
          <w:rFonts w:ascii="Arial" w:hAnsi="Arial" w:cs="Arial"/>
          <w:b/>
        </w:rPr>
        <w:t>I</w:t>
      </w:r>
      <w:r w:rsidR="00D70C3A"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12656B" w:rsidRDefault="0012656B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123F24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</w:t>
      </w:r>
      <w:r w:rsidRPr="00294165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věcného břemene podle </w:t>
      </w:r>
      <w:r w:rsidRPr="00294165">
        <w:rPr>
          <w:rFonts w:ascii="Arial" w:hAnsi="Arial" w:cs="Arial"/>
          <w:sz w:val="20"/>
          <w:szCs w:val="20"/>
        </w:rPr>
        <w:t xml:space="preserve">této smlouvy bylo schváleno usnesením </w:t>
      </w:r>
      <w:r>
        <w:rPr>
          <w:rFonts w:ascii="Arial" w:hAnsi="Arial" w:cs="Arial"/>
          <w:sz w:val="20"/>
          <w:szCs w:val="20"/>
        </w:rPr>
        <w:t>Rady města Chrudim</w:t>
      </w:r>
      <w:r w:rsidRPr="00294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123F24">
        <w:rPr>
          <w:rFonts w:ascii="Arial" w:hAnsi="Arial" w:cs="Arial"/>
          <w:sz w:val="20"/>
          <w:szCs w:val="20"/>
        </w:rPr>
        <w:t>č.</w:t>
      </w:r>
      <w:r w:rsidR="00123F24">
        <w:rPr>
          <w:rFonts w:ascii="Arial" w:hAnsi="Arial" w:cs="Arial"/>
          <w:sz w:val="20"/>
          <w:szCs w:val="20"/>
        </w:rPr>
        <w:t xml:space="preserve"> </w:t>
      </w:r>
      <w:r w:rsidR="00123F24" w:rsidRPr="00EA7C1F">
        <w:rPr>
          <w:rFonts w:ascii="Arial" w:hAnsi="Arial" w:cs="Arial"/>
          <w:sz w:val="20"/>
          <w:szCs w:val="20"/>
        </w:rPr>
        <w:t>R/</w:t>
      </w:r>
      <w:r w:rsidR="00EA7C1F">
        <w:rPr>
          <w:rFonts w:ascii="Arial" w:hAnsi="Arial" w:cs="Arial"/>
          <w:sz w:val="20"/>
          <w:szCs w:val="20"/>
        </w:rPr>
        <w:t>301</w:t>
      </w:r>
      <w:r w:rsidR="00123F24" w:rsidRPr="00EA7C1F">
        <w:rPr>
          <w:rFonts w:ascii="Arial" w:hAnsi="Arial" w:cs="Arial"/>
          <w:sz w:val="20"/>
          <w:szCs w:val="20"/>
        </w:rPr>
        <w:t>/201</w:t>
      </w:r>
      <w:r w:rsidR="00EA7C1F">
        <w:rPr>
          <w:rFonts w:ascii="Arial" w:hAnsi="Arial" w:cs="Arial"/>
          <w:sz w:val="20"/>
          <w:szCs w:val="20"/>
        </w:rPr>
        <w:t>8</w:t>
      </w:r>
      <w:r w:rsidR="003933D7" w:rsidRPr="00123F24">
        <w:rPr>
          <w:rFonts w:ascii="Arial" w:hAnsi="Arial" w:cs="Arial"/>
          <w:sz w:val="20"/>
          <w:szCs w:val="20"/>
        </w:rPr>
        <w:t xml:space="preserve"> </w:t>
      </w:r>
      <w:r w:rsidRPr="00123F24">
        <w:rPr>
          <w:rFonts w:ascii="Arial" w:hAnsi="Arial" w:cs="Arial"/>
          <w:sz w:val="20"/>
          <w:szCs w:val="20"/>
        </w:rPr>
        <w:t>ze dne</w:t>
      </w:r>
      <w:r w:rsidR="00123F24">
        <w:rPr>
          <w:rFonts w:ascii="Arial" w:hAnsi="Arial" w:cs="Arial"/>
          <w:sz w:val="20"/>
          <w:szCs w:val="20"/>
        </w:rPr>
        <w:t xml:space="preserve"> </w:t>
      </w:r>
      <w:r w:rsidR="00EA7C1F">
        <w:rPr>
          <w:rFonts w:ascii="Arial" w:hAnsi="Arial" w:cs="Arial"/>
          <w:sz w:val="20"/>
          <w:szCs w:val="20"/>
        </w:rPr>
        <w:t>16</w:t>
      </w:r>
      <w:r w:rsidR="00123F24" w:rsidRPr="00EA7C1F">
        <w:rPr>
          <w:rFonts w:ascii="Arial" w:hAnsi="Arial" w:cs="Arial"/>
          <w:sz w:val="20"/>
          <w:szCs w:val="20"/>
        </w:rPr>
        <w:t>.</w:t>
      </w:r>
      <w:r w:rsidR="00EA7C1F">
        <w:rPr>
          <w:rFonts w:ascii="Arial" w:hAnsi="Arial" w:cs="Arial"/>
          <w:sz w:val="20"/>
          <w:szCs w:val="20"/>
        </w:rPr>
        <w:t>7</w:t>
      </w:r>
      <w:r w:rsidR="00123F24" w:rsidRPr="00EA7C1F">
        <w:rPr>
          <w:rFonts w:ascii="Arial" w:hAnsi="Arial" w:cs="Arial"/>
          <w:sz w:val="20"/>
          <w:szCs w:val="20"/>
        </w:rPr>
        <w:t>.201</w:t>
      </w:r>
      <w:r w:rsidR="00EA7C1F">
        <w:rPr>
          <w:rFonts w:ascii="Arial" w:hAnsi="Arial" w:cs="Arial"/>
          <w:sz w:val="20"/>
          <w:szCs w:val="20"/>
        </w:rPr>
        <w:t>8</w:t>
      </w:r>
      <w:r w:rsidRPr="00123F24">
        <w:rPr>
          <w:rFonts w:ascii="Arial" w:hAnsi="Arial" w:cs="Arial"/>
          <w:sz w:val="20"/>
          <w:szCs w:val="20"/>
        </w:rPr>
        <w:t>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123F24" w:rsidRPr="00D648C1" w:rsidRDefault="00123F24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152153">
        <w:rPr>
          <w:rFonts w:ascii="Arial" w:hAnsi="Arial" w:cs="Arial"/>
          <w:sz w:val="20"/>
          <w:szCs w:val="20"/>
        </w:rPr>
        <w:t>19.9.2018</w:t>
      </w:r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152153">
        <w:rPr>
          <w:rFonts w:ascii="Arial" w:hAnsi="Arial" w:cs="Arial"/>
          <w:sz w:val="20"/>
          <w:szCs w:val="20"/>
        </w:rPr>
        <w:t>30.8.2018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70C3A" w:rsidRPr="00855C3F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A1F32" w:rsidRDefault="00D70C3A" w:rsidP="00152153">
      <w:pPr>
        <w:pStyle w:val="Textvtabulce"/>
        <w:tabs>
          <w:tab w:val="left" w:pos="315"/>
          <w:tab w:val="center" w:pos="1418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55C3F">
        <w:rPr>
          <w:rFonts w:ascii="Arial" w:hAnsi="Arial" w:cs="Arial"/>
          <w:sz w:val="20"/>
          <w:szCs w:val="20"/>
        </w:rPr>
        <w:tab/>
      </w:r>
    </w:p>
    <w:p w:rsidR="00D70C3A" w:rsidRDefault="00FA1F32" w:rsidP="00FA1F32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iCs/>
          <w:noProof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24B9" w:rsidRDefault="007D24B9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</w:p>
    <w:p w:rsidR="00D70C3A" w:rsidRDefault="00D70C3A" w:rsidP="00152153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i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0C3A" w:rsidRPr="003012AA" w:rsidRDefault="00D70C3A" w:rsidP="00BB7446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A56DD2">
        <w:rPr>
          <w:rFonts w:ascii="Arial" w:hAnsi="Arial" w:cs="Arial"/>
        </w:rPr>
        <w:tab/>
      </w:r>
      <w:r w:rsidR="00A56DD2">
        <w:rPr>
          <w:rFonts w:ascii="Arial" w:hAnsi="Arial" w:cs="Arial"/>
        </w:rPr>
        <w:tab/>
      </w:r>
      <w:r w:rsidRPr="008743B0">
        <w:rPr>
          <w:rFonts w:ascii="Arial" w:hAnsi="Arial" w:cs="Arial"/>
          <w:iCs/>
        </w:rPr>
        <w:tab/>
      </w:r>
      <w:r w:rsidRPr="008743B0">
        <w:rPr>
          <w:rFonts w:ascii="Arial" w:hAnsi="Arial" w:cs="Arial"/>
          <w:iCs/>
        </w:rPr>
        <w:tab/>
      </w:r>
    </w:p>
    <w:p w:rsidR="00D70C3A" w:rsidRDefault="00D70C3A" w:rsidP="00663CC0">
      <w:pPr>
        <w:spacing w:before="120"/>
        <w:jc w:val="both"/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3D" w:rsidRDefault="00DC6F3D">
      <w:r>
        <w:separator/>
      </w:r>
    </w:p>
  </w:endnote>
  <w:endnote w:type="continuationSeparator" w:id="0">
    <w:p w:rsidR="00DC6F3D" w:rsidRDefault="00D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511E11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0C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0C3A">
      <w:rPr>
        <w:rStyle w:val="slostrnky"/>
        <w:noProof/>
      </w:rPr>
      <w:t>1</w:t>
    </w:r>
    <w:r>
      <w:rPr>
        <w:rStyle w:val="slostrnky"/>
      </w:rPr>
      <w:fldChar w:fldCharType="end"/>
    </w:r>
  </w:p>
  <w:p w:rsidR="00D70C3A" w:rsidRDefault="00D70C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511E11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D70C3A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71261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="00D70C3A">
      <w:rPr>
        <w:rFonts w:ascii="Arial" w:hAnsi="Arial" w:cs="Arial"/>
        <w:sz w:val="16"/>
        <w:szCs w:val="16"/>
      </w:rPr>
      <w:t>/</w:t>
    </w:r>
    <w:fldSimple w:instr=" NUMPAGES   \* MERGEFORMAT ">
      <w:r w:rsidR="0071261F" w:rsidRPr="0071261F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3D" w:rsidRDefault="00DC6F3D">
      <w:r>
        <w:separator/>
      </w:r>
    </w:p>
  </w:footnote>
  <w:footnote w:type="continuationSeparator" w:id="0">
    <w:p w:rsidR="00DC6F3D" w:rsidRDefault="00D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D70C3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67B48"/>
    <w:rsid w:val="0007199B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09A"/>
    <w:rsid w:val="00102427"/>
    <w:rsid w:val="001044FC"/>
    <w:rsid w:val="00114054"/>
    <w:rsid w:val="00120929"/>
    <w:rsid w:val="0012288A"/>
    <w:rsid w:val="00123F24"/>
    <w:rsid w:val="0012656B"/>
    <w:rsid w:val="00130383"/>
    <w:rsid w:val="00134A6F"/>
    <w:rsid w:val="00144883"/>
    <w:rsid w:val="0014549E"/>
    <w:rsid w:val="001517A6"/>
    <w:rsid w:val="00152153"/>
    <w:rsid w:val="0015394B"/>
    <w:rsid w:val="00157C27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37CF"/>
    <w:rsid w:val="001A413B"/>
    <w:rsid w:val="001A7E5F"/>
    <w:rsid w:val="001B0690"/>
    <w:rsid w:val="001B5FEA"/>
    <w:rsid w:val="001C1C94"/>
    <w:rsid w:val="001C2A61"/>
    <w:rsid w:val="001C42A5"/>
    <w:rsid w:val="001C6B78"/>
    <w:rsid w:val="001D6AE4"/>
    <w:rsid w:val="001D70BA"/>
    <w:rsid w:val="001E66F6"/>
    <w:rsid w:val="001E7E04"/>
    <w:rsid w:val="001F3661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4165"/>
    <w:rsid w:val="00295049"/>
    <w:rsid w:val="00296DCC"/>
    <w:rsid w:val="002B1689"/>
    <w:rsid w:val="002B5168"/>
    <w:rsid w:val="002C0F1C"/>
    <w:rsid w:val="002C5B38"/>
    <w:rsid w:val="002C6CB9"/>
    <w:rsid w:val="002C7623"/>
    <w:rsid w:val="002C79EB"/>
    <w:rsid w:val="002D06A2"/>
    <w:rsid w:val="002D74A3"/>
    <w:rsid w:val="002E0995"/>
    <w:rsid w:val="002E5242"/>
    <w:rsid w:val="002F2BE0"/>
    <w:rsid w:val="003012AA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0DB4"/>
    <w:rsid w:val="003933D7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C659F"/>
    <w:rsid w:val="003D2793"/>
    <w:rsid w:val="003D28FC"/>
    <w:rsid w:val="003E0970"/>
    <w:rsid w:val="003E708F"/>
    <w:rsid w:val="003F07A5"/>
    <w:rsid w:val="003F1222"/>
    <w:rsid w:val="003F52D9"/>
    <w:rsid w:val="003F79F2"/>
    <w:rsid w:val="00403398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6718"/>
    <w:rsid w:val="00477032"/>
    <w:rsid w:val="0048047B"/>
    <w:rsid w:val="004860A5"/>
    <w:rsid w:val="00490596"/>
    <w:rsid w:val="00491CE0"/>
    <w:rsid w:val="00492313"/>
    <w:rsid w:val="00492F95"/>
    <w:rsid w:val="0049475B"/>
    <w:rsid w:val="00494D5E"/>
    <w:rsid w:val="004A503B"/>
    <w:rsid w:val="004A5ED3"/>
    <w:rsid w:val="004B03F0"/>
    <w:rsid w:val="004B0832"/>
    <w:rsid w:val="004C152E"/>
    <w:rsid w:val="004C153C"/>
    <w:rsid w:val="004C4795"/>
    <w:rsid w:val="004D5AE7"/>
    <w:rsid w:val="004E0D04"/>
    <w:rsid w:val="004E204F"/>
    <w:rsid w:val="004E42A4"/>
    <w:rsid w:val="004E6BA6"/>
    <w:rsid w:val="004F00A1"/>
    <w:rsid w:val="004F33F1"/>
    <w:rsid w:val="004F7D9B"/>
    <w:rsid w:val="00500529"/>
    <w:rsid w:val="0050071D"/>
    <w:rsid w:val="005105EC"/>
    <w:rsid w:val="00511E11"/>
    <w:rsid w:val="0051246C"/>
    <w:rsid w:val="00512D73"/>
    <w:rsid w:val="0051440E"/>
    <w:rsid w:val="005152C6"/>
    <w:rsid w:val="00521415"/>
    <w:rsid w:val="0052510C"/>
    <w:rsid w:val="005328CB"/>
    <w:rsid w:val="00537ECD"/>
    <w:rsid w:val="00541066"/>
    <w:rsid w:val="0054598B"/>
    <w:rsid w:val="005516AB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6722"/>
    <w:rsid w:val="005B7E5A"/>
    <w:rsid w:val="005C717E"/>
    <w:rsid w:val="005D363C"/>
    <w:rsid w:val="005D5BB8"/>
    <w:rsid w:val="005D6501"/>
    <w:rsid w:val="005E39EE"/>
    <w:rsid w:val="00601ECD"/>
    <w:rsid w:val="00604548"/>
    <w:rsid w:val="00604988"/>
    <w:rsid w:val="00610BD6"/>
    <w:rsid w:val="00612D83"/>
    <w:rsid w:val="006136F0"/>
    <w:rsid w:val="00617288"/>
    <w:rsid w:val="0062067F"/>
    <w:rsid w:val="00624D9C"/>
    <w:rsid w:val="006442DE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96417"/>
    <w:rsid w:val="006A1F23"/>
    <w:rsid w:val="006B499E"/>
    <w:rsid w:val="006B6334"/>
    <w:rsid w:val="006B6E6C"/>
    <w:rsid w:val="006C5953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1261F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115FD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431C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8E6D23"/>
    <w:rsid w:val="008F4AF0"/>
    <w:rsid w:val="00900005"/>
    <w:rsid w:val="009004B3"/>
    <w:rsid w:val="0090319D"/>
    <w:rsid w:val="009041E8"/>
    <w:rsid w:val="0090614A"/>
    <w:rsid w:val="00907044"/>
    <w:rsid w:val="0090795C"/>
    <w:rsid w:val="00911A23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695"/>
    <w:rsid w:val="00971CD6"/>
    <w:rsid w:val="0097577B"/>
    <w:rsid w:val="009757D7"/>
    <w:rsid w:val="00980A64"/>
    <w:rsid w:val="00982300"/>
    <w:rsid w:val="00985717"/>
    <w:rsid w:val="009879D7"/>
    <w:rsid w:val="00987A0B"/>
    <w:rsid w:val="0099019E"/>
    <w:rsid w:val="009A7C4C"/>
    <w:rsid w:val="009A7DC2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7D0"/>
    <w:rsid w:val="00A009D6"/>
    <w:rsid w:val="00A1232E"/>
    <w:rsid w:val="00A14958"/>
    <w:rsid w:val="00A1632D"/>
    <w:rsid w:val="00A2484E"/>
    <w:rsid w:val="00A31FA7"/>
    <w:rsid w:val="00A32AFD"/>
    <w:rsid w:val="00A34E3B"/>
    <w:rsid w:val="00A442CC"/>
    <w:rsid w:val="00A448F3"/>
    <w:rsid w:val="00A47012"/>
    <w:rsid w:val="00A50825"/>
    <w:rsid w:val="00A56DD2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B0027"/>
    <w:rsid w:val="00AB190A"/>
    <w:rsid w:val="00AB43F9"/>
    <w:rsid w:val="00AB6D80"/>
    <w:rsid w:val="00AB71C0"/>
    <w:rsid w:val="00AC577D"/>
    <w:rsid w:val="00AD03EF"/>
    <w:rsid w:val="00AD140C"/>
    <w:rsid w:val="00AD6168"/>
    <w:rsid w:val="00AE660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A44A4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C49"/>
    <w:rsid w:val="00C44CC1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80"/>
    <w:rsid w:val="00D04DB1"/>
    <w:rsid w:val="00D06692"/>
    <w:rsid w:val="00D1179C"/>
    <w:rsid w:val="00D132A6"/>
    <w:rsid w:val="00D13F5D"/>
    <w:rsid w:val="00D15DB9"/>
    <w:rsid w:val="00D240B7"/>
    <w:rsid w:val="00D32653"/>
    <w:rsid w:val="00D33435"/>
    <w:rsid w:val="00D55B1F"/>
    <w:rsid w:val="00D626D8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93197"/>
    <w:rsid w:val="00DA1AFC"/>
    <w:rsid w:val="00DA24AE"/>
    <w:rsid w:val="00DA3997"/>
    <w:rsid w:val="00DA5C70"/>
    <w:rsid w:val="00DA652D"/>
    <w:rsid w:val="00DB6059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3609"/>
    <w:rsid w:val="00E378A1"/>
    <w:rsid w:val="00E4041E"/>
    <w:rsid w:val="00E507ED"/>
    <w:rsid w:val="00E5117B"/>
    <w:rsid w:val="00E54DB8"/>
    <w:rsid w:val="00E566DC"/>
    <w:rsid w:val="00E751BD"/>
    <w:rsid w:val="00E80957"/>
    <w:rsid w:val="00E85D4F"/>
    <w:rsid w:val="00EA0375"/>
    <w:rsid w:val="00EA7C1F"/>
    <w:rsid w:val="00EB3D47"/>
    <w:rsid w:val="00EB4D32"/>
    <w:rsid w:val="00EB733D"/>
    <w:rsid w:val="00EC768D"/>
    <w:rsid w:val="00EE256C"/>
    <w:rsid w:val="00EE4178"/>
    <w:rsid w:val="00EE4890"/>
    <w:rsid w:val="00EE69BD"/>
    <w:rsid w:val="00EE7071"/>
    <w:rsid w:val="00EE73B2"/>
    <w:rsid w:val="00EF25D1"/>
    <w:rsid w:val="00EF7EC7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74BFD"/>
    <w:rsid w:val="00F867CF"/>
    <w:rsid w:val="00F96813"/>
    <w:rsid w:val="00F968D0"/>
    <w:rsid w:val="00FA0D4D"/>
    <w:rsid w:val="00FA1F32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2</cp:revision>
  <cp:lastPrinted>2018-06-27T09:43:00Z</cp:lastPrinted>
  <dcterms:created xsi:type="dcterms:W3CDTF">2018-09-20T07:28:00Z</dcterms:created>
  <dcterms:modified xsi:type="dcterms:W3CDTF">2018-09-20T07:28:00Z</dcterms:modified>
</cp:coreProperties>
</file>