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53" w:rsidRPr="000C5953" w:rsidRDefault="00AB2FF3" w:rsidP="00AB2FF3">
      <w:pPr>
        <w:spacing w:line="240" w:lineRule="auto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C5953">
        <w:rPr>
          <w:color w:val="auto"/>
          <w:sz w:val="20"/>
          <w:szCs w:val="20"/>
        </w:rPr>
        <w:t>DOMOV BARBORA Kutná Hora</w:t>
      </w:r>
    </w:p>
    <w:p w:rsidR="00AB2FF3" w:rsidRPr="000C5953" w:rsidRDefault="000C5953" w:rsidP="00AB2FF3">
      <w:pPr>
        <w:spacing w:line="240" w:lineRule="auto"/>
        <w:jc w:val="center"/>
        <w:rPr>
          <w:rFonts w:asciiTheme="minorHAnsi" w:eastAsia="Times New Roman" w:hAnsiTheme="minorHAnsi" w:cstheme="minorBidi"/>
          <w:b w:val="0"/>
          <w:color w:val="auto"/>
          <w:sz w:val="20"/>
          <w:szCs w:val="20"/>
        </w:rPr>
      </w:pPr>
      <w:r w:rsidRPr="000C5953">
        <w:rPr>
          <w:color w:val="auto"/>
          <w:sz w:val="20"/>
          <w:szCs w:val="20"/>
        </w:rPr>
        <w:t xml:space="preserve">                         POSKYTOVATEL SOCIÁLNÍCH </w:t>
      </w:r>
      <w:proofErr w:type="gramStart"/>
      <w:r w:rsidRPr="000C5953">
        <w:rPr>
          <w:color w:val="auto"/>
          <w:sz w:val="20"/>
          <w:szCs w:val="20"/>
        </w:rPr>
        <w:t>SLUŽEB</w:t>
      </w:r>
      <w:r w:rsidR="00AB2FF3" w:rsidRPr="000C5953">
        <w:rPr>
          <w:color w:val="auto"/>
          <w:sz w:val="20"/>
          <w:szCs w:val="20"/>
        </w:rPr>
        <w:t xml:space="preserve">  </w:t>
      </w:r>
      <w:r w:rsidRPr="000C5953">
        <w:rPr>
          <w:color w:val="auto"/>
          <w:sz w:val="20"/>
          <w:szCs w:val="20"/>
        </w:rPr>
        <w:t xml:space="preserve">      Evidenční</w:t>
      </w:r>
      <w:proofErr w:type="gramEnd"/>
      <w:r w:rsidRPr="000C5953">
        <w:rPr>
          <w:color w:val="auto"/>
          <w:sz w:val="20"/>
          <w:szCs w:val="20"/>
        </w:rPr>
        <w:t xml:space="preserve"> číslo smlouvy:</w:t>
      </w:r>
      <w:r w:rsidR="00AB2FF3" w:rsidRPr="000C5953">
        <w:rPr>
          <w:color w:val="auto"/>
          <w:sz w:val="20"/>
          <w:szCs w:val="20"/>
        </w:rPr>
        <w:t xml:space="preserve">                            </w:t>
      </w:r>
    </w:p>
    <w:p w:rsidR="00AB2FF3" w:rsidRPr="000C5953" w:rsidRDefault="00AB2FF3" w:rsidP="000C5953">
      <w:pPr>
        <w:spacing w:line="240" w:lineRule="auto"/>
        <w:jc w:val="center"/>
        <w:rPr>
          <w:color w:val="auto"/>
          <w:sz w:val="20"/>
          <w:szCs w:val="20"/>
          <w:lang w:eastAsia="en-US"/>
        </w:rPr>
      </w:pPr>
      <w:r w:rsidRPr="000C5953">
        <w:rPr>
          <w:color w:val="auto"/>
          <w:sz w:val="20"/>
          <w:szCs w:val="20"/>
        </w:rPr>
        <w:t xml:space="preserve">   </w:t>
      </w:r>
      <w:r w:rsidR="000C5953" w:rsidRPr="000C5953">
        <w:rPr>
          <w:color w:val="auto"/>
          <w:sz w:val="20"/>
          <w:szCs w:val="20"/>
        </w:rPr>
        <w:t>43</w:t>
      </w:r>
      <w:r w:rsidRPr="000C5953">
        <w:rPr>
          <w:color w:val="auto"/>
          <w:sz w:val="20"/>
          <w:szCs w:val="20"/>
        </w:rPr>
        <w:t>/1714/1</w:t>
      </w:r>
      <w:r w:rsidR="000C5953" w:rsidRPr="000C5953">
        <w:rPr>
          <w:color w:val="auto"/>
          <w:sz w:val="20"/>
          <w:szCs w:val="20"/>
        </w:rPr>
        <w:t>8</w:t>
      </w:r>
    </w:p>
    <w:p w:rsidR="00AB2FF3" w:rsidRPr="000C5953" w:rsidRDefault="00AB2FF3">
      <w:pPr>
        <w:rPr>
          <w:color w:val="auto"/>
        </w:rPr>
      </w:pPr>
    </w:p>
    <w:p w:rsidR="000C5953" w:rsidRDefault="000C5953">
      <w:bookmarkStart w:id="0" w:name="_GoBack"/>
      <w:bookmarkEnd w:id="0"/>
    </w:p>
    <w:p w:rsidR="000C5953" w:rsidRDefault="00A36554" w:rsidP="00AB2FF3">
      <w:r>
        <w:t>KUPNÍ SMLOUVA č.  KS18904</w:t>
      </w:r>
      <w:r w:rsidR="00AB2FF3">
        <w:t xml:space="preserve"> </w:t>
      </w:r>
    </w:p>
    <w:p w:rsidR="000C5953" w:rsidRDefault="000C5953" w:rsidP="00AB2FF3"/>
    <w:p w:rsidR="00AB2FF3" w:rsidRDefault="00AB2FF3" w:rsidP="00AB2FF3">
      <w:r>
        <w:t xml:space="preserve">     </w:t>
      </w:r>
    </w:p>
    <w:tbl>
      <w:tblPr>
        <w:tblStyle w:val="TableGrid"/>
        <w:tblW w:w="10723" w:type="dxa"/>
        <w:tblInd w:w="-850" w:type="dxa"/>
        <w:tblCellMar>
          <w:top w:w="56" w:type="dxa"/>
          <w:left w:w="34" w:type="dxa"/>
          <w:right w:w="48" w:type="dxa"/>
        </w:tblCellMar>
        <w:tblLook w:val="04A0" w:firstRow="1" w:lastRow="0" w:firstColumn="1" w:lastColumn="0" w:noHBand="0" w:noVBand="1"/>
      </w:tblPr>
      <w:tblGrid>
        <w:gridCol w:w="5247"/>
        <w:gridCol w:w="173"/>
        <w:gridCol w:w="5303"/>
      </w:tblGrid>
      <w:tr w:rsidR="002525A9">
        <w:trPr>
          <w:trHeight w:val="3798"/>
        </w:trPr>
        <w:tc>
          <w:tcPr>
            <w:tcW w:w="5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25A9" w:rsidRDefault="00A36554">
            <w:pPr>
              <w:spacing w:after="181"/>
              <w:ind w:left="227"/>
            </w:pPr>
            <w:r>
              <w:rPr>
                <w:b w:val="0"/>
                <w:sz w:val="16"/>
                <w:bdr w:val="single" w:sz="5" w:space="0" w:color="000000"/>
              </w:rPr>
              <w:t xml:space="preserve"> Dodavatel: </w:t>
            </w:r>
          </w:p>
          <w:p w:rsidR="002525A9" w:rsidRDefault="00A36554">
            <w:pPr>
              <w:ind w:left="170"/>
            </w:pPr>
            <w:proofErr w:type="spellStart"/>
            <w:r>
              <w:rPr>
                <w:color w:val="000000"/>
                <w:sz w:val="20"/>
              </w:rPr>
              <w:t>Cor</w:t>
            </w:r>
            <w:proofErr w:type="spellEnd"/>
            <w:r>
              <w:rPr>
                <w:color w:val="000000"/>
                <w:sz w:val="20"/>
              </w:rPr>
              <w:t xml:space="preserve"> HB, s.r.o.</w:t>
            </w:r>
          </w:p>
          <w:p w:rsidR="002525A9" w:rsidRDefault="00A36554">
            <w:pPr>
              <w:ind w:left="170"/>
            </w:pPr>
            <w:r>
              <w:rPr>
                <w:color w:val="000000"/>
                <w:sz w:val="20"/>
              </w:rPr>
              <w:t>Dobrovského 2915</w:t>
            </w:r>
          </w:p>
          <w:p w:rsidR="002525A9" w:rsidRDefault="00A36554">
            <w:pPr>
              <w:spacing w:after="136"/>
              <w:ind w:left="170"/>
            </w:pPr>
            <w:r>
              <w:rPr>
                <w:color w:val="000000"/>
                <w:sz w:val="20"/>
              </w:rPr>
              <w:t>580 01 Havlíčkův Brod 1</w:t>
            </w:r>
          </w:p>
          <w:p w:rsidR="002525A9" w:rsidRDefault="00A36554">
            <w:pPr>
              <w:tabs>
                <w:tab w:val="center" w:pos="3788"/>
              </w:tabs>
              <w:spacing w:after="24"/>
              <w:ind w:left="0"/>
            </w:pPr>
            <w:r>
              <w:rPr>
                <w:b w:val="0"/>
                <w:color w:val="000000"/>
                <w:sz w:val="18"/>
              </w:rPr>
              <w:t xml:space="preserve">Odpovědná osoba: </w:t>
            </w:r>
            <w:r>
              <w:rPr>
                <w:b w:val="0"/>
                <w:color w:val="000000"/>
                <w:sz w:val="18"/>
              </w:rPr>
              <w:tab/>
              <w:t>Jaroslav Houdek</w:t>
            </w:r>
          </w:p>
          <w:p w:rsidR="002525A9" w:rsidRDefault="00A36554">
            <w:pPr>
              <w:tabs>
                <w:tab w:val="center" w:pos="3782"/>
              </w:tabs>
              <w:spacing w:after="137"/>
              <w:ind w:left="0"/>
            </w:pPr>
            <w:r>
              <w:rPr>
                <w:b w:val="0"/>
                <w:color w:val="000000"/>
                <w:sz w:val="18"/>
              </w:rPr>
              <w:t>Funkce:</w:t>
            </w:r>
            <w:r>
              <w:rPr>
                <w:b w:val="0"/>
                <w:color w:val="000000"/>
                <w:sz w:val="18"/>
              </w:rPr>
              <w:tab/>
              <w:t>jednatel společnosti</w:t>
            </w:r>
          </w:p>
          <w:p w:rsidR="002525A9" w:rsidRDefault="00A36554">
            <w:pPr>
              <w:tabs>
                <w:tab w:val="center" w:pos="3786"/>
              </w:tabs>
              <w:spacing w:after="24"/>
              <w:ind w:left="0"/>
            </w:pPr>
            <w:r>
              <w:rPr>
                <w:b w:val="0"/>
                <w:color w:val="000000"/>
                <w:sz w:val="18"/>
              </w:rPr>
              <w:t>Číslo účtu:</w:t>
            </w:r>
            <w:r>
              <w:rPr>
                <w:b w:val="0"/>
                <w:color w:val="000000"/>
                <w:sz w:val="18"/>
              </w:rPr>
              <w:tab/>
              <w:t>156 121 220 / 0600</w:t>
            </w:r>
          </w:p>
          <w:p w:rsidR="002525A9" w:rsidRDefault="00A36554">
            <w:pPr>
              <w:tabs>
                <w:tab w:val="center" w:pos="3792"/>
              </w:tabs>
              <w:spacing w:after="178"/>
              <w:ind w:left="0"/>
            </w:pPr>
            <w:r>
              <w:rPr>
                <w:b w:val="0"/>
                <w:color w:val="000000"/>
                <w:sz w:val="18"/>
              </w:rPr>
              <w:t>Bankovní spojení:</w:t>
            </w:r>
            <w:r>
              <w:rPr>
                <w:b w:val="0"/>
                <w:color w:val="000000"/>
                <w:sz w:val="18"/>
              </w:rPr>
              <w:tab/>
            </w:r>
            <w:r w:rsidRPr="00E25FDE">
              <w:rPr>
                <w:b w:val="0"/>
                <w:i/>
                <w:color w:val="000000"/>
                <w:sz w:val="18"/>
              </w:rPr>
              <w:t>GE MONEY BANK</w:t>
            </w:r>
            <w:r>
              <w:rPr>
                <w:b w:val="0"/>
                <w:color w:val="000000"/>
                <w:sz w:val="18"/>
              </w:rPr>
              <w:t>, a.s.</w:t>
            </w:r>
          </w:p>
          <w:p w:rsidR="002525A9" w:rsidRDefault="00A36554">
            <w:pPr>
              <w:spacing w:after="2"/>
              <w:ind w:left="170" w:right="729"/>
            </w:pPr>
            <w:r>
              <w:rPr>
                <w:b w:val="0"/>
                <w:sz w:val="18"/>
              </w:rPr>
              <w:t>IČ: 25953117</w:t>
            </w:r>
          </w:p>
          <w:p w:rsidR="002525A9" w:rsidRDefault="00A36554">
            <w:pPr>
              <w:spacing w:after="116"/>
              <w:ind w:left="170" w:right="729"/>
            </w:pPr>
            <w:r>
              <w:rPr>
                <w:b w:val="0"/>
                <w:sz w:val="18"/>
              </w:rPr>
              <w:t>DIČ: CZ25953117</w:t>
            </w:r>
          </w:p>
          <w:p w:rsidR="002525A9" w:rsidRDefault="00A36554">
            <w:pPr>
              <w:ind w:left="170" w:right="729"/>
            </w:pPr>
            <w:r>
              <w:rPr>
                <w:b w:val="0"/>
                <w:color w:val="000000"/>
                <w:sz w:val="18"/>
              </w:rPr>
              <w:t>Telefon: 569 434501, 569 432955</w:t>
            </w:r>
          </w:p>
          <w:p w:rsidR="002525A9" w:rsidRDefault="00A36554">
            <w:pPr>
              <w:ind w:left="170" w:right="729"/>
            </w:pPr>
            <w:r>
              <w:rPr>
                <w:b w:val="0"/>
                <w:color w:val="000000"/>
                <w:sz w:val="18"/>
              </w:rPr>
              <w:t>Fax: 569 434500</w:t>
            </w:r>
          </w:p>
          <w:p w:rsidR="002525A9" w:rsidRDefault="00A36554">
            <w:pPr>
              <w:ind w:left="170" w:right="729"/>
            </w:pPr>
            <w:r>
              <w:rPr>
                <w:b w:val="0"/>
                <w:color w:val="000000"/>
                <w:sz w:val="18"/>
              </w:rPr>
              <w:t>E-mail: info@corhb.cz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525A9" w:rsidRDefault="00A36554">
            <w:pPr>
              <w:spacing w:after="124"/>
              <w:ind w:left="250"/>
            </w:pPr>
            <w:r>
              <w:rPr>
                <w:b w:val="0"/>
                <w:sz w:val="16"/>
                <w:bdr w:val="single" w:sz="5" w:space="0" w:color="000000"/>
              </w:rPr>
              <w:t xml:space="preserve"> Odběratel:</w:t>
            </w:r>
          </w:p>
          <w:p w:rsidR="002525A9" w:rsidRDefault="00A36554">
            <w:pPr>
              <w:ind w:left="250"/>
            </w:pPr>
            <w:r>
              <w:rPr>
                <w:color w:val="000000"/>
                <w:sz w:val="20"/>
              </w:rPr>
              <w:t>Domov Barbora Kutná Hora</w:t>
            </w:r>
          </w:p>
          <w:p w:rsidR="002525A9" w:rsidRDefault="00A36554">
            <w:pPr>
              <w:ind w:left="250"/>
            </w:pPr>
            <w:proofErr w:type="spellStart"/>
            <w:r>
              <w:rPr>
                <w:color w:val="000000"/>
                <w:sz w:val="20"/>
              </w:rPr>
              <w:t>Pirknerovo</w:t>
            </w:r>
            <w:proofErr w:type="spellEnd"/>
            <w:r>
              <w:rPr>
                <w:color w:val="000000"/>
                <w:sz w:val="20"/>
              </w:rPr>
              <w:t xml:space="preserve"> náměstí 228</w:t>
            </w:r>
          </w:p>
          <w:p w:rsidR="002525A9" w:rsidRDefault="00A36554">
            <w:pPr>
              <w:spacing w:after="127"/>
              <w:ind w:left="250"/>
            </w:pPr>
            <w:r>
              <w:rPr>
                <w:color w:val="000000"/>
                <w:sz w:val="20"/>
              </w:rPr>
              <w:t>284 01 Kutná Hora 1</w:t>
            </w:r>
          </w:p>
          <w:p w:rsidR="002525A9" w:rsidRDefault="00A36554">
            <w:pPr>
              <w:tabs>
                <w:tab w:val="center" w:pos="3497"/>
              </w:tabs>
              <w:spacing w:after="24"/>
              <w:ind w:left="0"/>
            </w:pPr>
            <w:r>
              <w:rPr>
                <w:b w:val="0"/>
                <w:color w:val="000000"/>
                <w:sz w:val="18"/>
              </w:rPr>
              <w:t>Odpovědná osoba:</w:t>
            </w:r>
            <w:r>
              <w:rPr>
                <w:b w:val="0"/>
                <w:color w:val="000000"/>
                <w:sz w:val="18"/>
              </w:rPr>
              <w:tab/>
            </w:r>
            <w:proofErr w:type="spellStart"/>
            <w:r>
              <w:rPr>
                <w:b w:val="0"/>
                <w:color w:val="000000"/>
                <w:sz w:val="18"/>
              </w:rPr>
              <w:t>Mgr.Bc.Jitka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18"/>
              </w:rPr>
              <w:t>Řepová,MBA</w:t>
            </w:r>
            <w:proofErr w:type="spellEnd"/>
          </w:p>
          <w:p w:rsidR="002525A9" w:rsidRDefault="00A36554">
            <w:pPr>
              <w:tabs>
                <w:tab w:val="right" w:pos="5223"/>
              </w:tabs>
              <w:spacing w:after="137"/>
              <w:ind w:left="0"/>
            </w:pPr>
            <w:r>
              <w:rPr>
                <w:b w:val="0"/>
                <w:color w:val="000000"/>
                <w:sz w:val="18"/>
              </w:rPr>
              <w:t>Funkce:</w:t>
            </w:r>
            <w:r>
              <w:rPr>
                <w:b w:val="0"/>
                <w:color w:val="000000"/>
                <w:sz w:val="18"/>
              </w:rPr>
              <w:tab/>
              <w:t>ředitelka Domova Barbora Kutná Hora</w:t>
            </w:r>
          </w:p>
          <w:p w:rsidR="002525A9" w:rsidRDefault="00A36554">
            <w:pPr>
              <w:spacing w:after="227" w:line="287" w:lineRule="auto"/>
              <w:ind w:left="250" w:right="151"/>
            </w:pPr>
            <w:r>
              <w:rPr>
                <w:b w:val="0"/>
                <w:color w:val="000000"/>
                <w:sz w:val="18"/>
              </w:rPr>
              <w:t>Číslo účtu:</w:t>
            </w:r>
            <w:r>
              <w:rPr>
                <w:b w:val="0"/>
                <w:color w:val="000000"/>
                <w:sz w:val="18"/>
              </w:rPr>
              <w:tab/>
              <w:t>3605555360 / 0300 Bankovní spojení:</w:t>
            </w:r>
            <w:r>
              <w:rPr>
                <w:b w:val="0"/>
                <w:color w:val="000000"/>
                <w:sz w:val="18"/>
              </w:rPr>
              <w:tab/>
              <w:t>ČSOB</w:t>
            </w:r>
          </w:p>
          <w:p w:rsidR="002525A9" w:rsidRDefault="00A36554">
            <w:pPr>
              <w:spacing w:after="124" w:line="268" w:lineRule="auto"/>
              <w:ind w:left="250" w:right="3486"/>
            </w:pPr>
            <w:r>
              <w:rPr>
                <w:b w:val="0"/>
                <w:color w:val="000000"/>
                <w:sz w:val="18"/>
              </w:rPr>
              <w:t>IČ: 48677752 DIČ:</w:t>
            </w:r>
          </w:p>
          <w:p w:rsidR="002525A9" w:rsidRDefault="00A36554">
            <w:pPr>
              <w:spacing w:after="10" w:line="268" w:lineRule="auto"/>
              <w:ind w:left="250" w:right="2661"/>
            </w:pPr>
            <w:r>
              <w:rPr>
                <w:b w:val="0"/>
                <w:color w:val="000000"/>
                <w:sz w:val="18"/>
              </w:rPr>
              <w:t xml:space="preserve">Telefon: </w:t>
            </w:r>
            <w:proofErr w:type="gramStart"/>
            <w:r>
              <w:rPr>
                <w:b w:val="0"/>
                <w:color w:val="000000"/>
                <w:sz w:val="18"/>
              </w:rPr>
              <w:t>327 533126      Fax</w:t>
            </w:r>
            <w:proofErr w:type="gramEnd"/>
            <w:r>
              <w:rPr>
                <w:b w:val="0"/>
                <w:color w:val="000000"/>
                <w:sz w:val="18"/>
              </w:rPr>
              <w:t>:</w:t>
            </w:r>
          </w:p>
          <w:p w:rsidR="002525A9" w:rsidRDefault="00A36554">
            <w:pPr>
              <w:tabs>
                <w:tab w:val="center" w:pos="2032"/>
              </w:tabs>
              <w:ind w:left="0"/>
            </w:pPr>
            <w:r>
              <w:rPr>
                <w:b w:val="0"/>
                <w:color w:val="000000"/>
                <w:sz w:val="18"/>
              </w:rPr>
              <w:t>E-mail:</w:t>
            </w:r>
            <w:r>
              <w:rPr>
                <w:b w:val="0"/>
                <w:color w:val="000000"/>
                <w:sz w:val="18"/>
              </w:rPr>
              <w:tab/>
              <w:t>reditel@domov-barbora.cz</w:t>
            </w:r>
          </w:p>
        </w:tc>
      </w:tr>
      <w:tr w:rsidR="002525A9">
        <w:trPr>
          <w:trHeight w:val="510"/>
        </w:trPr>
        <w:tc>
          <w:tcPr>
            <w:tcW w:w="10723" w:type="dxa"/>
            <w:gridSpan w:val="3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ind w:left="17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549124" cy="253442"/>
                      <wp:effectExtent l="0" t="0" r="0" b="0"/>
                      <wp:docPr id="3202" name="Group 3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9124" cy="253442"/>
                                <a:chOff x="0" y="0"/>
                                <a:chExt cx="6549124" cy="253442"/>
                              </a:xfrm>
                            </wpg:grpSpPr>
                            <wps:wsp>
                              <wps:cNvPr id="15" name="Shape 15"/>
                              <wps:cNvSpPr/>
                              <wps:spPr>
                                <a:xfrm>
                                  <a:off x="3419996" y="0"/>
                                  <a:ext cx="3129128" cy="2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9128" h="253442">
                                      <a:moveTo>
                                        <a:pt x="18009" y="0"/>
                                      </a:moveTo>
                                      <a:lnTo>
                                        <a:pt x="3111119" y="0"/>
                                      </a:lnTo>
                                      <a:cubicBezTo>
                                        <a:pt x="3121063" y="0"/>
                                        <a:pt x="3129128" y="8065"/>
                                        <a:pt x="3129128" y="18009"/>
                                      </a:cubicBezTo>
                                      <a:lnTo>
                                        <a:pt x="3129128" y="235445"/>
                                      </a:lnTo>
                                      <a:cubicBezTo>
                                        <a:pt x="3129128" y="245390"/>
                                        <a:pt x="3121063" y="253442"/>
                                        <a:pt x="3111119" y="253442"/>
                                      </a:cubicBezTo>
                                      <a:lnTo>
                                        <a:pt x="18009" y="253442"/>
                                      </a:lnTo>
                                      <a:cubicBezTo>
                                        <a:pt x="8064" y="253442"/>
                                        <a:pt x="0" y="245390"/>
                                        <a:pt x="0" y="235445"/>
                                      </a:cubicBezTo>
                                      <a:lnTo>
                                        <a:pt x="0" y="18009"/>
                                      </a:lnTo>
                                      <a:cubicBezTo>
                                        <a:pt x="0" y="8065"/>
                                        <a:pt x="8064" y="0"/>
                                        <a:pt x="18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197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0" y="0"/>
                                  <a:ext cx="3201835" cy="2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1835" h="253442">
                                      <a:moveTo>
                                        <a:pt x="17996" y="0"/>
                                      </a:moveTo>
                                      <a:lnTo>
                                        <a:pt x="3183840" y="0"/>
                                      </a:lnTo>
                                      <a:cubicBezTo>
                                        <a:pt x="3193783" y="0"/>
                                        <a:pt x="3201835" y="8065"/>
                                        <a:pt x="3201835" y="18009"/>
                                      </a:cubicBezTo>
                                      <a:lnTo>
                                        <a:pt x="3201835" y="235445"/>
                                      </a:lnTo>
                                      <a:cubicBezTo>
                                        <a:pt x="3201835" y="245390"/>
                                        <a:pt x="3193783" y="253442"/>
                                        <a:pt x="3183840" y="253442"/>
                                      </a:cubicBezTo>
                                      <a:lnTo>
                                        <a:pt x="17996" y="253442"/>
                                      </a:lnTo>
                                      <a:cubicBezTo>
                                        <a:pt x="8064" y="253442"/>
                                        <a:pt x="0" y="245390"/>
                                        <a:pt x="0" y="235445"/>
                                      </a:cubicBezTo>
                                      <a:lnTo>
                                        <a:pt x="0" y="18009"/>
                                      </a:lnTo>
                                      <a:cubicBezTo>
                                        <a:pt x="0" y="8065"/>
                                        <a:pt x="8064" y="0"/>
                                        <a:pt x="179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197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575996" y="106550"/>
                                  <a:ext cx="1427796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25A9" w:rsidRDefault="00A3655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Kupní smlouva č.: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1841767" y="106550"/>
                                  <a:ext cx="69405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25A9" w:rsidRDefault="00A3655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KS18904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4139997" y="106550"/>
                                  <a:ext cx="11340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25A9" w:rsidRDefault="00A3655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Datum zápisu: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5136477" y="106550"/>
                                  <a:ext cx="830023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25A9" w:rsidRDefault="00A36554">
                                    <w:pPr>
                                      <w:spacing w:after="160"/>
                                      <w:ind w:left="0"/>
                                    </w:pP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17.09.2018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02" o:spid="_x0000_s1026" style="width:515.7pt;height:19.95pt;mso-position-horizontal-relative:char;mso-position-vertical-relative:line" coordsize="65491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">
                      <v:shape id="Shape 15" o:spid="_x0000_s1027" style="position:absolute;left:34199;width:31292;height:2534;visibility:visible;mso-wrap-style:square;v-text-anchor:top" coordsize="3129128,253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cBsEA&#10;AADbAAAADwAAAGRycy9kb3ducmV2LnhtbERP32vCMBB+F/wfwgm+yEwV3UZnFBFEBceYCns9mltb&#10;TC6libX+90YQfLuP7+fNFq01oqHal44VjIYJCOLM6ZJzBafj+u0ThA/IGo1jUnAjD4t5tzPDVLsr&#10;/1JzCLmIIexTVFCEUKVS+qwgi37oKuLI/bvaYoiwzqWu8RrDrZHjJHmXFkuODQVWtCooOx8uVkFu&#10;zGb/9yG/7a7ZD0YTbsYt/SjV77XLLxCB2vASP91bHedP4fFLPE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3AbBAAAA2wAAAA8AAAAAAAAAAAAAAAAAmAIAAGRycy9kb3du&#10;cmV2LnhtbFBLBQYAAAAABAAEAPUAAACGAwAAAAA=&#10;" path="m18009,l3111119,v9944,,18009,8065,18009,18009l3129128,235445v,9945,-8065,17997,-18009,17997l18009,253442c8064,253442,,245390,,235445l,18009c,8065,8064,,18009,xe" fillcolor="gray" strokeweight=".69992mm">
                        <v:stroke miterlimit="83231f" joinstyle="miter"/>
                        <v:path arrowok="t" textboxrect="0,0,3129128,253442"/>
                      </v:shape>
                      <v:shape id="Shape 19" o:spid="_x0000_s1028" style="position:absolute;width:32018;height:2534;visibility:visible;mso-wrap-style:square;v-text-anchor:top" coordsize="3201835,253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2+MEA&#10;AADbAAAADwAAAGRycy9kb3ducmV2LnhtbERPTYvCMBC9C/sfwgheZE31IFqNIguC4EFsi7C3oRmb&#10;YjMpTar1328WFvY2j/c52/1gG/GkzteOFcxnCQji0umaKwVFfvxcgfABWWPjmBS8ycN+9zHaYqrd&#10;i6/0zEIlYgj7FBWYENpUSl8asuhnriWO3N11FkOEXSV1h68Ybhu5SJKltFhzbDDY0peh8pH1VsH5&#10;pvO+Lyi7TJuVab/v9pIfb0pNxsNhAyLQEP7Ff+6TjvPX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HNvjBAAAA2wAAAA8AAAAAAAAAAAAAAAAAmAIAAGRycy9kb3du&#10;cmV2LnhtbFBLBQYAAAAABAAEAPUAAACGAwAAAAA=&#10;" path="m17996,l3183840,v9943,,17995,8065,17995,18009l3201835,235445v,9945,-8052,17997,-17995,17997l17996,253442c8064,253442,,245390,,235445l,18009c,8065,8064,,17996,xe" fillcolor="gray" strokeweight=".69992mm">
                        <v:stroke miterlimit="83231f" joinstyle="miter"/>
                        <v:path arrowok="t" textboxrect="0,0,3201835,253442"/>
                      </v:shape>
                      <v:rect id="Rectangle 40" o:spid="_x0000_s1029" style="position:absolute;left:5759;top:1065;width:14278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      <v:textbox inset="0,0,0,0">
                          <w:txbxContent>
                            <w:p w:rsidR="002525A9" w:rsidRDefault="00A3655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Kupní smlouva č.:</w:t>
                              </w:r>
                            </w:p>
                          </w:txbxContent>
                        </v:textbox>
                      </v:rect>
                      <v:rect id="Rectangle 41" o:spid="_x0000_s1030" style="position:absolute;left:18417;top:1065;width:694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      <v:textbox inset="0,0,0,0">
                          <w:txbxContent>
                            <w:p w:rsidR="002525A9" w:rsidRDefault="00A3655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KS18904</w:t>
                              </w:r>
                            </w:p>
                          </w:txbxContent>
                        </v:textbox>
                      </v:rect>
                      <v:rect id="Rectangle 42" o:spid="_x0000_s1031" style="position:absolute;left:41399;top:1065;width:1134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      <v:textbox inset="0,0,0,0">
                          <w:txbxContent>
                            <w:p w:rsidR="002525A9" w:rsidRDefault="00A3655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Datum zápisu:</w:t>
                              </w:r>
                            </w:p>
                          </w:txbxContent>
                        </v:textbox>
                      </v:rect>
                      <v:rect id="Rectangle 43" o:spid="_x0000_s1032" style="position:absolute;left:51364;top:1065;width:830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  <v:textbox inset="0,0,0,0">
                          <w:txbxContent>
                            <w:p w:rsidR="002525A9" w:rsidRDefault="00A36554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17.09.2018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525A9">
        <w:trPr>
          <w:trHeight w:val="525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25A9" w:rsidRDefault="00A36554">
            <w:pPr>
              <w:ind w:left="1157"/>
            </w:pPr>
            <w:r>
              <w:rPr>
                <w:sz w:val="20"/>
              </w:rPr>
              <w:t>Na základě Vaší objednávky Vám předkládáme kupní smlouvu na požadované zařízení.</w:t>
            </w:r>
          </w:p>
        </w:tc>
      </w:tr>
      <w:tr w:rsidR="002525A9">
        <w:trPr>
          <w:trHeight w:val="397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tabs>
                <w:tab w:val="center" w:pos="3810"/>
                <w:tab w:val="center" w:pos="5107"/>
                <w:tab w:val="center" w:pos="6106"/>
                <w:tab w:val="center" w:pos="6769"/>
                <w:tab w:val="center" w:pos="7688"/>
                <w:tab w:val="center" w:pos="8436"/>
                <w:tab w:val="center" w:pos="9238"/>
                <w:tab w:val="right" w:pos="10642"/>
              </w:tabs>
              <w:ind w:left="0"/>
            </w:pPr>
            <w:proofErr w:type="spellStart"/>
            <w:proofErr w:type="gramStart"/>
            <w:r>
              <w:rPr>
                <w:color w:val="000000"/>
                <w:sz w:val="16"/>
              </w:rPr>
              <w:t>P.č</w:t>
            </w:r>
            <w:proofErr w:type="spellEnd"/>
            <w:r>
              <w:rPr>
                <w:color w:val="000000"/>
                <w:sz w:val="16"/>
              </w:rPr>
              <w:t>.</w:t>
            </w:r>
            <w:proofErr w:type="gram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Obj</w:t>
            </w:r>
            <w:proofErr w:type="spellEnd"/>
            <w:r>
              <w:rPr>
                <w:color w:val="000000"/>
                <w:sz w:val="16"/>
              </w:rPr>
              <w:t>. číslo</w:t>
            </w:r>
            <w:r>
              <w:rPr>
                <w:color w:val="000000"/>
                <w:sz w:val="16"/>
              </w:rPr>
              <w:tab/>
              <w:t>Označení dodávky</w:t>
            </w:r>
            <w:r>
              <w:rPr>
                <w:color w:val="000000"/>
                <w:sz w:val="16"/>
              </w:rPr>
              <w:tab/>
              <w:t>Množství</w:t>
            </w:r>
            <w:r>
              <w:rPr>
                <w:color w:val="000000"/>
                <w:sz w:val="16"/>
              </w:rPr>
              <w:tab/>
            </w:r>
            <w:proofErr w:type="spellStart"/>
            <w:r>
              <w:rPr>
                <w:color w:val="000000"/>
                <w:sz w:val="16"/>
              </w:rPr>
              <w:t>J.cena</w:t>
            </w:r>
            <w:proofErr w:type="spellEnd"/>
            <w:r>
              <w:rPr>
                <w:color w:val="000000"/>
                <w:sz w:val="16"/>
              </w:rPr>
              <w:tab/>
              <w:t>Sleva</w:t>
            </w:r>
            <w:r>
              <w:rPr>
                <w:color w:val="000000"/>
                <w:sz w:val="16"/>
              </w:rPr>
              <w:tab/>
              <w:t>Cena</w:t>
            </w:r>
            <w:r>
              <w:rPr>
                <w:color w:val="000000"/>
                <w:sz w:val="16"/>
              </w:rPr>
              <w:tab/>
              <w:t>%DPH</w:t>
            </w:r>
            <w:r>
              <w:rPr>
                <w:color w:val="000000"/>
                <w:sz w:val="16"/>
              </w:rPr>
              <w:tab/>
            </w:r>
            <w:proofErr w:type="spellStart"/>
            <w:r>
              <w:rPr>
                <w:color w:val="000000"/>
                <w:sz w:val="16"/>
              </w:rPr>
              <w:t>DPH</w:t>
            </w:r>
            <w:proofErr w:type="spellEnd"/>
            <w:r>
              <w:rPr>
                <w:color w:val="000000"/>
                <w:sz w:val="16"/>
              </w:rPr>
              <w:tab/>
              <w:t>Kč Celkem</w:t>
            </w:r>
          </w:p>
        </w:tc>
      </w:tr>
      <w:tr w:rsidR="002525A9">
        <w:trPr>
          <w:trHeight w:val="79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2525A9">
            <w:pPr>
              <w:spacing w:after="160"/>
              <w:ind w:left="0"/>
            </w:pPr>
          </w:p>
        </w:tc>
      </w:tr>
      <w:tr w:rsidR="002525A9">
        <w:trPr>
          <w:trHeight w:val="1506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25A9" w:rsidRDefault="00A36554">
            <w:pPr>
              <w:tabs>
                <w:tab w:val="center" w:pos="792"/>
                <w:tab w:val="center" w:pos="4484"/>
              </w:tabs>
              <w:spacing w:after="82"/>
              <w:ind w:left="0"/>
            </w:pP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ab/>
              <w:t>MKP 13.6</w:t>
            </w:r>
            <w:r>
              <w:rPr>
                <w:color w:val="000000"/>
                <w:sz w:val="18"/>
              </w:rPr>
              <w:tab/>
              <w:t xml:space="preserve">Kráječ chleba a </w:t>
            </w:r>
            <w:proofErr w:type="gramStart"/>
            <w:r>
              <w:rPr>
                <w:color w:val="000000"/>
                <w:sz w:val="18"/>
              </w:rPr>
              <w:t>knedlíků,  rozteč</w:t>
            </w:r>
            <w:proofErr w:type="gramEnd"/>
            <w:r>
              <w:rPr>
                <w:color w:val="000000"/>
                <w:sz w:val="18"/>
              </w:rPr>
              <w:t xml:space="preserve"> 13 mm</w:t>
            </w:r>
          </w:p>
          <w:p w:rsidR="002525A9" w:rsidRDefault="00A36554">
            <w:pPr>
              <w:tabs>
                <w:tab w:val="center" w:pos="5133"/>
                <w:tab w:val="center" w:pos="5980"/>
                <w:tab w:val="center" w:pos="7738"/>
                <w:tab w:val="center" w:pos="8463"/>
                <w:tab w:val="center" w:pos="9212"/>
                <w:tab w:val="right" w:pos="10642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color w:val="000000"/>
                <w:sz w:val="18"/>
              </w:rPr>
              <w:t xml:space="preserve">1 </w:t>
            </w:r>
            <w:r>
              <w:rPr>
                <w:color w:val="000000"/>
                <w:sz w:val="16"/>
              </w:rPr>
              <w:t>ks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8"/>
              </w:rPr>
              <w:t>55 980,00</w:t>
            </w:r>
            <w:r>
              <w:rPr>
                <w:color w:val="000000"/>
                <w:sz w:val="18"/>
              </w:rPr>
              <w:tab/>
              <w:t>55 980,00</w:t>
            </w:r>
            <w:r>
              <w:rPr>
                <w:color w:val="000000"/>
                <w:sz w:val="18"/>
              </w:rPr>
              <w:tab/>
              <w:t>21%</w:t>
            </w:r>
            <w:r>
              <w:rPr>
                <w:color w:val="000000"/>
                <w:sz w:val="18"/>
              </w:rPr>
              <w:tab/>
              <w:t>11 755,80</w:t>
            </w:r>
            <w:r>
              <w:rPr>
                <w:color w:val="000000"/>
                <w:sz w:val="18"/>
              </w:rPr>
              <w:tab/>
              <w:t>67 735,80</w:t>
            </w:r>
          </w:p>
          <w:p w:rsidR="002525A9" w:rsidRDefault="00A36554">
            <w:pPr>
              <w:ind w:left="454" w:right="341"/>
            </w:pPr>
            <w:r>
              <w:rPr>
                <w:b w:val="0"/>
                <w:color w:val="000000"/>
                <w:sz w:val="18"/>
              </w:rPr>
              <w:t xml:space="preserve">Stroj je vhodný pro krájení chleba, vek a knedlíků v mírně teplém až vychladlém stavu. Kulaté bochníky lze krájet až po rozkrojení na půlky. Stroj je vybaven bezpečnostním krytem a bezpečnostní pojistkou. Obsluha stroje je z přední části. Stolní provedení, 36 nerezových </w:t>
            </w:r>
            <w:proofErr w:type="gramStart"/>
            <w:r>
              <w:rPr>
                <w:b w:val="0"/>
                <w:color w:val="000000"/>
                <w:sz w:val="18"/>
              </w:rPr>
              <w:t xml:space="preserve">pilek  s </w:t>
            </w:r>
            <w:proofErr w:type="spellStart"/>
            <w:r>
              <w:rPr>
                <w:b w:val="0"/>
                <w:color w:val="000000"/>
                <w:sz w:val="18"/>
              </w:rPr>
              <w:t>rostečí</w:t>
            </w:r>
            <w:proofErr w:type="spellEnd"/>
            <w:proofErr w:type="gramEnd"/>
            <w:r>
              <w:rPr>
                <w:b w:val="0"/>
                <w:color w:val="000000"/>
                <w:sz w:val="18"/>
              </w:rPr>
              <w:t xml:space="preserve"> 13 mm, multifunkční vypínač, zásuvka na zbytky pečiva, automatický pohon ramene s vypínačem, max. krájená délka bochníku 380 mm, výkon: cca 150 bochníků /hod., napětí 230 V, příkon 0,7 kW, hmotnost 94 kg, barva - smaltovaná šedo-bílá, rozměry: š 620 h 700 v 460 mm. </w:t>
            </w:r>
          </w:p>
        </w:tc>
      </w:tr>
      <w:tr w:rsidR="002525A9">
        <w:trPr>
          <w:trHeight w:val="1082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25A9" w:rsidRDefault="00A36554">
            <w:pPr>
              <w:tabs>
                <w:tab w:val="center" w:pos="1143"/>
                <w:tab w:val="center" w:pos="4829"/>
              </w:tabs>
              <w:spacing w:after="82"/>
              <w:ind w:left="0"/>
            </w:pPr>
            <w:r>
              <w:rPr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ab/>
              <w:t>PZP-620x700x800</w:t>
            </w:r>
            <w:r>
              <w:rPr>
                <w:color w:val="000000"/>
                <w:sz w:val="18"/>
              </w:rPr>
              <w:tab/>
              <w:t xml:space="preserve">Podstavec se 3 </w:t>
            </w:r>
            <w:proofErr w:type="spellStart"/>
            <w:r>
              <w:rPr>
                <w:color w:val="000000"/>
                <w:sz w:val="18"/>
              </w:rPr>
              <w:t>zásuvy</w:t>
            </w:r>
            <w:proofErr w:type="spellEnd"/>
            <w:r>
              <w:rPr>
                <w:color w:val="000000"/>
                <w:sz w:val="18"/>
              </w:rPr>
              <w:t xml:space="preserve"> pojízdný 620x700x800 mm</w:t>
            </w:r>
          </w:p>
          <w:p w:rsidR="002525A9" w:rsidRDefault="00A36554">
            <w:pPr>
              <w:tabs>
                <w:tab w:val="center" w:pos="5133"/>
                <w:tab w:val="center" w:pos="6024"/>
                <w:tab w:val="center" w:pos="7782"/>
                <w:tab w:val="center" w:pos="8463"/>
                <w:tab w:val="center" w:pos="9256"/>
                <w:tab w:val="right" w:pos="10642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color w:val="000000"/>
                <w:sz w:val="18"/>
              </w:rPr>
              <w:t xml:space="preserve">1 </w:t>
            </w:r>
            <w:r>
              <w:rPr>
                <w:color w:val="000000"/>
                <w:sz w:val="16"/>
              </w:rPr>
              <w:t>ks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8"/>
              </w:rPr>
              <w:t>7 870,00</w:t>
            </w:r>
            <w:r>
              <w:rPr>
                <w:color w:val="000000"/>
                <w:sz w:val="18"/>
              </w:rPr>
              <w:tab/>
              <w:t>7 870,00</w:t>
            </w:r>
            <w:r>
              <w:rPr>
                <w:color w:val="000000"/>
                <w:sz w:val="18"/>
              </w:rPr>
              <w:tab/>
              <w:t>21%</w:t>
            </w:r>
            <w:r>
              <w:rPr>
                <w:color w:val="000000"/>
                <w:sz w:val="18"/>
              </w:rPr>
              <w:tab/>
              <w:t>1 652,70</w:t>
            </w:r>
            <w:r>
              <w:rPr>
                <w:color w:val="000000"/>
                <w:sz w:val="18"/>
              </w:rPr>
              <w:tab/>
              <w:t>9 522,70</w:t>
            </w:r>
          </w:p>
          <w:p w:rsidR="002525A9" w:rsidRDefault="00A36554">
            <w:pPr>
              <w:ind w:left="454" w:right="356"/>
            </w:pPr>
            <w:proofErr w:type="spellStart"/>
            <w:r>
              <w:rPr>
                <w:b w:val="0"/>
                <w:color w:val="000000"/>
                <w:sz w:val="18"/>
              </w:rPr>
              <w:t>Celonerezové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pojízdné </w:t>
            </w:r>
            <w:proofErr w:type="spellStart"/>
            <w:r>
              <w:rPr>
                <w:b w:val="0"/>
                <w:color w:val="000000"/>
                <w:sz w:val="18"/>
              </w:rPr>
              <w:t>jeklové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provedení, materiál 40x40x1,5 mm, obvodová trnož ve výšce 200 mm, 3 x profilový </w:t>
            </w:r>
            <w:proofErr w:type="spellStart"/>
            <w:r>
              <w:rPr>
                <w:b w:val="0"/>
                <w:color w:val="000000"/>
                <w:sz w:val="18"/>
              </w:rPr>
              <w:t>zásuv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na přepravky 400x600x220 mm, 4 otočná kolečka z toho 2 s brzdou o průměru 100 </w:t>
            </w:r>
            <w:proofErr w:type="gramStart"/>
            <w:r>
              <w:rPr>
                <w:b w:val="0"/>
                <w:color w:val="000000"/>
                <w:sz w:val="18"/>
              </w:rPr>
              <w:t>mm,  rozměry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š 620 h 700 v 800 mm</w:t>
            </w:r>
          </w:p>
        </w:tc>
      </w:tr>
      <w:tr w:rsidR="002525A9">
        <w:trPr>
          <w:trHeight w:val="1718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25A9" w:rsidRDefault="00A36554">
            <w:pPr>
              <w:numPr>
                <w:ilvl w:val="0"/>
                <w:numId w:val="1"/>
              </w:numPr>
              <w:spacing w:after="82"/>
              <w:ind w:right="13" w:hanging="270"/>
            </w:pPr>
            <w:r>
              <w:rPr>
                <w:color w:val="000000"/>
                <w:sz w:val="18"/>
              </w:rPr>
              <w:t>BMPK 3120</w:t>
            </w:r>
            <w:r>
              <w:rPr>
                <w:color w:val="000000"/>
                <w:sz w:val="18"/>
              </w:rPr>
              <w:tab/>
              <w:t xml:space="preserve">Vodní lázeň pojízdná dělená - 3 x GN 1/1 - 200, ovládání na kratší straně </w:t>
            </w:r>
          </w:p>
          <w:p w:rsidR="002525A9" w:rsidRDefault="00A36554">
            <w:pPr>
              <w:numPr>
                <w:ilvl w:val="0"/>
                <w:numId w:val="1"/>
              </w:numPr>
              <w:ind w:right="13" w:hanging="270"/>
            </w:pPr>
            <w:r>
              <w:rPr>
                <w:color w:val="000000"/>
                <w:sz w:val="16"/>
              </w:rPr>
              <w:t>ks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8"/>
              </w:rPr>
              <w:t>26 091,00</w:t>
            </w:r>
            <w:r>
              <w:rPr>
                <w:color w:val="000000"/>
                <w:sz w:val="18"/>
              </w:rPr>
              <w:tab/>
              <w:t>104 364,00</w:t>
            </w:r>
            <w:r>
              <w:rPr>
                <w:color w:val="000000"/>
                <w:sz w:val="18"/>
              </w:rPr>
              <w:tab/>
              <w:t>21%</w:t>
            </w:r>
            <w:r>
              <w:rPr>
                <w:color w:val="000000"/>
                <w:sz w:val="18"/>
              </w:rPr>
              <w:tab/>
              <w:t>21 916,44</w:t>
            </w:r>
            <w:r>
              <w:rPr>
                <w:color w:val="000000"/>
                <w:sz w:val="18"/>
              </w:rPr>
              <w:tab/>
              <w:t>126 280,44</w:t>
            </w:r>
          </w:p>
          <w:p w:rsidR="002525A9" w:rsidRDefault="00A36554">
            <w:pPr>
              <w:ind w:left="454" w:right="346"/>
            </w:pPr>
            <w:r>
              <w:rPr>
                <w:b w:val="0"/>
                <w:color w:val="000000"/>
                <w:sz w:val="18"/>
              </w:rPr>
              <w:t xml:space="preserve">Vodní lázeň je vyrobena z nerezové oceli s lisovanými vanami s hloubkou 230 mm. Vrchní deska má hygienický prolis pro každou vanu. Je určena pro přepravu, udržování a výdej teplých jídel v restauracích, jídelnách. Topná tělesa jsou umístěna pod dny van, což výrazně usnadňuje údržbu a čištění. Každá vana je vybavena síťovým vypínačem, kontrolkou chodu a termostatem pro regulaci teploty do 90°C. Pro pohodlné vypouštění je pod každou z van výpustný ventil. Kapacita 3 x GN 1/1-200, kontrolka zapnutí a vyhřátí, regulace teploty 30-90°C, ovládání na kratší straně, 2x nebržděná otočná kolečka o průměru 12,5 cm, 2x bržděná otočná kolečka o průměru 12,5 cm. Příkon 2,1 kW, napětí 230 V / 50 </w:t>
            </w:r>
            <w:proofErr w:type="spellStart"/>
            <w:proofErr w:type="gramStart"/>
            <w:r>
              <w:rPr>
                <w:b w:val="0"/>
                <w:color w:val="000000"/>
                <w:sz w:val="18"/>
              </w:rPr>
              <w:t>Hz.Rozměr</w:t>
            </w:r>
            <w:proofErr w:type="spellEnd"/>
            <w:proofErr w:type="gramEnd"/>
            <w:r>
              <w:rPr>
                <w:b w:val="0"/>
                <w:color w:val="000000"/>
                <w:sz w:val="18"/>
              </w:rPr>
              <w:t>: d 130,8  š 64,9 v 90 cm.</w:t>
            </w:r>
          </w:p>
        </w:tc>
      </w:tr>
      <w:tr w:rsidR="002525A9">
        <w:trPr>
          <w:trHeight w:val="1294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25A9" w:rsidRDefault="00A36554">
            <w:pPr>
              <w:tabs>
                <w:tab w:val="center" w:pos="743"/>
                <w:tab w:val="center" w:pos="4384"/>
              </w:tabs>
              <w:spacing w:after="82"/>
              <w:ind w:left="0"/>
            </w:pPr>
            <w:r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ab/>
              <w:t>4420521</w:t>
            </w:r>
            <w:r>
              <w:rPr>
                <w:color w:val="000000"/>
                <w:sz w:val="18"/>
              </w:rPr>
              <w:tab/>
              <w:t>Vozík servírovací 800x500 2 policový</w:t>
            </w:r>
          </w:p>
          <w:p w:rsidR="002525A9" w:rsidRDefault="00A36554">
            <w:pPr>
              <w:tabs>
                <w:tab w:val="center" w:pos="5133"/>
                <w:tab w:val="center" w:pos="6024"/>
                <w:tab w:val="center" w:pos="7782"/>
                <w:tab w:val="center" w:pos="8463"/>
                <w:tab w:val="center" w:pos="9256"/>
                <w:tab w:val="right" w:pos="10642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color w:val="000000"/>
                <w:sz w:val="18"/>
              </w:rPr>
              <w:t xml:space="preserve">2 </w:t>
            </w:r>
            <w:r>
              <w:rPr>
                <w:color w:val="000000"/>
                <w:sz w:val="16"/>
              </w:rPr>
              <w:t>ks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8"/>
              </w:rPr>
              <w:t>4 950,00</w:t>
            </w:r>
            <w:r>
              <w:rPr>
                <w:color w:val="000000"/>
                <w:sz w:val="18"/>
              </w:rPr>
              <w:tab/>
              <w:t>9 900,00</w:t>
            </w:r>
            <w:r>
              <w:rPr>
                <w:color w:val="000000"/>
                <w:sz w:val="18"/>
              </w:rPr>
              <w:tab/>
              <w:t>21%</w:t>
            </w:r>
            <w:r>
              <w:rPr>
                <w:color w:val="000000"/>
                <w:sz w:val="18"/>
              </w:rPr>
              <w:tab/>
              <w:t>2 079,00</w:t>
            </w:r>
            <w:r>
              <w:rPr>
                <w:color w:val="000000"/>
                <w:sz w:val="18"/>
              </w:rPr>
              <w:tab/>
              <w:t>11 979,00</w:t>
            </w:r>
          </w:p>
          <w:p w:rsidR="002525A9" w:rsidRDefault="00A36554">
            <w:pPr>
              <w:ind w:left="454" w:right="349"/>
            </w:pPr>
            <w:r>
              <w:rPr>
                <w:b w:val="0"/>
                <w:color w:val="000000"/>
                <w:sz w:val="18"/>
              </w:rPr>
              <w:t xml:space="preserve">Nerezové provedení se čtyřmi otočnými kolečky průměr 100 mm, ( 2x </w:t>
            </w:r>
            <w:proofErr w:type="gramStart"/>
            <w:r>
              <w:rPr>
                <w:b w:val="0"/>
                <w:color w:val="000000"/>
                <w:sz w:val="18"/>
              </w:rPr>
              <w:t>brzděná ). Police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mají prolisované zvednuté okraje pro lepší zabezpečení nádobí při přepravě. Vozíky jsou dodávány v rozebraném stavu, balené v kartonu včetně montážního materiálu. Vzdálenost mezi policemi 550 mm, nosnost police 95 </w:t>
            </w:r>
            <w:proofErr w:type="gramStart"/>
            <w:r>
              <w:rPr>
                <w:b w:val="0"/>
                <w:color w:val="000000"/>
                <w:sz w:val="18"/>
              </w:rPr>
              <w:t>kg . Rozměr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police : 800 x 500 mm. Rozměry: d 800 d </w:t>
            </w:r>
            <w:proofErr w:type="gramStart"/>
            <w:r>
              <w:rPr>
                <w:b w:val="0"/>
                <w:color w:val="000000"/>
                <w:sz w:val="18"/>
              </w:rPr>
              <w:t>500  v 940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mm.</w:t>
            </w:r>
          </w:p>
        </w:tc>
      </w:tr>
      <w:tr w:rsidR="002525A9">
        <w:trPr>
          <w:trHeight w:val="714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25A9" w:rsidRDefault="00A36554">
            <w:pPr>
              <w:tabs>
                <w:tab w:val="center" w:pos="3750"/>
              </w:tabs>
              <w:spacing w:after="82"/>
              <w:ind w:left="0"/>
            </w:pPr>
            <w:r>
              <w:rPr>
                <w:color w:val="000000"/>
                <w:sz w:val="18"/>
              </w:rPr>
              <w:lastRenderedPageBreak/>
              <w:t>5</w:t>
            </w:r>
            <w:r>
              <w:rPr>
                <w:color w:val="000000"/>
                <w:sz w:val="18"/>
              </w:rPr>
              <w:tab/>
              <w:t xml:space="preserve">Expediční náklady </w:t>
            </w:r>
          </w:p>
          <w:p w:rsidR="002525A9" w:rsidRDefault="00A36554">
            <w:pPr>
              <w:tabs>
                <w:tab w:val="center" w:pos="5133"/>
                <w:tab w:val="center" w:pos="6111"/>
                <w:tab w:val="center" w:pos="7869"/>
                <w:tab w:val="center" w:pos="8463"/>
                <w:tab w:val="center" w:pos="9386"/>
                <w:tab w:val="right" w:pos="10642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color w:val="000000"/>
                <w:sz w:val="18"/>
              </w:rPr>
              <w:t xml:space="preserve">1 </w:t>
            </w:r>
            <w:r>
              <w:rPr>
                <w:color w:val="000000"/>
                <w:sz w:val="16"/>
              </w:rPr>
              <w:t>ks</w:t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8"/>
              </w:rPr>
              <w:t>400,00</w:t>
            </w:r>
            <w:r>
              <w:rPr>
                <w:color w:val="000000"/>
                <w:sz w:val="18"/>
              </w:rPr>
              <w:tab/>
              <w:t>400,00</w:t>
            </w:r>
            <w:r>
              <w:rPr>
                <w:color w:val="000000"/>
                <w:sz w:val="18"/>
              </w:rPr>
              <w:tab/>
              <w:t>21%</w:t>
            </w:r>
            <w:r>
              <w:rPr>
                <w:color w:val="000000"/>
                <w:sz w:val="18"/>
              </w:rPr>
              <w:tab/>
              <w:t>84,00</w:t>
            </w:r>
            <w:r>
              <w:rPr>
                <w:color w:val="000000"/>
                <w:sz w:val="18"/>
              </w:rPr>
              <w:tab/>
              <w:t>484,00</w:t>
            </w:r>
          </w:p>
        </w:tc>
      </w:tr>
      <w:tr w:rsidR="002525A9">
        <w:trPr>
          <w:trHeight w:val="475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525A9" w:rsidRDefault="00A36554">
            <w:pPr>
              <w:tabs>
                <w:tab w:val="center" w:pos="7605"/>
                <w:tab w:val="center" w:pos="9066"/>
                <w:tab w:val="right" w:pos="10642"/>
              </w:tabs>
              <w:ind w:left="0"/>
            </w:pPr>
            <w:r>
              <w:rPr>
                <w:b w:val="0"/>
                <w:color w:val="000000"/>
                <w:sz w:val="18"/>
              </w:rPr>
              <w:t>Součet položek</w:t>
            </w:r>
            <w:r>
              <w:rPr>
                <w:b w:val="0"/>
                <w:color w:val="000000"/>
                <w:sz w:val="18"/>
              </w:rPr>
              <w:tab/>
              <w:t>178 514,00</w:t>
            </w:r>
            <w:r>
              <w:rPr>
                <w:b w:val="0"/>
                <w:color w:val="000000"/>
                <w:sz w:val="18"/>
              </w:rPr>
              <w:tab/>
              <w:t>37 487,94</w:t>
            </w:r>
            <w:r>
              <w:rPr>
                <w:b w:val="0"/>
                <w:color w:val="000000"/>
                <w:sz w:val="18"/>
              </w:rPr>
              <w:tab/>
              <w:t>216 001,94</w:t>
            </w:r>
          </w:p>
        </w:tc>
      </w:tr>
      <w:tr w:rsidR="002525A9">
        <w:trPr>
          <w:trHeight w:val="226"/>
        </w:trPr>
        <w:tc>
          <w:tcPr>
            <w:tcW w:w="5247" w:type="dxa"/>
            <w:tcBorders>
              <w:top w:val="nil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525A9" w:rsidRDefault="00A36554">
            <w:pPr>
              <w:ind w:left="0"/>
            </w:pPr>
            <w:r>
              <w:rPr>
                <w:color w:val="FF0000"/>
                <w:sz w:val="20"/>
              </w:rPr>
              <w:t>Celkem k úhradě s DPH:</w:t>
            </w:r>
          </w:p>
        </w:tc>
        <w:tc>
          <w:tcPr>
            <w:tcW w:w="54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00"/>
          </w:tcPr>
          <w:p w:rsidR="002525A9" w:rsidRDefault="00A36554">
            <w:pPr>
              <w:ind w:left="0" w:right="1"/>
              <w:jc w:val="right"/>
            </w:pPr>
            <w:r>
              <w:rPr>
                <w:color w:val="FF0000"/>
                <w:sz w:val="20"/>
              </w:rPr>
              <w:t>216 001,94</w:t>
            </w:r>
          </w:p>
        </w:tc>
      </w:tr>
      <w:tr w:rsidR="002525A9">
        <w:trPr>
          <w:trHeight w:val="104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25A9" w:rsidRDefault="002525A9">
            <w:pPr>
              <w:spacing w:after="160"/>
              <w:ind w:left="0"/>
            </w:pPr>
          </w:p>
        </w:tc>
      </w:tr>
      <w:tr w:rsidR="002525A9">
        <w:trPr>
          <w:trHeight w:val="2369"/>
        </w:trPr>
        <w:tc>
          <w:tcPr>
            <w:tcW w:w="10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spacing w:after="209"/>
              <w:ind w:left="57"/>
            </w:pPr>
            <w:r>
              <w:rPr>
                <w:b w:val="0"/>
                <w:sz w:val="20"/>
              </w:rPr>
              <w:t xml:space="preserve">Dodací </w:t>
            </w:r>
            <w:proofErr w:type="gramStart"/>
            <w:r>
              <w:rPr>
                <w:b w:val="0"/>
                <w:sz w:val="20"/>
              </w:rPr>
              <w:t>lhůta:           do</w:t>
            </w:r>
            <w:proofErr w:type="gramEnd"/>
            <w:r>
              <w:rPr>
                <w:b w:val="0"/>
                <w:sz w:val="20"/>
              </w:rPr>
              <w:t xml:space="preserve"> 7 týdnů od závazného objednání a doručené podepsané KS, nebo dle požadavku zákazníka </w:t>
            </w:r>
          </w:p>
          <w:p w:rsidR="002525A9" w:rsidRDefault="00A36554">
            <w:pPr>
              <w:spacing w:after="209"/>
              <w:ind w:left="57"/>
            </w:pPr>
            <w:r>
              <w:rPr>
                <w:b w:val="0"/>
                <w:sz w:val="20"/>
              </w:rPr>
              <w:t xml:space="preserve">Místo určení:           Domov Barbora, </w:t>
            </w:r>
            <w:proofErr w:type="spellStart"/>
            <w:r>
              <w:rPr>
                <w:b w:val="0"/>
                <w:sz w:val="20"/>
              </w:rPr>
              <w:t>Pirknerovo</w:t>
            </w:r>
            <w:proofErr w:type="spellEnd"/>
            <w:r>
              <w:rPr>
                <w:b w:val="0"/>
                <w:sz w:val="20"/>
              </w:rPr>
              <w:t xml:space="preserve"> náměstí 228, 284 01 Kutná Hora</w:t>
            </w:r>
          </w:p>
          <w:p w:rsidR="002525A9" w:rsidRDefault="00A36554">
            <w:pPr>
              <w:spacing w:after="209"/>
              <w:ind w:left="57"/>
            </w:pPr>
            <w:r>
              <w:rPr>
                <w:b w:val="0"/>
                <w:sz w:val="20"/>
              </w:rPr>
              <w:t xml:space="preserve">Způsob </w:t>
            </w:r>
            <w:proofErr w:type="gramStart"/>
            <w:r>
              <w:rPr>
                <w:b w:val="0"/>
                <w:sz w:val="20"/>
              </w:rPr>
              <w:t>dopravy:      dodavatelem</w:t>
            </w:r>
            <w:proofErr w:type="gramEnd"/>
            <w:r>
              <w:rPr>
                <w:b w:val="0"/>
                <w:sz w:val="20"/>
              </w:rPr>
              <w:t xml:space="preserve"> nebo přepravní společností </w:t>
            </w:r>
            <w:proofErr w:type="spellStart"/>
            <w:r>
              <w:rPr>
                <w:b w:val="0"/>
                <w:sz w:val="20"/>
              </w:rPr>
              <w:t>Toptrans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2525A9" w:rsidRDefault="00A36554">
            <w:pPr>
              <w:ind w:left="57" w:right="234"/>
            </w:pPr>
            <w:r>
              <w:rPr>
                <w:b w:val="0"/>
                <w:sz w:val="20"/>
              </w:rPr>
              <w:t xml:space="preserve">Platební podmínky:   Platba z KS bude uhrazena bezhotovostně se </w:t>
            </w:r>
            <w:proofErr w:type="gramStart"/>
            <w:r>
              <w:rPr>
                <w:b w:val="0"/>
                <w:sz w:val="20"/>
              </w:rPr>
              <w:t>14-ti</w:t>
            </w:r>
            <w:proofErr w:type="gramEnd"/>
            <w:r>
              <w:rPr>
                <w:b w:val="0"/>
                <w:sz w:val="20"/>
              </w:rPr>
              <w:t xml:space="preserve"> denní splatností na účet dodavatele po převzetí a zprovoznění předmětu smlouvy na základě vystaveného daňového dokladu dodavatele.</w:t>
            </w:r>
          </w:p>
        </w:tc>
      </w:tr>
    </w:tbl>
    <w:p w:rsidR="002525A9" w:rsidRDefault="002525A9">
      <w:pPr>
        <w:ind w:left="-1440" w:right="10466"/>
      </w:pPr>
    </w:p>
    <w:tbl>
      <w:tblPr>
        <w:tblStyle w:val="TableGrid"/>
        <w:tblW w:w="10772" w:type="dxa"/>
        <w:tblInd w:w="-873" w:type="dxa"/>
        <w:tblCellMar>
          <w:top w:w="77" w:type="dxa"/>
          <w:left w:w="113" w:type="dxa"/>
          <w:right w:w="114" w:type="dxa"/>
        </w:tblCellMar>
        <w:tblLook w:val="04A0" w:firstRow="1" w:lastRow="0" w:firstColumn="1" w:lastColumn="0" w:noHBand="0" w:noVBand="1"/>
      </w:tblPr>
      <w:tblGrid>
        <w:gridCol w:w="10772"/>
      </w:tblGrid>
      <w:tr w:rsidR="002525A9">
        <w:trPr>
          <w:trHeight w:val="39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tabs>
                <w:tab w:val="center" w:pos="552"/>
                <w:tab w:val="center" w:pos="3753"/>
                <w:tab w:val="center" w:pos="5050"/>
                <w:tab w:val="center" w:pos="6049"/>
                <w:tab w:val="center" w:pos="6712"/>
                <w:tab w:val="center" w:pos="7632"/>
                <w:tab w:val="center" w:pos="8379"/>
                <w:tab w:val="center" w:pos="9182"/>
                <w:tab w:val="center" w:pos="10141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proofErr w:type="spellStart"/>
            <w:proofErr w:type="gramStart"/>
            <w:r>
              <w:rPr>
                <w:color w:val="000000"/>
                <w:sz w:val="16"/>
              </w:rPr>
              <w:t>P.č</w:t>
            </w:r>
            <w:proofErr w:type="spellEnd"/>
            <w:r>
              <w:rPr>
                <w:color w:val="000000"/>
                <w:sz w:val="16"/>
              </w:rPr>
              <w:t>.</w:t>
            </w:r>
            <w:proofErr w:type="gram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Obj</w:t>
            </w:r>
            <w:proofErr w:type="spellEnd"/>
            <w:r>
              <w:rPr>
                <w:color w:val="000000"/>
                <w:sz w:val="16"/>
              </w:rPr>
              <w:t>. číslo</w:t>
            </w:r>
            <w:r>
              <w:rPr>
                <w:color w:val="000000"/>
                <w:sz w:val="16"/>
              </w:rPr>
              <w:tab/>
              <w:t>Označení dodávky</w:t>
            </w:r>
            <w:r>
              <w:rPr>
                <w:color w:val="000000"/>
                <w:sz w:val="16"/>
              </w:rPr>
              <w:tab/>
              <w:t>Množství</w:t>
            </w:r>
            <w:r>
              <w:rPr>
                <w:color w:val="000000"/>
                <w:sz w:val="16"/>
              </w:rPr>
              <w:tab/>
            </w:r>
            <w:proofErr w:type="spellStart"/>
            <w:r>
              <w:rPr>
                <w:color w:val="000000"/>
                <w:sz w:val="16"/>
              </w:rPr>
              <w:t>J.cena</w:t>
            </w:r>
            <w:proofErr w:type="spellEnd"/>
            <w:r>
              <w:rPr>
                <w:color w:val="000000"/>
                <w:sz w:val="16"/>
              </w:rPr>
              <w:tab/>
              <w:t>Sleva</w:t>
            </w:r>
            <w:r>
              <w:rPr>
                <w:color w:val="000000"/>
                <w:sz w:val="16"/>
              </w:rPr>
              <w:tab/>
              <w:t>Cena</w:t>
            </w:r>
            <w:r>
              <w:rPr>
                <w:color w:val="000000"/>
                <w:sz w:val="16"/>
              </w:rPr>
              <w:tab/>
              <w:t>%DPH</w:t>
            </w:r>
            <w:r>
              <w:rPr>
                <w:color w:val="000000"/>
                <w:sz w:val="16"/>
              </w:rPr>
              <w:tab/>
            </w:r>
            <w:proofErr w:type="spellStart"/>
            <w:r>
              <w:rPr>
                <w:color w:val="000000"/>
                <w:sz w:val="16"/>
              </w:rPr>
              <w:t>DPH</w:t>
            </w:r>
            <w:proofErr w:type="spellEnd"/>
            <w:r>
              <w:rPr>
                <w:color w:val="000000"/>
                <w:sz w:val="16"/>
              </w:rPr>
              <w:tab/>
              <w:t>Kč Celkem</w:t>
            </w:r>
          </w:p>
        </w:tc>
      </w:tr>
      <w:tr w:rsidR="002525A9">
        <w:trPr>
          <w:trHeight w:val="14740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spacing w:after="228" w:line="239" w:lineRule="auto"/>
              <w:ind w:left="0"/>
            </w:pPr>
            <w:r>
              <w:rPr>
                <w:b w:val="0"/>
                <w:sz w:val="20"/>
              </w:rPr>
              <w:lastRenderedPageBreak/>
              <w:t xml:space="preserve">Odběratel souhlasí s podmínkami kupní smlouvy uvedenými v této smlouvě. Smlouva je vyhotovena ve dvou stejnopisech, každá ze smluvních stran obdrží po jednom podepsaném exempláři. Pokud dojde k podepsání smlouvy pomocí faxu či e-mailu, považují se tyto kopie za plnohodnotné originálu a právoplatné. </w:t>
            </w:r>
          </w:p>
          <w:p w:rsidR="002525A9" w:rsidRDefault="00A36554">
            <w:pPr>
              <w:spacing w:after="228" w:line="239" w:lineRule="auto"/>
              <w:ind w:left="0" w:right="282"/>
            </w:pPr>
            <w:r>
              <w:rPr>
                <w:b w:val="0"/>
                <w:sz w:val="20"/>
              </w:rPr>
              <w:t xml:space="preserve">Smluvní strany se výslovně dohodly, že veškerá práva a povinnosti upravená touto kupní smlouvou (dále také jen smlouva), jakož i práva a povinnosti z této smlouvy vyplývající, budou řešit podle příslušných ustanovení zákona č. 89/2012 Sb., občanský zákoník, v </w:t>
            </w:r>
            <w:proofErr w:type="spellStart"/>
            <w:r>
              <w:rPr>
                <w:b w:val="0"/>
                <w:sz w:val="20"/>
              </w:rPr>
              <w:t>pl</w:t>
            </w:r>
            <w:proofErr w:type="spellEnd"/>
            <w:r>
              <w:rPr>
                <w:b w:val="0"/>
                <w:sz w:val="20"/>
              </w:rPr>
              <w:t xml:space="preserve">. znění (dále jen „občanský </w:t>
            </w:r>
            <w:proofErr w:type="gramStart"/>
            <w:r>
              <w:rPr>
                <w:b w:val="0"/>
                <w:sz w:val="20"/>
              </w:rPr>
              <w:t>zákoník),  dále</w:t>
            </w:r>
            <w:proofErr w:type="gramEnd"/>
            <w:r>
              <w:rPr>
                <w:b w:val="0"/>
                <w:sz w:val="20"/>
              </w:rPr>
              <w:t xml:space="preserve"> i veškeré změny a dodatky této smlouvy vyžadují písemnou formu podepsanou oběma smluvními stranami. </w:t>
            </w:r>
          </w:p>
          <w:p w:rsidR="002525A9" w:rsidRDefault="00A36554">
            <w:pPr>
              <w:spacing w:after="487"/>
              <w:ind w:left="0"/>
            </w:pPr>
            <w:r>
              <w:rPr>
                <w:b w:val="0"/>
                <w:sz w:val="20"/>
              </w:rPr>
              <w:t>Za dodavatele může dále jednat a podepisovat dodatky i pan Ing. Luděk Široký - jednatel společnosti.</w:t>
            </w:r>
          </w:p>
          <w:p w:rsidR="002525A9" w:rsidRDefault="00A36554">
            <w:pPr>
              <w:spacing w:after="420"/>
              <w:ind w:left="0"/>
            </w:pPr>
            <w:r>
              <w:rPr>
                <w:b w:val="0"/>
                <w:sz w:val="20"/>
              </w:rPr>
              <w:t xml:space="preserve">                                                   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PRODEJNÍ  A  DODACÍ</w:t>
            </w:r>
            <w:proofErr w:type="gramEnd"/>
            <w:r>
              <w:rPr>
                <w:i/>
                <w:sz w:val="24"/>
              </w:rPr>
              <w:t xml:space="preserve">  PODMÍNKY</w:t>
            </w:r>
          </w:p>
          <w:p w:rsidR="002525A9" w:rsidRDefault="00A36554">
            <w:pPr>
              <w:tabs>
                <w:tab w:val="center" w:pos="0"/>
                <w:tab w:val="center" w:pos="4775"/>
              </w:tabs>
              <w:spacing w:after="221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</w:t>
            </w:r>
            <w:r>
              <w:rPr>
                <w:b w:val="0"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1.CENA</w:t>
            </w:r>
            <w:proofErr w:type="gramEnd"/>
            <w:r>
              <w:rPr>
                <w:sz w:val="20"/>
              </w:rPr>
              <w:t xml:space="preserve">  </w:t>
            </w:r>
          </w:p>
          <w:p w:rsidR="002525A9" w:rsidRDefault="00A36554">
            <w:pPr>
              <w:spacing w:after="460" w:line="239" w:lineRule="auto"/>
              <w:ind w:left="0" w:right="305"/>
            </w:pPr>
            <w:r>
              <w:rPr>
                <w:b w:val="0"/>
                <w:sz w:val="20"/>
              </w:rPr>
              <w:t xml:space="preserve">Zboží bude dodáno a fakturováno za prodejní cenu uvedenou v této smlouvě, včetně přepravního obalu. Zboží zůstává majetkem dodavatele až do 100% úhrady zboží odběratelem. Pro případ, že je sjednána povinnost dodavatele odeslat zboží odběrateli do místa určení, přechází nebezpečí za škody na zboží na odběratele v době převzetí od dopravce. </w:t>
            </w:r>
          </w:p>
          <w:p w:rsidR="002525A9" w:rsidRDefault="00A36554">
            <w:pPr>
              <w:numPr>
                <w:ilvl w:val="0"/>
                <w:numId w:val="2"/>
              </w:numPr>
              <w:spacing w:after="218"/>
              <w:ind w:hanging="215"/>
            </w:pPr>
            <w:r>
              <w:rPr>
                <w:sz w:val="20"/>
              </w:rPr>
              <w:t>DODACÍ A PLATEBNÍ PODMÍNKY</w:t>
            </w:r>
          </w:p>
          <w:p w:rsidR="002525A9" w:rsidRDefault="00A36554">
            <w:pPr>
              <w:spacing w:after="232" w:line="239" w:lineRule="auto"/>
              <w:ind w:left="0" w:right="423"/>
            </w:pPr>
            <w:r>
              <w:rPr>
                <w:b w:val="0"/>
                <w:sz w:val="20"/>
              </w:rPr>
              <w:t>Dodávka zboží bude plněna v termínu uvedeném v této smlouvě, po obdržení zálohové platby na účet dodavatele, nebude-li dohodnuto jinak. Zálohová platba nebude od kupujícího vyžadována. Realizace dodávky bude provedena během jednoho dne, nebude-li upřesněno jinak, dle telefonického nebo písemného upřesnění s objednatelem. Po instalaci bude předán dodací list nebo protokol o předání předmětu smlouvy. Dodavatelem bude odborně zaškolen personál kuchyně. Částečné dodávky v případě většího počtu kusů a sortimentu jsou přípustné. V případě dodání zboží dodavatelem a nedodržení platebních podmínek dlužníkem se odběratel zavazuje neuhrazené zboží dodavateli vydat.</w:t>
            </w:r>
          </w:p>
          <w:p w:rsidR="002525A9" w:rsidRDefault="00A36554">
            <w:pPr>
              <w:numPr>
                <w:ilvl w:val="0"/>
                <w:numId w:val="2"/>
              </w:numPr>
              <w:spacing w:after="217"/>
              <w:ind w:hanging="215"/>
            </w:pPr>
            <w:r>
              <w:rPr>
                <w:sz w:val="20"/>
              </w:rPr>
              <w:t>ZÁRUKY A REKLAMACE</w:t>
            </w:r>
          </w:p>
          <w:p w:rsidR="002525A9" w:rsidRDefault="00A36554">
            <w:pPr>
              <w:spacing w:after="461" w:line="239" w:lineRule="auto"/>
              <w:ind w:left="0" w:right="430"/>
            </w:pPr>
            <w:r>
              <w:rPr>
                <w:b w:val="0"/>
                <w:sz w:val="20"/>
              </w:rPr>
              <w:t xml:space="preserve">Dodavatel poskytuje na výrobky tvořící předmět této smlouvy standardní záruku v délce trvání 12 měsíců na všechny položky ve </w:t>
            </w:r>
            <w:proofErr w:type="gramStart"/>
            <w:r>
              <w:rPr>
                <w:b w:val="0"/>
                <w:sz w:val="20"/>
              </w:rPr>
              <w:t>smlouvě. ( Délka</w:t>
            </w:r>
            <w:proofErr w:type="gramEnd"/>
            <w:r>
              <w:rPr>
                <w:b w:val="0"/>
                <w:sz w:val="20"/>
              </w:rPr>
              <w:t xml:space="preserve"> záruky je stanovena výrobcem nebo dovozcem do ČR.) Záruční doba je uvedena na záručním listě u každého zboží zvlášť. Záruka  začíná převzetím výrobku odběratelem od dodavatele </w:t>
            </w:r>
            <w:proofErr w:type="gramStart"/>
            <w:r>
              <w:rPr>
                <w:b w:val="0"/>
                <w:sz w:val="20"/>
              </w:rPr>
              <w:t>viz. bod</w:t>
            </w:r>
            <w:proofErr w:type="gramEnd"/>
            <w:r>
              <w:rPr>
                <w:b w:val="0"/>
                <w:sz w:val="20"/>
              </w:rPr>
              <w:t xml:space="preserve">. č.2. Plnění záruky je řešeno podle rozhodnutím dodavatele buď opravou, nebo výměnou reklamovaného dílu, kterou zajistí opravna dodavatele. Záruka se nevztahuje na vady vzniklé: neodborným zacházením, skladováním a obsluhou, resp. instalací výrobku provedenou odběratelem. Dále se záruka nevztahuje na osvětlovací tělesa, skleněné části výrobku, poškození vlivem přepětím v síti, na enormně namáhané díly (síta, těsnění, apod.) na poškození způsobená tvrdostí vody. Vše je podrobně uvedeno v záručním listě. Reklamace neúplných či nesprávných dodávek nebo zjištěných nedostatků se musí sdělit dodavateli ihned po převzetí zboží. Na pozdější reklamace nebude brán zřetel. V případě, že je sjednána s odběratelem prodloužená záruka, je tato záruka podmíněna jednou garanční prohlídkou po roce provozu, max. však do 13 měsíců ode dne dodání zařízení. Objednání této garanční prohlídky zajistí odběratel písemně u dodavatele a dohodne návštěvu servisního technika na určitý den. Náklady na garanční prohlídku hradí odběratel. Pokud nebude provedena garanční prohlídka do 13 měsíců od data dodání - </w:t>
            </w:r>
            <w:proofErr w:type="gramStart"/>
            <w:r>
              <w:rPr>
                <w:b w:val="0"/>
                <w:sz w:val="20"/>
              </w:rPr>
              <w:t>viz. dodací</w:t>
            </w:r>
            <w:proofErr w:type="gramEnd"/>
            <w:r>
              <w:rPr>
                <w:b w:val="0"/>
                <w:sz w:val="20"/>
              </w:rPr>
              <w:t xml:space="preserve"> list, je na další opravy za strany dodavatele v záruční době hleděno jako na opravy pozáruční.</w:t>
            </w:r>
          </w:p>
          <w:p w:rsidR="002525A9" w:rsidRDefault="00A36554">
            <w:pPr>
              <w:numPr>
                <w:ilvl w:val="0"/>
                <w:numId w:val="2"/>
              </w:numPr>
              <w:spacing w:after="217"/>
              <w:ind w:hanging="215"/>
            </w:pPr>
            <w:proofErr w:type="gramStart"/>
            <w:r>
              <w:rPr>
                <w:sz w:val="20"/>
              </w:rPr>
              <w:t>VYŠŠÍ  MOC</w:t>
            </w:r>
            <w:proofErr w:type="gramEnd"/>
            <w:r>
              <w:rPr>
                <w:sz w:val="20"/>
              </w:rPr>
              <w:t xml:space="preserve">  </w:t>
            </w:r>
          </w:p>
          <w:p w:rsidR="002525A9" w:rsidRDefault="00A36554">
            <w:pPr>
              <w:spacing w:after="475" w:line="239" w:lineRule="auto"/>
              <w:ind w:left="0" w:right="369"/>
            </w:pPr>
            <w:r>
              <w:rPr>
                <w:b w:val="0"/>
                <w:sz w:val="20"/>
              </w:rPr>
              <w:t>Vyšší moc a jiné vážné události, na které nemá vliv dodavatel, jako jsou např. živelné pohromy, jsou podkladem pro možnou změnu této smlouvy o dílo, ale neopravňují ke zrušení této smlouvy o dílo ze strany odběratele. To samé platí i při plnění servisních úkonů s předchozí telefonickou dohodou.</w:t>
            </w:r>
          </w:p>
          <w:p w:rsidR="002525A9" w:rsidRDefault="00A36554">
            <w:pPr>
              <w:numPr>
                <w:ilvl w:val="0"/>
                <w:numId w:val="2"/>
              </w:numPr>
              <w:spacing w:after="651"/>
              <w:ind w:hanging="215"/>
            </w:pPr>
            <w:r>
              <w:rPr>
                <w:sz w:val="20"/>
              </w:rPr>
              <w:t xml:space="preserve">SERVIS  </w:t>
            </w:r>
          </w:p>
          <w:p w:rsidR="002525A9" w:rsidRDefault="00A36554">
            <w:pPr>
              <w:ind w:left="0" w:right="194"/>
              <w:jc w:val="right"/>
            </w:pPr>
            <w:r>
              <w:rPr>
                <w:b w:val="0"/>
                <w:color w:val="000000"/>
                <w:sz w:val="18"/>
              </w:rPr>
              <w:t>Strana 2 dokladu KS18904</w:t>
            </w:r>
          </w:p>
        </w:tc>
      </w:tr>
    </w:tbl>
    <w:p w:rsidR="002525A9" w:rsidRDefault="002525A9">
      <w:pPr>
        <w:ind w:left="-1440" w:right="10466"/>
      </w:pPr>
    </w:p>
    <w:tbl>
      <w:tblPr>
        <w:tblStyle w:val="TableGrid"/>
        <w:tblW w:w="10772" w:type="dxa"/>
        <w:tblInd w:w="-873" w:type="dxa"/>
        <w:tblCellMar>
          <w:top w:w="77" w:type="dxa"/>
          <w:left w:w="113" w:type="dxa"/>
          <w:right w:w="114" w:type="dxa"/>
        </w:tblCellMar>
        <w:tblLook w:val="04A0" w:firstRow="1" w:lastRow="0" w:firstColumn="1" w:lastColumn="0" w:noHBand="0" w:noVBand="1"/>
      </w:tblPr>
      <w:tblGrid>
        <w:gridCol w:w="10772"/>
      </w:tblGrid>
      <w:tr w:rsidR="002525A9">
        <w:trPr>
          <w:trHeight w:val="39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tabs>
                <w:tab w:val="center" w:pos="552"/>
                <w:tab w:val="center" w:pos="3753"/>
                <w:tab w:val="center" w:pos="5050"/>
                <w:tab w:val="center" w:pos="6049"/>
                <w:tab w:val="center" w:pos="6712"/>
                <w:tab w:val="center" w:pos="7632"/>
                <w:tab w:val="center" w:pos="8379"/>
                <w:tab w:val="center" w:pos="9182"/>
                <w:tab w:val="center" w:pos="10141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lastRenderedPageBreak/>
              <w:tab/>
            </w:r>
            <w:proofErr w:type="spellStart"/>
            <w:proofErr w:type="gramStart"/>
            <w:r>
              <w:rPr>
                <w:color w:val="000000"/>
                <w:sz w:val="16"/>
              </w:rPr>
              <w:t>P.č</w:t>
            </w:r>
            <w:proofErr w:type="spellEnd"/>
            <w:r>
              <w:rPr>
                <w:color w:val="000000"/>
                <w:sz w:val="16"/>
              </w:rPr>
              <w:t>.</w:t>
            </w:r>
            <w:proofErr w:type="gram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Obj</w:t>
            </w:r>
            <w:proofErr w:type="spellEnd"/>
            <w:r>
              <w:rPr>
                <w:color w:val="000000"/>
                <w:sz w:val="16"/>
              </w:rPr>
              <w:t>. číslo</w:t>
            </w:r>
            <w:r>
              <w:rPr>
                <w:color w:val="000000"/>
                <w:sz w:val="16"/>
              </w:rPr>
              <w:tab/>
              <w:t>Označení dodávky</w:t>
            </w:r>
            <w:r>
              <w:rPr>
                <w:color w:val="000000"/>
                <w:sz w:val="16"/>
              </w:rPr>
              <w:tab/>
              <w:t>Množství</w:t>
            </w:r>
            <w:r>
              <w:rPr>
                <w:color w:val="000000"/>
                <w:sz w:val="16"/>
              </w:rPr>
              <w:tab/>
            </w:r>
            <w:proofErr w:type="spellStart"/>
            <w:r>
              <w:rPr>
                <w:color w:val="000000"/>
                <w:sz w:val="16"/>
              </w:rPr>
              <w:t>J.cena</w:t>
            </w:r>
            <w:proofErr w:type="spellEnd"/>
            <w:r>
              <w:rPr>
                <w:color w:val="000000"/>
                <w:sz w:val="16"/>
              </w:rPr>
              <w:tab/>
              <w:t>Sleva</w:t>
            </w:r>
            <w:r>
              <w:rPr>
                <w:color w:val="000000"/>
                <w:sz w:val="16"/>
              </w:rPr>
              <w:tab/>
              <w:t>Cena</w:t>
            </w:r>
            <w:r>
              <w:rPr>
                <w:color w:val="000000"/>
                <w:sz w:val="16"/>
              </w:rPr>
              <w:tab/>
              <w:t>%DPH</w:t>
            </w:r>
            <w:r>
              <w:rPr>
                <w:color w:val="000000"/>
                <w:sz w:val="16"/>
              </w:rPr>
              <w:tab/>
            </w:r>
            <w:proofErr w:type="spellStart"/>
            <w:r>
              <w:rPr>
                <w:color w:val="000000"/>
                <w:sz w:val="16"/>
              </w:rPr>
              <w:t>DPH</w:t>
            </w:r>
            <w:proofErr w:type="spellEnd"/>
            <w:r>
              <w:rPr>
                <w:color w:val="000000"/>
                <w:sz w:val="16"/>
              </w:rPr>
              <w:tab/>
              <w:t>Kč Celkem</w:t>
            </w:r>
          </w:p>
        </w:tc>
      </w:tr>
      <w:tr w:rsidR="002525A9">
        <w:trPr>
          <w:trHeight w:val="1436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spacing w:after="456" w:line="239" w:lineRule="auto"/>
              <w:ind w:left="0" w:right="407"/>
            </w:pPr>
            <w:r>
              <w:rPr>
                <w:b w:val="0"/>
                <w:sz w:val="20"/>
              </w:rPr>
              <w:t xml:space="preserve">Servisní zásah bude provedený po písemném vyrozumění ( dopisem, faxem, e-mailem ) odběratelem, kde je nutné uvést: kdo zboží reklamuje, telefonní spojení a jméno osoby, která reklamaci vyřizuje, o jaký výrobek se jedná, kopie daňového dokladu, kterým byl výrobek u naší společnosti zakoupen, výrobní číslo, podrobný popis závady ( případně </w:t>
            </w:r>
            <w:proofErr w:type="gramStart"/>
            <w:r>
              <w:rPr>
                <w:b w:val="0"/>
                <w:sz w:val="20"/>
              </w:rPr>
              <w:t>fotodokumentace ). Dodavatel</w:t>
            </w:r>
            <w:proofErr w:type="gramEnd"/>
            <w:r>
              <w:rPr>
                <w:b w:val="0"/>
                <w:sz w:val="20"/>
              </w:rPr>
              <w:t xml:space="preserve"> je povinen toto vyrozumění bez odkladu ihned potvrdit. Servisní zásah bude provedený v co možná nejkratším termínu, který dodavatel zjistí u servisního střediska a bude o tom neprodleně odběratele informovat. Společně dohodnou termín opravy s výjimkou bodu č. 4. Servis v záruční a pozáruční lhůtě bude zajišťován dodavatelem, nebo servisním střediskem, které zajistí dodavatel. Oprávněné záruční opravy budou hrazeny dodavatelem. Neoprávněné záruční opravy budou hrazeny odběratelem. Odběratel souhlasí s následujícími podmínkami vyřízení reklamace: V případě výjezdu servisního technika na reklamaci a prokázání nezáruční opravy, budou odběrateli tyto náklady na opravu účtovány dle uvedených cen: Práce 400 Kč/hod, doprava 10 Kč/km, popřípadě náhradní díly dle ceníkových cen. Ceny jsou uvedeny bez DPH ( </w:t>
            </w:r>
            <w:proofErr w:type="gramStart"/>
            <w:r>
              <w:rPr>
                <w:b w:val="0"/>
                <w:sz w:val="20"/>
              </w:rPr>
              <w:t>21 % ). Pozáruční</w:t>
            </w:r>
            <w:proofErr w:type="gramEnd"/>
            <w:r>
              <w:rPr>
                <w:b w:val="0"/>
                <w:sz w:val="20"/>
              </w:rPr>
              <w:t xml:space="preserve"> servisní opravy budou hrazeny odběratelem. Doprava výrobku na záruční opravu není předmětem záruky.</w:t>
            </w:r>
          </w:p>
          <w:p w:rsidR="002525A9" w:rsidRDefault="00A36554">
            <w:pPr>
              <w:ind w:left="0"/>
            </w:pPr>
            <w:r>
              <w:rPr>
                <w:b w:val="0"/>
                <w:sz w:val="20"/>
              </w:rPr>
              <w:t xml:space="preserve">                                                                   </w:t>
            </w:r>
          </w:p>
          <w:p w:rsidR="002525A9" w:rsidRDefault="00A36554">
            <w:pPr>
              <w:numPr>
                <w:ilvl w:val="0"/>
                <w:numId w:val="3"/>
              </w:numPr>
              <w:spacing w:after="217"/>
              <w:ind w:hanging="215"/>
            </w:pPr>
            <w:r>
              <w:rPr>
                <w:sz w:val="20"/>
              </w:rPr>
              <w:t>PENÁLE A SANKCE</w:t>
            </w:r>
          </w:p>
          <w:p w:rsidR="002525A9" w:rsidRDefault="00A36554">
            <w:pPr>
              <w:spacing w:line="239" w:lineRule="auto"/>
              <w:ind w:left="0" w:right="322"/>
            </w:pPr>
            <w:r>
              <w:rPr>
                <w:b w:val="0"/>
                <w:sz w:val="20"/>
              </w:rPr>
              <w:t xml:space="preserve">Po sepsání kupní smlouvy ( smlouvy o </w:t>
            </w:r>
            <w:proofErr w:type="gramStart"/>
            <w:r>
              <w:rPr>
                <w:b w:val="0"/>
                <w:sz w:val="20"/>
              </w:rPr>
              <w:t>dílo ) a následném</w:t>
            </w:r>
            <w:proofErr w:type="gramEnd"/>
            <w:r>
              <w:rPr>
                <w:b w:val="0"/>
                <w:sz w:val="20"/>
              </w:rPr>
              <w:t xml:space="preserve"> zrušení objednávky odběratelem, uhradí odběratel dodavateli penále ve výši 20% celkové smlouvy o dílo z objednaného zboží. Pro případ prodlení odběratele s placením faktury po době splatnosti sjednávají smluvní pokutu z prodlení ve výši 0,1% za každý den z celkové kupní ceny až do doby úplného zaplacení. Pro případ prodlení dodavatele s dodávkou proti termínu dodávky, uvedeném ve smlouvě, je sjednána smluvní pokuta ve výši 0,1% za každý den prodlení z celkové kupní ceny.</w:t>
            </w:r>
          </w:p>
          <w:p w:rsidR="002525A9" w:rsidRDefault="00A36554">
            <w:pPr>
              <w:ind w:left="0"/>
            </w:pPr>
            <w:r>
              <w:rPr>
                <w:b w:val="0"/>
                <w:sz w:val="20"/>
              </w:rPr>
              <w:t xml:space="preserve">                                                        </w:t>
            </w:r>
          </w:p>
          <w:p w:rsidR="002525A9" w:rsidRDefault="00A36554">
            <w:pPr>
              <w:numPr>
                <w:ilvl w:val="0"/>
                <w:numId w:val="3"/>
              </w:numPr>
              <w:spacing w:after="217"/>
              <w:ind w:hanging="215"/>
            </w:pPr>
            <w:proofErr w:type="gramStart"/>
            <w:r>
              <w:rPr>
                <w:sz w:val="20"/>
              </w:rPr>
              <w:t>ZÁVĚREČNÁ  USTANOVENÍ</w:t>
            </w:r>
            <w:proofErr w:type="gramEnd"/>
          </w:p>
          <w:p w:rsidR="002525A9" w:rsidRDefault="00A36554">
            <w:pPr>
              <w:spacing w:after="684" w:line="239" w:lineRule="auto"/>
              <w:ind w:left="0" w:right="394"/>
            </w:pPr>
            <w:r>
              <w:rPr>
                <w:b w:val="0"/>
                <w:sz w:val="20"/>
              </w:rPr>
              <w:t xml:space="preserve">Specifikace technologie je podrobně popsána u konkrétního zboží. Obě strany prohlašují, že předem souhlasí v souladu se zněním zákona č.106/1999 Sb. ( o svobodném přístupu k </w:t>
            </w:r>
            <w:proofErr w:type="gramStart"/>
            <w:r>
              <w:rPr>
                <w:b w:val="0"/>
                <w:sz w:val="20"/>
              </w:rPr>
              <w:t>informacím ), s možným</w:t>
            </w:r>
            <w:proofErr w:type="gramEnd"/>
            <w:r>
              <w:rPr>
                <w:b w:val="0"/>
                <w:sz w:val="20"/>
              </w:rPr>
              <w:t xml:space="preserve"> zpřístupněním, či zveřejněním celé této smlouvy v jejím plném znění, jakož i všech úkonů a okolností s touto smlouvou souvisejících, ke kterému může kdykoli v budoucnu dojít. Tato smlouva nabývá platnosti podpisem obou smluvních stran, je vyhotovena ve dvou stejnopisech, které mají platnost originálu, z nichž každá strana obdrží jeden výtisk. Doplňky a změny k této smlouvě mohou být prováděny pouze formou dodatku, na základě souhlasu obou smluvních partnerů. Závazky plnění vyplývající z této smlouvy přecházejí po dobu její platnosti i na právního následníka smluvních subjektů, mezi kterými je smlouva uzavřena. Smluvní strany prohlašují, že tato smlouva vyjadřuje jejich svobodnou, pravou a vážnou vůli a že nebyla uzavřena v tísni ani za nápadně nevýhodných podmínek. K tomu na důkaz připojují své podpisy.</w:t>
            </w:r>
          </w:p>
          <w:p w:rsidR="002525A9" w:rsidRDefault="00A36554">
            <w:pPr>
              <w:spacing w:after="67"/>
              <w:ind w:left="0"/>
            </w:pPr>
            <w:r>
              <w:rPr>
                <w:b w:val="0"/>
                <w:sz w:val="20"/>
              </w:rPr>
              <w:t xml:space="preserve">                                 </w:t>
            </w:r>
            <w:proofErr w:type="gramStart"/>
            <w:r>
              <w:rPr>
                <w:b w:val="0"/>
                <w:sz w:val="20"/>
              </w:rPr>
              <w:t>za  firmu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Cor</w:t>
            </w:r>
            <w:proofErr w:type="spellEnd"/>
            <w:r>
              <w:rPr>
                <w:b w:val="0"/>
                <w:sz w:val="20"/>
              </w:rPr>
              <w:t xml:space="preserve"> HB, s.r.o.                                   razítko organizace a podpis odpovědné osoby </w:t>
            </w:r>
          </w:p>
          <w:p w:rsidR="002525A9" w:rsidRDefault="00A36554">
            <w:pPr>
              <w:tabs>
                <w:tab w:val="center" w:pos="2734"/>
                <w:tab w:val="center" w:pos="7812"/>
              </w:tabs>
              <w:spacing w:after="59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sz w:val="20"/>
              </w:rPr>
              <w:t>Jaroslav Houdek</w:t>
            </w:r>
            <w:r>
              <w:rPr>
                <w:b w:val="0"/>
                <w:sz w:val="20"/>
              </w:rPr>
              <w:tab/>
            </w:r>
            <w:proofErr w:type="spellStart"/>
            <w:r>
              <w:rPr>
                <w:b w:val="0"/>
                <w:sz w:val="20"/>
              </w:rPr>
              <w:t>Mgr.Bc.Jitka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Řepová,MBA</w:t>
            </w:r>
            <w:proofErr w:type="spellEnd"/>
          </w:p>
          <w:p w:rsidR="002525A9" w:rsidRDefault="00A36554">
            <w:pPr>
              <w:tabs>
                <w:tab w:val="center" w:pos="2729"/>
                <w:tab w:val="center" w:pos="7793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sz w:val="20"/>
              </w:rPr>
              <w:t>jednatel společnosti</w:t>
            </w:r>
            <w:r>
              <w:rPr>
                <w:b w:val="0"/>
                <w:sz w:val="20"/>
              </w:rPr>
              <w:tab/>
              <w:t>ředitelka Domova Barbora Kutná Hora</w:t>
            </w:r>
          </w:p>
        </w:tc>
      </w:tr>
      <w:tr w:rsidR="002525A9">
        <w:trPr>
          <w:trHeight w:val="369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5A9" w:rsidRDefault="00A36554">
            <w:pPr>
              <w:ind w:left="0" w:right="194"/>
              <w:jc w:val="right"/>
            </w:pPr>
            <w:r>
              <w:rPr>
                <w:b w:val="0"/>
                <w:color w:val="000000"/>
                <w:sz w:val="18"/>
              </w:rPr>
              <w:lastRenderedPageBreak/>
              <w:t>Strana 3 dokladu KS18904</w:t>
            </w:r>
          </w:p>
        </w:tc>
      </w:tr>
    </w:tbl>
    <w:p w:rsidR="00A36554" w:rsidRDefault="00A36554"/>
    <w:sectPr w:rsidR="00A36554">
      <w:pgSz w:w="11906" w:h="16838"/>
      <w:pgMar w:top="567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9E"/>
    <w:multiLevelType w:val="hybridMultilevel"/>
    <w:tmpl w:val="C46CD840"/>
    <w:lvl w:ilvl="0" w:tplc="A10E47AA">
      <w:start w:val="3"/>
      <w:numFmt w:val="decimal"/>
      <w:lvlText w:val="%1"/>
      <w:lvlJc w:val="left"/>
      <w:pPr>
        <w:ind w:left="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0AE20C">
      <w:start w:val="1"/>
      <w:numFmt w:val="lowerLetter"/>
      <w:lvlText w:val="%2"/>
      <w:lvlJc w:val="left"/>
      <w:pPr>
        <w:ind w:left="36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DEE396">
      <w:start w:val="1"/>
      <w:numFmt w:val="lowerRoman"/>
      <w:lvlText w:val="%3"/>
      <w:lvlJc w:val="left"/>
      <w:pPr>
        <w:ind w:left="4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4463C0">
      <w:start w:val="1"/>
      <w:numFmt w:val="decimal"/>
      <w:lvlText w:val="%4"/>
      <w:lvlJc w:val="left"/>
      <w:pPr>
        <w:ind w:left="5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053B0">
      <w:start w:val="1"/>
      <w:numFmt w:val="lowerLetter"/>
      <w:lvlText w:val="%5"/>
      <w:lvlJc w:val="left"/>
      <w:pPr>
        <w:ind w:left="5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96CE16">
      <w:start w:val="1"/>
      <w:numFmt w:val="lowerRoman"/>
      <w:lvlText w:val="%6"/>
      <w:lvlJc w:val="left"/>
      <w:pPr>
        <w:ind w:left="6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E275A6">
      <w:start w:val="1"/>
      <w:numFmt w:val="decimal"/>
      <w:lvlText w:val="%7"/>
      <w:lvlJc w:val="left"/>
      <w:pPr>
        <w:ind w:left="7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6DACA">
      <w:start w:val="1"/>
      <w:numFmt w:val="lowerLetter"/>
      <w:lvlText w:val="%8"/>
      <w:lvlJc w:val="left"/>
      <w:pPr>
        <w:ind w:left="7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0762A">
      <w:start w:val="1"/>
      <w:numFmt w:val="lowerRoman"/>
      <w:lvlText w:val="%9"/>
      <w:lvlJc w:val="left"/>
      <w:pPr>
        <w:ind w:left="8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9553E"/>
    <w:multiLevelType w:val="hybridMultilevel"/>
    <w:tmpl w:val="C28282EE"/>
    <w:lvl w:ilvl="0" w:tplc="7816741E">
      <w:start w:val="6"/>
      <w:numFmt w:val="decimal"/>
      <w:lvlText w:val="%1.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0EC7E">
      <w:start w:val="1"/>
      <w:numFmt w:val="lowerLetter"/>
      <w:lvlText w:val="%2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8A5C8">
      <w:start w:val="1"/>
      <w:numFmt w:val="lowerRoman"/>
      <w:lvlText w:val="%3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943CE6">
      <w:start w:val="1"/>
      <w:numFmt w:val="decimal"/>
      <w:lvlText w:val="%4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4AE1C">
      <w:start w:val="1"/>
      <w:numFmt w:val="lowerLetter"/>
      <w:lvlText w:val="%5"/>
      <w:lvlJc w:val="left"/>
      <w:pPr>
        <w:ind w:left="710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8E60C">
      <w:start w:val="1"/>
      <w:numFmt w:val="lowerRoman"/>
      <w:lvlText w:val="%6"/>
      <w:lvlJc w:val="left"/>
      <w:pPr>
        <w:ind w:left="782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67008">
      <w:start w:val="1"/>
      <w:numFmt w:val="decimal"/>
      <w:lvlText w:val="%7"/>
      <w:lvlJc w:val="left"/>
      <w:pPr>
        <w:ind w:left="854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2FAAE">
      <w:start w:val="1"/>
      <w:numFmt w:val="lowerLetter"/>
      <w:lvlText w:val="%8"/>
      <w:lvlJc w:val="left"/>
      <w:pPr>
        <w:ind w:left="926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26DF0">
      <w:start w:val="1"/>
      <w:numFmt w:val="lowerRoman"/>
      <w:lvlText w:val="%9"/>
      <w:lvlJc w:val="left"/>
      <w:pPr>
        <w:ind w:left="99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4A5DDD"/>
    <w:multiLevelType w:val="hybridMultilevel"/>
    <w:tmpl w:val="7B5E30D8"/>
    <w:lvl w:ilvl="0" w:tplc="16A071A4">
      <w:start w:val="2"/>
      <w:numFmt w:val="decimal"/>
      <w:lvlText w:val="%1.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2B2BA">
      <w:start w:val="1"/>
      <w:numFmt w:val="lowerLetter"/>
      <w:lvlText w:val="%2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B44380">
      <w:start w:val="1"/>
      <w:numFmt w:val="lowerRoman"/>
      <w:lvlText w:val="%3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80792">
      <w:start w:val="1"/>
      <w:numFmt w:val="decimal"/>
      <w:lvlText w:val="%4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27F14">
      <w:start w:val="1"/>
      <w:numFmt w:val="lowerLetter"/>
      <w:lvlText w:val="%5"/>
      <w:lvlJc w:val="left"/>
      <w:pPr>
        <w:ind w:left="727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41F42">
      <w:start w:val="1"/>
      <w:numFmt w:val="lowerRoman"/>
      <w:lvlText w:val="%6"/>
      <w:lvlJc w:val="left"/>
      <w:pPr>
        <w:ind w:left="799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1A7AB8">
      <w:start w:val="1"/>
      <w:numFmt w:val="decimal"/>
      <w:lvlText w:val="%7"/>
      <w:lvlJc w:val="left"/>
      <w:pPr>
        <w:ind w:left="871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542E9C">
      <w:start w:val="1"/>
      <w:numFmt w:val="lowerLetter"/>
      <w:lvlText w:val="%8"/>
      <w:lvlJc w:val="left"/>
      <w:pPr>
        <w:ind w:left="943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40E30">
      <w:start w:val="1"/>
      <w:numFmt w:val="lowerRoman"/>
      <w:lvlText w:val="%9"/>
      <w:lvlJc w:val="left"/>
      <w:pPr>
        <w:ind w:left="1015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A9"/>
    <w:rsid w:val="000C5953"/>
    <w:rsid w:val="002525A9"/>
    <w:rsid w:val="003A2FC6"/>
    <w:rsid w:val="00A36554"/>
    <w:rsid w:val="00AB2FF3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853E2-4C18-4CFD-B561-55CC835F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2466"/>
    </w:pPr>
    <w:rPr>
      <w:rFonts w:ascii="Arial" w:eastAsia="Arial" w:hAnsi="Arial" w:cs="Arial"/>
      <w:b/>
      <w:color w:val="00008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Jarda</dc:creator>
  <cp:keywords/>
  <cp:lastModifiedBy>Eko Eko</cp:lastModifiedBy>
  <cp:revision>5</cp:revision>
  <dcterms:created xsi:type="dcterms:W3CDTF">2018-09-19T08:20:00Z</dcterms:created>
  <dcterms:modified xsi:type="dcterms:W3CDTF">2018-09-19T12:41:00Z</dcterms:modified>
</cp:coreProperties>
</file>