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68564D" w:rsidRDefault="0068564D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9F300B" w:rsidRPr="00511057" w:rsidRDefault="009F300B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9F300B" w:rsidRPr="00511057" w:rsidRDefault="009F300B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2C3558" w:rsidRPr="00F44BC0" w:rsidRDefault="00A813D7" w:rsidP="002C3558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2C355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2C3558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2C3558" w:rsidRDefault="00A813D7" w:rsidP="002C3558">
      <w:pPr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2C355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2C3558" w:rsidRPr="008F04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252E4" w:rsidRPr="008F0479" w:rsidRDefault="008252E4" w:rsidP="002C355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9F300B" w:rsidRDefault="009F300B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2C3558">
        <w:rPr>
          <w:rFonts w:ascii="Arial" w:hAnsi="Arial" w:cs="Arial"/>
          <w:b/>
          <w:color w:val="000000"/>
          <w:spacing w:val="-3"/>
        </w:rPr>
        <w:t>685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2C3558">
        <w:rPr>
          <w:rFonts w:ascii="Arial" w:hAnsi="Arial" w:cs="Arial"/>
          <w:b/>
          <w:color w:val="000000"/>
          <w:spacing w:val="-3"/>
        </w:rPr>
        <w:t>3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2C3558">
        <w:rPr>
          <w:rFonts w:ascii="Arial" w:hAnsi="Arial" w:cs="Arial"/>
          <w:b/>
          <w:color w:val="000000"/>
          <w:spacing w:val="-3"/>
        </w:rPr>
        <w:t>55170_2</w:t>
      </w:r>
      <w:r w:rsidR="00052DA7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D34D50" w:rsidRDefault="00D34D50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D34D50" w:rsidRDefault="008252E4" w:rsidP="00D34D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0F0C0F">
        <w:rPr>
          <w:rFonts w:ascii="Arial" w:hAnsi="Arial" w:cs="Arial"/>
          <w:sz w:val="22"/>
          <w:szCs w:val="22"/>
        </w:rPr>
        <w:t>Strana povinná prohlašuje, že je vlastníkem věc</w:t>
      </w:r>
      <w:r w:rsidR="00E25DFB" w:rsidRPr="000F0C0F">
        <w:rPr>
          <w:rFonts w:ascii="Arial" w:hAnsi="Arial" w:cs="Arial"/>
          <w:sz w:val="22"/>
          <w:szCs w:val="22"/>
        </w:rPr>
        <w:t>í</w:t>
      </w:r>
      <w:r w:rsidR="00D21DE4" w:rsidRPr="000F0C0F">
        <w:rPr>
          <w:rFonts w:ascii="Arial" w:hAnsi="Arial" w:cs="Arial"/>
          <w:sz w:val="22"/>
          <w:szCs w:val="22"/>
        </w:rPr>
        <w:t xml:space="preserve"> nemovit</w:t>
      </w:r>
      <w:r w:rsidR="00E25DFB" w:rsidRPr="000F0C0F">
        <w:rPr>
          <w:rFonts w:ascii="Arial" w:hAnsi="Arial" w:cs="Arial"/>
          <w:sz w:val="22"/>
          <w:szCs w:val="22"/>
        </w:rPr>
        <w:t>ých</w:t>
      </w:r>
      <w:r w:rsidR="00D21DE4" w:rsidRPr="000F0C0F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="00D21DE4" w:rsidRPr="000F0C0F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0F0C0F">
        <w:rPr>
          <w:rFonts w:ascii="Arial" w:hAnsi="Arial" w:cs="Arial"/>
          <w:sz w:val="22"/>
          <w:szCs w:val="22"/>
        </w:rPr>
        <w:t xml:space="preserve">. </w:t>
      </w:r>
      <w:r w:rsidR="00BA4465">
        <w:rPr>
          <w:rFonts w:ascii="Arial" w:hAnsi="Arial" w:cs="Arial"/>
          <w:sz w:val="22"/>
          <w:szCs w:val="22"/>
        </w:rPr>
        <w:t>362/43, 362/58, 362/59, 362/60, 362/61, 362/66, 362/105, 394/10, 2327/4, 2331, 2333/15, 2500/25 a 2500/27</w:t>
      </w:r>
      <w:r w:rsidR="005D4A8A" w:rsidRPr="000F0C0F">
        <w:rPr>
          <w:rFonts w:ascii="Arial" w:hAnsi="Arial" w:cs="Arial"/>
          <w:sz w:val="22"/>
          <w:szCs w:val="22"/>
        </w:rPr>
        <w:t>, vše</w:t>
      </w:r>
      <w:r w:rsidR="00D21DE4" w:rsidRPr="000F0C0F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0F0C0F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0F0C0F">
        <w:rPr>
          <w:rFonts w:ascii="Arial" w:hAnsi="Arial" w:cs="Arial"/>
          <w:sz w:val="22"/>
          <w:szCs w:val="22"/>
        </w:rPr>
        <w:t xml:space="preserve">. </w:t>
      </w:r>
      <w:r w:rsidR="003E5AF7" w:rsidRPr="000F0C0F">
        <w:rPr>
          <w:rFonts w:ascii="Arial" w:hAnsi="Arial" w:cs="Arial"/>
          <w:sz w:val="22"/>
          <w:szCs w:val="22"/>
        </w:rPr>
        <w:t>Jablonec nad Nisou</w:t>
      </w:r>
      <w:r w:rsidR="00D21DE4" w:rsidRPr="000F0C0F">
        <w:rPr>
          <w:rFonts w:ascii="Arial" w:hAnsi="Arial" w:cs="Arial"/>
          <w:sz w:val="22"/>
          <w:szCs w:val="22"/>
        </w:rPr>
        <w:t>, zapsan</w:t>
      </w:r>
      <w:r w:rsidR="00D86E0A" w:rsidRPr="000F0C0F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3E5AF7">
        <w:rPr>
          <w:rFonts w:ascii="Arial" w:hAnsi="Arial" w:cs="Arial"/>
          <w:sz w:val="22"/>
          <w:szCs w:val="22"/>
        </w:rPr>
        <w:t xml:space="preserve">Jablonec nad Nisou </w:t>
      </w:r>
      <w:r w:rsidR="00C522CF">
        <w:rPr>
          <w:rFonts w:ascii="Arial" w:hAnsi="Arial" w:cs="Arial"/>
          <w:sz w:val="22"/>
          <w:szCs w:val="22"/>
        </w:rPr>
        <w:t xml:space="preserve">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A06A4D" w:rsidRDefault="008252E4" w:rsidP="00A06A4D">
      <w:pPr>
        <w:tabs>
          <w:tab w:val="left" w:pos="709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lastRenderedPageBreak/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A06A4D" w:rsidRPr="00CD27BE">
        <w:rPr>
          <w:rFonts w:ascii="Arial" w:hAnsi="Arial" w:cs="Arial"/>
          <w:bCs/>
          <w:sz w:val="22"/>
          <w:szCs w:val="22"/>
        </w:rPr>
        <w:t xml:space="preserve">Strana oprávněná bere výslovně na vědomí, že </w:t>
      </w:r>
      <w:proofErr w:type="spellStart"/>
      <w:r w:rsidR="00A06A4D" w:rsidRPr="00CD27BE">
        <w:rPr>
          <w:rFonts w:ascii="Arial" w:hAnsi="Arial" w:cs="Arial"/>
          <w:bCs/>
          <w:sz w:val="22"/>
          <w:szCs w:val="22"/>
        </w:rPr>
        <w:t>p.p.č</w:t>
      </w:r>
      <w:proofErr w:type="spellEnd"/>
      <w:r w:rsidR="00A06A4D" w:rsidRPr="00CD27BE">
        <w:rPr>
          <w:rFonts w:ascii="Arial" w:hAnsi="Arial" w:cs="Arial"/>
          <w:bCs/>
          <w:sz w:val="22"/>
          <w:szCs w:val="22"/>
        </w:rPr>
        <w:t xml:space="preserve">. </w:t>
      </w:r>
      <w:r w:rsidR="00D762B5">
        <w:rPr>
          <w:rFonts w:ascii="Arial" w:hAnsi="Arial" w:cs="Arial"/>
          <w:bCs/>
          <w:sz w:val="22"/>
          <w:szCs w:val="22"/>
        </w:rPr>
        <w:t xml:space="preserve">362/43, </w:t>
      </w:r>
      <w:r w:rsidR="001F515B">
        <w:rPr>
          <w:rFonts w:ascii="Arial" w:hAnsi="Arial" w:cs="Arial"/>
          <w:bCs/>
          <w:sz w:val="22"/>
          <w:szCs w:val="22"/>
        </w:rPr>
        <w:t>362/58,</w:t>
      </w:r>
      <w:r w:rsidR="00D762B5">
        <w:rPr>
          <w:rFonts w:ascii="Arial" w:hAnsi="Arial" w:cs="Arial"/>
          <w:bCs/>
          <w:sz w:val="22"/>
          <w:szCs w:val="22"/>
        </w:rPr>
        <w:t xml:space="preserve"> 362/59, 362/60, 362/61, 362/62, 362/66, </w:t>
      </w:r>
      <w:r w:rsidR="008149A7">
        <w:rPr>
          <w:rFonts w:ascii="Arial" w:hAnsi="Arial" w:cs="Arial"/>
          <w:bCs/>
          <w:sz w:val="22"/>
          <w:szCs w:val="22"/>
        </w:rPr>
        <w:t xml:space="preserve">362/105, </w:t>
      </w:r>
      <w:r w:rsidR="00D762B5">
        <w:rPr>
          <w:rFonts w:ascii="Arial" w:hAnsi="Arial" w:cs="Arial"/>
          <w:bCs/>
          <w:sz w:val="22"/>
          <w:szCs w:val="22"/>
        </w:rPr>
        <w:t>394/10, 2331 a 2333/15,</w:t>
      </w:r>
      <w:r w:rsidR="00A06A4D">
        <w:rPr>
          <w:rFonts w:ascii="Arial" w:hAnsi="Arial" w:cs="Arial"/>
          <w:bCs/>
          <w:sz w:val="22"/>
          <w:szCs w:val="22"/>
        </w:rPr>
        <w:t xml:space="preserve"> </w:t>
      </w:r>
      <w:r w:rsidR="00A06A4D" w:rsidRPr="00CD27BE">
        <w:rPr>
          <w:rFonts w:ascii="Arial" w:hAnsi="Arial" w:cs="Arial"/>
          <w:bCs/>
          <w:sz w:val="22"/>
          <w:szCs w:val="22"/>
        </w:rPr>
        <w:t>v </w:t>
      </w:r>
      <w:proofErr w:type="spellStart"/>
      <w:r w:rsidR="00A06A4D" w:rsidRPr="00CD27BE">
        <w:rPr>
          <w:rFonts w:ascii="Arial" w:hAnsi="Arial" w:cs="Arial"/>
          <w:bCs/>
          <w:sz w:val="22"/>
          <w:szCs w:val="22"/>
        </w:rPr>
        <w:t>k.ú</w:t>
      </w:r>
      <w:proofErr w:type="spellEnd"/>
      <w:r w:rsidR="00A06A4D" w:rsidRPr="00CD27BE">
        <w:rPr>
          <w:rFonts w:ascii="Arial" w:hAnsi="Arial" w:cs="Arial"/>
          <w:bCs/>
          <w:sz w:val="22"/>
          <w:szCs w:val="22"/>
        </w:rPr>
        <w:t>. Jablonec nad Nisou j</w:t>
      </w:r>
      <w:r w:rsidR="00D762B5">
        <w:rPr>
          <w:rFonts w:ascii="Arial" w:hAnsi="Arial" w:cs="Arial"/>
          <w:bCs/>
          <w:sz w:val="22"/>
          <w:szCs w:val="22"/>
        </w:rPr>
        <w:t>sou</w:t>
      </w:r>
      <w:r w:rsidR="00A06A4D" w:rsidRPr="00CD27BE">
        <w:rPr>
          <w:rFonts w:ascii="Arial" w:hAnsi="Arial" w:cs="Arial"/>
          <w:bCs/>
          <w:sz w:val="22"/>
          <w:szCs w:val="22"/>
        </w:rPr>
        <w:t xml:space="preserve"> dotčen</w:t>
      </w:r>
      <w:r w:rsidR="00D762B5">
        <w:rPr>
          <w:rFonts w:ascii="Arial" w:hAnsi="Arial" w:cs="Arial"/>
          <w:bCs/>
          <w:sz w:val="22"/>
          <w:szCs w:val="22"/>
        </w:rPr>
        <w:t>y</w:t>
      </w:r>
      <w:r w:rsidR="00A06A4D" w:rsidRPr="00CD27BE">
        <w:rPr>
          <w:rFonts w:ascii="Arial" w:hAnsi="Arial" w:cs="Arial"/>
          <w:bCs/>
          <w:sz w:val="22"/>
          <w:szCs w:val="22"/>
        </w:rPr>
        <w:t xml:space="preserve"> dotační akcí </w:t>
      </w:r>
      <w:r w:rsidR="00D762B5">
        <w:rPr>
          <w:rFonts w:ascii="Arial" w:hAnsi="Arial" w:cs="Arial"/>
          <w:bCs/>
          <w:sz w:val="22"/>
          <w:szCs w:val="22"/>
        </w:rPr>
        <w:t>IOP 2014</w:t>
      </w:r>
      <w:r w:rsidR="00A06A4D" w:rsidRPr="00CD27BE">
        <w:rPr>
          <w:rFonts w:ascii="Arial" w:hAnsi="Arial" w:cs="Arial"/>
          <w:bCs/>
          <w:sz w:val="22"/>
          <w:szCs w:val="22"/>
        </w:rPr>
        <w:t xml:space="preserve"> – IPRM „</w:t>
      </w:r>
      <w:r w:rsidR="00D762B5">
        <w:rPr>
          <w:rFonts w:ascii="Arial" w:hAnsi="Arial" w:cs="Arial"/>
          <w:bCs/>
          <w:sz w:val="22"/>
          <w:szCs w:val="22"/>
        </w:rPr>
        <w:t>Obytný soubor Nová Pasířská v Jablonci nad Nisou</w:t>
      </w:r>
      <w:r w:rsidR="00A06A4D" w:rsidRPr="00CD27BE">
        <w:rPr>
          <w:rFonts w:ascii="Arial" w:hAnsi="Arial" w:cs="Arial"/>
          <w:bCs/>
          <w:sz w:val="22"/>
          <w:szCs w:val="22"/>
        </w:rPr>
        <w:t xml:space="preserve">“ a její výsledky musí být zachovány po dobu udržitelnosti projektu, tj. minimálně do </w:t>
      </w:r>
      <w:r w:rsidR="00D762B5">
        <w:rPr>
          <w:rFonts w:ascii="Arial" w:hAnsi="Arial" w:cs="Arial"/>
          <w:bCs/>
          <w:sz w:val="22"/>
          <w:szCs w:val="22"/>
        </w:rPr>
        <w:t>27</w:t>
      </w:r>
      <w:r w:rsidR="00A06A4D" w:rsidRPr="00CD27BE">
        <w:rPr>
          <w:rFonts w:ascii="Arial" w:hAnsi="Arial" w:cs="Arial"/>
          <w:bCs/>
          <w:sz w:val="22"/>
          <w:szCs w:val="22"/>
        </w:rPr>
        <w:t>.</w:t>
      </w:r>
      <w:r w:rsidR="00A06A4D">
        <w:rPr>
          <w:rFonts w:ascii="Arial" w:hAnsi="Arial" w:cs="Arial"/>
          <w:bCs/>
          <w:sz w:val="22"/>
          <w:szCs w:val="22"/>
        </w:rPr>
        <w:t>1</w:t>
      </w:r>
      <w:r w:rsidR="00D762B5">
        <w:rPr>
          <w:rFonts w:ascii="Arial" w:hAnsi="Arial" w:cs="Arial"/>
          <w:bCs/>
          <w:sz w:val="22"/>
          <w:szCs w:val="22"/>
        </w:rPr>
        <w:t>1</w:t>
      </w:r>
      <w:r w:rsidR="00A06A4D" w:rsidRPr="00CD27BE">
        <w:rPr>
          <w:rFonts w:ascii="Arial" w:hAnsi="Arial" w:cs="Arial"/>
          <w:bCs/>
          <w:sz w:val="22"/>
          <w:szCs w:val="22"/>
        </w:rPr>
        <w:t>.2020.</w:t>
      </w:r>
    </w:p>
    <w:p w:rsidR="00A06A4D" w:rsidRDefault="00A06A4D" w:rsidP="00A06A4D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Neuvedení Služebných věcí nemovitých do předešlého stavu může být tedy posuzováno poskytovatelem dotace jako porušení dotačních podmínek ze strany statutárního města Jablonec nad Nisou (strany povinné) a s tím vyplývající sankce pro stranu povinnou.</w:t>
      </w:r>
    </w:p>
    <w:p w:rsidR="00A06A4D" w:rsidRDefault="00A06A4D" w:rsidP="00A06A4D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ab/>
        <w:t>V</w:t>
      </w:r>
      <w:r>
        <w:rPr>
          <w:rFonts w:ascii="Arial" w:hAnsi="Arial" w:cs="Arial"/>
          <w:snapToGrid w:val="0"/>
          <w:sz w:val="22"/>
          <w:szCs w:val="22"/>
        </w:rPr>
        <w:t xml:space="preserve"> případě, že strana povinná zjistí poškození Služebných věcí nemovitých, způsobené v příčinné souvislosti s neuvedením Služebných věcí nemovitých do předešlého stavu ze strany oprávněné po provedení úkonů vyplývajících z oprávnění z věcného břemene plynárenského zařízení, vyzve strana povinná stranu oprávněnou k odstranění škody. Výzva strany povinné musí obsahovat lhůtu k odstranění škody, která nesmí být kratší jak 90 dnů. </w:t>
      </w:r>
    </w:p>
    <w:p w:rsidR="00A06A4D" w:rsidRDefault="00A06A4D" w:rsidP="00A06A4D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Pokud strana oprávněná ve stanovené lhůtě škody neodstraní, nebo nezapočne s jejich odstraňováním, je strana povinná oprávněna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straně oprávněné zaplacení smluvní pokuty ve výši 100.000 Kč. To neplatí v případech, bude-li prodlení strany oprávněné způsobeno okolnostmi vylučujícími odpovědnost.</w:t>
      </w:r>
    </w:p>
    <w:p w:rsidR="00A06A4D" w:rsidRDefault="00A06A4D" w:rsidP="00A06A4D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V případě, dojde-li k porušení dotačních podmínek výše uvedených dotačních akcí, které bude v příčinné souvislosti s neuvedením Služebných věcí nemovitých do předešlého stavu ze strany oprávněné po provedení úkonů</w:t>
      </w:r>
      <w: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strana oprávněná povinna uhradit straně povinné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D86E0A" w:rsidRDefault="00A06A4D" w:rsidP="00A06A4D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Strana povinná prohlašuje, že na Služebných věcech nemovitých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</w:t>
      </w:r>
      <w:r w:rsidR="00BB732F">
        <w:rPr>
          <w:rFonts w:ascii="Arial" w:hAnsi="Arial" w:cs="Arial"/>
          <w:b/>
          <w:sz w:val="22"/>
          <w:szCs w:val="22"/>
        </w:rPr>
        <w:t>MS J</w:t>
      </w:r>
      <w:r w:rsidR="00C522CF">
        <w:rPr>
          <w:rFonts w:ascii="Arial" w:hAnsi="Arial" w:cs="Arial"/>
          <w:b/>
          <w:sz w:val="22"/>
          <w:szCs w:val="22"/>
        </w:rPr>
        <w:t xml:space="preserve">ablonec nad Nisou – </w:t>
      </w:r>
      <w:r w:rsidR="0054231A">
        <w:rPr>
          <w:rFonts w:ascii="Arial" w:hAnsi="Arial" w:cs="Arial"/>
          <w:b/>
          <w:sz w:val="22"/>
          <w:szCs w:val="22"/>
        </w:rPr>
        <w:t>Nádra</w:t>
      </w:r>
      <w:r w:rsidR="008E487C">
        <w:rPr>
          <w:rFonts w:ascii="Arial" w:hAnsi="Arial" w:cs="Arial"/>
          <w:b/>
          <w:sz w:val="22"/>
          <w:szCs w:val="22"/>
        </w:rPr>
        <w:t>ž</w:t>
      </w:r>
      <w:r w:rsidR="0054231A">
        <w:rPr>
          <w:rFonts w:ascii="Arial" w:hAnsi="Arial" w:cs="Arial"/>
          <w:b/>
          <w:sz w:val="22"/>
          <w:szCs w:val="22"/>
        </w:rPr>
        <w:t>ní, Pražská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51781E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51781E">
        <w:rPr>
          <w:rFonts w:ascii="Arial" w:hAnsi="Arial" w:cs="Arial"/>
          <w:bCs/>
          <w:sz w:val="22"/>
          <w:szCs w:val="22"/>
        </w:rPr>
        <w:t xml:space="preserve"> 519,53 m.</w:t>
      </w:r>
    </w:p>
    <w:p w:rsidR="009F7F41" w:rsidRDefault="009F7F41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3E5C85" w:rsidRDefault="003E5C8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8E487C">
        <w:rPr>
          <w:rFonts w:ascii="Arial" w:hAnsi="Arial" w:cs="Arial"/>
          <w:sz w:val="22"/>
          <w:szCs w:val="22"/>
        </w:rPr>
        <w:t>6098</w:t>
      </w:r>
      <w:r w:rsidR="00831F32">
        <w:rPr>
          <w:rFonts w:ascii="Arial" w:hAnsi="Arial" w:cs="Arial"/>
          <w:sz w:val="22"/>
          <w:szCs w:val="22"/>
        </w:rPr>
        <w:t>-</w:t>
      </w:r>
      <w:r w:rsidR="008E487C">
        <w:rPr>
          <w:rFonts w:ascii="Arial" w:hAnsi="Arial" w:cs="Arial"/>
          <w:sz w:val="22"/>
          <w:szCs w:val="22"/>
        </w:rPr>
        <w:t>11522</w:t>
      </w:r>
      <w:r w:rsidR="00C522CF">
        <w:rPr>
          <w:rFonts w:ascii="Arial" w:hAnsi="Arial" w:cs="Arial"/>
          <w:sz w:val="22"/>
          <w:szCs w:val="22"/>
        </w:rPr>
        <w:t>/201</w:t>
      </w:r>
      <w:r w:rsidR="00831F32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8E487C">
        <w:rPr>
          <w:rFonts w:ascii="Arial" w:hAnsi="Arial" w:cs="Arial"/>
          <w:sz w:val="22"/>
          <w:szCs w:val="22"/>
        </w:rPr>
        <w:t>26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8E487C">
        <w:rPr>
          <w:rFonts w:ascii="Arial" w:hAnsi="Arial" w:cs="Arial"/>
          <w:sz w:val="22"/>
          <w:szCs w:val="22"/>
        </w:rPr>
        <w:t>10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831F32">
        <w:rPr>
          <w:rFonts w:ascii="Arial" w:hAnsi="Arial" w:cs="Arial"/>
          <w:sz w:val="22"/>
          <w:szCs w:val="22"/>
        </w:rPr>
        <w:t>GEOŠRAFO, 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831F32">
        <w:rPr>
          <w:rFonts w:ascii="Arial" w:hAnsi="Arial" w:cs="Arial"/>
          <w:sz w:val="22"/>
          <w:szCs w:val="22"/>
        </w:rPr>
        <w:t>0</w:t>
      </w:r>
      <w:r w:rsidR="008E487C">
        <w:rPr>
          <w:rFonts w:ascii="Arial" w:hAnsi="Arial" w:cs="Arial"/>
          <w:sz w:val="22"/>
          <w:szCs w:val="22"/>
        </w:rPr>
        <w:t>7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8E487C">
        <w:rPr>
          <w:rFonts w:ascii="Arial" w:hAnsi="Arial" w:cs="Arial"/>
          <w:sz w:val="22"/>
          <w:szCs w:val="22"/>
        </w:rPr>
        <w:t>11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8E487C">
        <w:rPr>
          <w:rFonts w:ascii="Arial" w:hAnsi="Arial" w:cs="Arial"/>
          <w:sz w:val="22"/>
          <w:szCs w:val="22"/>
        </w:rPr>
        <w:t>1129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831F32">
        <w:rPr>
          <w:rFonts w:ascii="Arial" w:hAnsi="Arial" w:cs="Arial"/>
          <w:sz w:val="22"/>
          <w:szCs w:val="22"/>
        </w:rPr>
        <w:t>7</w:t>
      </w:r>
      <w:r w:rsidR="00467AC4">
        <w:rPr>
          <w:rFonts w:ascii="Arial" w:hAnsi="Arial" w:cs="Arial"/>
          <w:sz w:val="22"/>
          <w:szCs w:val="22"/>
        </w:rPr>
        <w:t>-504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</w:t>
      </w:r>
      <w:r w:rsidR="00C522CF">
        <w:rPr>
          <w:rFonts w:ascii="Arial" w:hAnsi="Arial" w:cs="Arial"/>
          <w:sz w:val="22"/>
          <w:szCs w:val="22"/>
        </w:rPr>
        <w:t>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D34D50" w:rsidRDefault="00D34D5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D74CB3">
        <w:rPr>
          <w:rFonts w:ascii="Arial" w:hAnsi="Arial" w:cs="Arial"/>
          <w:sz w:val="22"/>
          <w:szCs w:val="22"/>
        </w:rPr>
        <w:t>261</w:t>
      </w:r>
      <w:r w:rsidR="00DA67E1">
        <w:rPr>
          <w:rFonts w:ascii="Arial" w:hAnsi="Arial" w:cs="Arial"/>
          <w:sz w:val="22"/>
          <w:szCs w:val="22"/>
        </w:rPr>
        <w:t>.</w:t>
      </w:r>
      <w:r w:rsidR="00CD6307">
        <w:rPr>
          <w:rFonts w:ascii="Arial" w:hAnsi="Arial" w:cs="Arial"/>
          <w:sz w:val="22"/>
          <w:szCs w:val="22"/>
        </w:rPr>
        <w:t>266</w:t>
      </w:r>
      <w:r w:rsidR="00E10B28">
        <w:rPr>
          <w:rFonts w:ascii="Arial" w:hAnsi="Arial" w:cs="Arial"/>
          <w:sz w:val="22"/>
          <w:szCs w:val="22"/>
        </w:rPr>
        <w:t>,-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CD6307">
        <w:rPr>
          <w:rFonts w:ascii="Arial" w:hAnsi="Arial" w:cs="Arial"/>
          <w:sz w:val="22"/>
          <w:szCs w:val="22"/>
        </w:rPr>
        <w:t>54</w:t>
      </w:r>
      <w:r w:rsidR="004E1246">
        <w:rPr>
          <w:rFonts w:ascii="Arial" w:hAnsi="Arial" w:cs="Arial"/>
          <w:sz w:val="22"/>
          <w:szCs w:val="22"/>
        </w:rPr>
        <w:t>.</w:t>
      </w:r>
      <w:r w:rsidR="00CD6307">
        <w:rPr>
          <w:rFonts w:ascii="Arial" w:hAnsi="Arial" w:cs="Arial"/>
          <w:sz w:val="22"/>
          <w:szCs w:val="22"/>
        </w:rPr>
        <w:t>865,86</w:t>
      </w:r>
      <w:r w:rsidR="00DA67E1">
        <w:rPr>
          <w:rFonts w:ascii="Arial" w:hAnsi="Arial" w:cs="Arial"/>
          <w:sz w:val="22"/>
          <w:szCs w:val="22"/>
        </w:rPr>
        <w:t xml:space="preserve">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E10B28">
        <w:rPr>
          <w:rFonts w:ascii="Arial" w:hAnsi="Arial" w:cs="Arial"/>
          <w:sz w:val="22"/>
          <w:szCs w:val="22"/>
        </w:rPr>
        <w:br/>
      </w:r>
      <w:r w:rsidR="00CD6307">
        <w:rPr>
          <w:rFonts w:ascii="Arial" w:hAnsi="Arial" w:cs="Arial"/>
          <w:sz w:val="22"/>
          <w:szCs w:val="22"/>
        </w:rPr>
        <w:t>316</w:t>
      </w:r>
      <w:r w:rsidR="000A64BC">
        <w:rPr>
          <w:rFonts w:ascii="Arial" w:hAnsi="Arial" w:cs="Arial"/>
          <w:sz w:val="22"/>
          <w:szCs w:val="22"/>
        </w:rPr>
        <w:t>.</w:t>
      </w:r>
      <w:r w:rsidR="00CD6307">
        <w:rPr>
          <w:rFonts w:ascii="Arial" w:hAnsi="Arial" w:cs="Arial"/>
          <w:sz w:val="22"/>
          <w:szCs w:val="22"/>
        </w:rPr>
        <w:t>131</w:t>
      </w:r>
      <w:r w:rsidR="00A05CD1">
        <w:rPr>
          <w:rFonts w:ascii="Arial" w:hAnsi="Arial" w:cs="Arial"/>
          <w:sz w:val="22"/>
          <w:szCs w:val="22"/>
        </w:rPr>
        <w:t>,</w:t>
      </w:r>
      <w:r w:rsidR="00CD6307">
        <w:rPr>
          <w:rFonts w:ascii="Arial" w:hAnsi="Arial" w:cs="Arial"/>
          <w:sz w:val="22"/>
          <w:szCs w:val="22"/>
        </w:rPr>
        <w:t>86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CD6307">
        <w:rPr>
          <w:rFonts w:ascii="Arial" w:hAnsi="Arial" w:cs="Arial"/>
          <w:sz w:val="22"/>
          <w:szCs w:val="22"/>
        </w:rPr>
        <w:t>Třistašesnácttisícjednostotřicetjedna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CD6307">
        <w:rPr>
          <w:rFonts w:ascii="Arial" w:hAnsi="Arial" w:cs="Arial"/>
          <w:sz w:val="22"/>
          <w:szCs w:val="22"/>
        </w:rPr>
        <w:t>86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CD6307">
        <w:rPr>
          <w:rFonts w:ascii="Arial" w:hAnsi="Arial" w:cs="Arial"/>
          <w:sz w:val="22"/>
          <w:szCs w:val="22"/>
        </w:rPr>
        <w:t>60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2C2C83">
        <w:rPr>
          <w:rFonts w:ascii="Arial" w:hAnsi="Arial" w:cs="Arial"/>
          <w:sz w:val="22"/>
          <w:szCs w:val="22"/>
        </w:rPr>
        <w:t>261</w:t>
      </w:r>
      <w:r w:rsidR="00DA67E1">
        <w:rPr>
          <w:rFonts w:ascii="Arial" w:hAnsi="Arial" w:cs="Arial"/>
          <w:sz w:val="22"/>
          <w:szCs w:val="22"/>
        </w:rPr>
        <w:t>.</w:t>
      </w:r>
      <w:r w:rsidR="002C2C83">
        <w:rPr>
          <w:rFonts w:ascii="Arial" w:hAnsi="Arial" w:cs="Arial"/>
          <w:sz w:val="22"/>
          <w:szCs w:val="22"/>
        </w:rPr>
        <w:t>266</w:t>
      </w:r>
      <w:r w:rsidR="00DA67E1">
        <w:rPr>
          <w:rFonts w:ascii="Arial" w:hAnsi="Arial" w:cs="Arial"/>
          <w:sz w:val="22"/>
          <w:szCs w:val="22"/>
        </w:rPr>
        <w:t>,</w:t>
      </w:r>
      <w:r w:rsidR="000D39C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2C2C83">
        <w:rPr>
          <w:rFonts w:ascii="Arial" w:hAnsi="Arial" w:cs="Arial"/>
          <w:sz w:val="22"/>
          <w:szCs w:val="22"/>
        </w:rPr>
        <w:t>54</w:t>
      </w:r>
      <w:r w:rsidR="000408FB">
        <w:rPr>
          <w:rFonts w:ascii="Arial" w:hAnsi="Arial" w:cs="Arial"/>
          <w:sz w:val="22"/>
          <w:szCs w:val="22"/>
        </w:rPr>
        <w:t>.</w:t>
      </w:r>
      <w:r w:rsidR="002C2C83">
        <w:rPr>
          <w:rFonts w:ascii="Arial" w:hAnsi="Arial" w:cs="Arial"/>
          <w:sz w:val="22"/>
          <w:szCs w:val="22"/>
        </w:rPr>
        <w:t>865</w:t>
      </w:r>
      <w:r w:rsidR="000D39CC">
        <w:rPr>
          <w:rFonts w:ascii="Arial" w:hAnsi="Arial" w:cs="Arial"/>
          <w:sz w:val="22"/>
          <w:szCs w:val="22"/>
        </w:rPr>
        <w:t>,</w:t>
      </w:r>
      <w:r w:rsidR="002C2C83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2C2C83">
        <w:rPr>
          <w:rFonts w:ascii="Arial" w:hAnsi="Arial" w:cs="Arial"/>
          <w:sz w:val="22"/>
          <w:szCs w:val="22"/>
        </w:rPr>
        <w:t>316</w:t>
      </w:r>
      <w:r w:rsidR="000D39CC">
        <w:rPr>
          <w:rFonts w:ascii="Arial" w:hAnsi="Arial" w:cs="Arial"/>
          <w:sz w:val="22"/>
          <w:szCs w:val="22"/>
        </w:rPr>
        <w:t>.</w:t>
      </w:r>
      <w:r w:rsidR="002C2C83">
        <w:rPr>
          <w:rFonts w:ascii="Arial" w:hAnsi="Arial" w:cs="Arial"/>
          <w:sz w:val="22"/>
          <w:szCs w:val="22"/>
        </w:rPr>
        <w:t>131</w:t>
      </w:r>
      <w:r w:rsidR="009D37BF">
        <w:rPr>
          <w:rFonts w:ascii="Arial" w:hAnsi="Arial" w:cs="Arial"/>
          <w:sz w:val="22"/>
          <w:szCs w:val="22"/>
        </w:rPr>
        <w:t>,</w:t>
      </w:r>
      <w:r w:rsidR="002C2C83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>Kč (slovy</w:t>
      </w:r>
      <w:r w:rsidR="00DD2775">
        <w:rPr>
          <w:rFonts w:ascii="Arial" w:hAnsi="Arial" w:cs="Arial"/>
          <w:sz w:val="22"/>
          <w:szCs w:val="22"/>
        </w:rPr>
        <w:t>:</w:t>
      </w:r>
      <w:r w:rsidRPr="00B4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2C83">
        <w:rPr>
          <w:rFonts w:ascii="Arial" w:hAnsi="Arial" w:cs="Arial"/>
          <w:sz w:val="22"/>
          <w:szCs w:val="22"/>
        </w:rPr>
        <w:t>Třistašesnácttisícjednostotřicetjedna</w:t>
      </w:r>
      <w:proofErr w:type="spellEnd"/>
      <w:r w:rsidR="000A64BC">
        <w:rPr>
          <w:rFonts w:ascii="Arial" w:hAnsi="Arial" w:cs="Arial"/>
          <w:sz w:val="22"/>
          <w:szCs w:val="22"/>
        </w:rPr>
        <w:t xml:space="preserve"> </w:t>
      </w:r>
      <w:r w:rsidR="000A64BC"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ých,</w:t>
      </w:r>
      <w:r w:rsidR="00EB5FE2">
        <w:rPr>
          <w:rFonts w:ascii="Arial" w:hAnsi="Arial" w:cs="Arial"/>
          <w:sz w:val="22"/>
          <w:szCs w:val="22"/>
        </w:rPr>
        <w:t xml:space="preserve"> </w:t>
      </w:r>
      <w:r w:rsidR="002C2C83">
        <w:rPr>
          <w:rFonts w:ascii="Arial" w:hAnsi="Arial" w:cs="Arial"/>
          <w:sz w:val="22"/>
          <w:szCs w:val="22"/>
        </w:rPr>
        <w:t>86</w:t>
      </w:r>
      <w:r w:rsidR="000A64BC">
        <w:rPr>
          <w:rFonts w:ascii="Arial" w:hAnsi="Arial" w:cs="Arial"/>
          <w:sz w:val="22"/>
          <w:szCs w:val="22"/>
        </w:rPr>
        <w:t>/</w:t>
      </w:r>
      <w:r w:rsidR="000A64BC" w:rsidRPr="002F290B">
        <w:rPr>
          <w:rFonts w:ascii="Arial" w:hAnsi="Arial" w:cs="Arial"/>
          <w:sz w:val="22"/>
          <w:szCs w:val="22"/>
        </w:rPr>
        <w:t>100</w:t>
      </w:r>
      <w:r w:rsidRPr="002F290B">
        <w:rPr>
          <w:rFonts w:ascii="Arial" w:hAnsi="Arial" w:cs="Arial"/>
          <w:sz w:val="22"/>
          <w:szCs w:val="22"/>
        </w:rPr>
        <w:t xml:space="preserve">). </w:t>
      </w:r>
      <w:r w:rsidR="00965A70" w:rsidRPr="002F290B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2F290B">
        <w:rPr>
          <w:rFonts w:ascii="Arial" w:hAnsi="Arial" w:cs="Arial"/>
          <w:sz w:val="22"/>
          <w:szCs w:val="22"/>
        </w:rPr>
        <w:t>. Povinnou náležitostí daňového dokladu je bankovní účet zveřejněný u Ministerstva financí.</w:t>
      </w:r>
    </w:p>
    <w:p w:rsidR="003E5C85" w:rsidRPr="00B4160F" w:rsidRDefault="003E5C85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C70D87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lastRenderedPageBreak/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68564D" w:rsidRDefault="0068564D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3E5C85" w:rsidRDefault="003E5C85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9F7F41" w:rsidRDefault="00FF6CBA" w:rsidP="0068564D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3E5C85" w:rsidRPr="0068564D" w:rsidRDefault="003E5C85" w:rsidP="003E5C85">
      <w:pPr>
        <w:pStyle w:val="Odstavecseseznamem"/>
        <w:jc w:val="both"/>
        <w:rPr>
          <w:rFonts w:ascii="Arial" w:hAnsi="Arial" w:cs="Arial"/>
          <w:snapToGrid w:val="0"/>
          <w:sz w:val="22"/>
          <w:szCs w:val="22"/>
        </w:rPr>
      </w:pPr>
    </w:p>
    <w:p w:rsidR="0068564D" w:rsidRDefault="0068564D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781E" w:rsidRDefault="0003481F" w:rsidP="0051781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1781E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51781E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51781E" w:rsidRDefault="007B12C7" w:rsidP="0051781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1781E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51781E">
        <w:rPr>
          <w:rFonts w:ascii="Arial" w:hAnsi="Arial" w:cs="Arial"/>
          <w:snapToGrid w:val="0"/>
          <w:sz w:val="22"/>
          <w:szCs w:val="22"/>
        </w:rPr>
        <w:t> </w:t>
      </w:r>
      <w:r w:rsidRPr="0051781E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51781E">
        <w:rPr>
          <w:rFonts w:ascii="Arial" w:hAnsi="Arial" w:cs="Arial"/>
          <w:snapToGrid w:val="0"/>
          <w:sz w:val="22"/>
          <w:szCs w:val="22"/>
        </w:rPr>
        <w:t>m</w:t>
      </w:r>
      <w:r w:rsidRPr="0051781E">
        <w:rPr>
          <w:rFonts w:ascii="Arial" w:hAnsi="Arial" w:cs="Arial"/>
          <w:snapToGrid w:val="0"/>
          <w:sz w:val="22"/>
          <w:szCs w:val="22"/>
        </w:rPr>
        <w:t xml:space="preserve"> 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23</w:t>
      </w:r>
      <w:r w:rsidR="00C72B30" w:rsidRPr="0051781E">
        <w:rPr>
          <w:rFonts w:ascii="Arial" w:hAnsi="Arial" w:cs="Arial"/>
          <w:snapToGrid w:val="0"/>
          <w:sz w:val="22"/>
          <w:szCs w:val="22"/>
        </w:rPr>
        <w:t>.</w:t>
      </w:r>
      <w:r w:rsidR="004F1BF9" w:rsidRPr="0051781E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51781E">
        <w:rPr>
          <w:rFonts w:ascii="Arial" w:hAnsi="Arial" w:cs="Arial"/>
          <w:snapToGrid w:val="0"/>
          <w:sz w:val="22"/>
          <w:szCs w:val="22"/>
        </w:rPr>
        <w:t>zasedání</w:t>
      </w:r>
      <w:r w:rsidRPr="0051781E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51781E">
        <w:rPr>
          <w:rFonts w:ascii="Arial" w:hAnsi="Arial" w:cs="Arial"/>
          <w:snapToGrid w:val="0"/>
          <w:sz w:val="22"/>
          <w:szCs w:val="22"/>
        </w:rPr>
        <w:t>m</w:t>
      </w:r>
      <w:r w:rsidRPr="0051781E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72B30" w:rsidRPr="0051781E">
        <w:rPr>
          <w:rFonts w:ascii="Arial" w:hAnsi="Arial" w:cs="Arial"/>
          <w:snapToGrid w:val="0"/>
          <w:sz w:val="22"/>
          <w:szCs w:val="22"/>
        </w:rPr>
        <w:t>0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3.</w:t>
      </w:r>
      <w:r w:rsidR="00C72B30" w:rsidRPr="0051781E">
        <w:rPr>
          <w:rFonts w:ascii="Arial" w:hAnsi="Arial" w:cs="Arial"/>
          <w:snapToGrid w:val="0"/>
          <w:sz w:val="22"/>
          <w:szCs w:val="22"/>
        </w:rPr>
        <w:t>10</w:t>
      </w:r>
      <w:r w:rsidR="00CB2369" w:rsidRPr="0051781E">
        <w:rPr>
          <w:rFonts w:ascii="Arial" w:hAnsi="Arial" w:cs="Arial"/>
          <w:snapToGrid w:val="0"/>
          <w:sz w:val="22"/>
          <w:szCs w:val="22"/>
        </w:rPr>
        <w:t>.20</w:t>
      </w:r>
      <w:r w:rsidR="00DC77F4" w:rsidRPr="0051781E">
        <w:rPr>
          <w:rFonts w:ascii="Arial" w:hAnsi="Arial" w:cs="Arial"/>
          <w:snapToGrid w:val="0"/>
          <w:sz w:val="22"/>
          <w:szCs w:val="22"/>
        </w:rPr>
        <w:t>1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3</w:t>
      </w:r>
      <w:r w:rsidR="00DC77F4" w:rsidRPr="0051781E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781E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51781E">
        <w:rPr>
          <w:rFonts w:ascii="Arial" w:hAnsi="Arial" w:cs="Arial"/>
          <w:snapToGrid w:val="0"/>
          <w:sz w:val="22"/>
          <w:szCs w:val="22"/>
        </w:rPr>
        <w:t> 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272</w:t>
      </w:r>
      <w:r w:rsidR="00841C7F" w:rsidRPr="0051781E">
        <w:rPr>
          <w:rFonts w:ascii="Arial" w:hAnsi="Arial" w:cs="Arial"/>
          <w:snapToGrid w:val="0"/>
          <w:sz w:val="22"/>
          <w:szCs w:val="22"/>
        </w:rPr>
        <w:t>/201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3</w:t>
      </w:r>
      <w:r w:rsidR="00841C7F" w:rsidRPr="0051781E">
        <w:rPr>
          <w:rFonts w:ascii="Arial" w:hAnsi="Arial" w:cs="Arial"/>
          <w:snapToGrid w:val="0"/>
          <w:sz w:val="22"/>
          <w:szCs w:val="22"/>
        </w:rPr>
        <w:t>/</w:t>
      </w:r>
      <w:r w:rsidR="00C72B30" w:rsidRPr="0051781E">
        <w:rPr>
          <w:rFonts w:ascii="Arial" w:hAnsi="Arial" w:cs="Arial"/>
          <w:snapToGrid w:val="0"/>
          <w:sz w:val="22"/>
          <w:szCs w:val="22"/>
        </w:rPr>
        <w:t>A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 xml:space="preserve">.8. </w:t>
      </w:r>
      <w:r w:rsidR="009F7F41" w:rsidRPr="0051781E">
        <w:rPr>
          <w:rFonts w:ascii="Arial" w:hAnsi="Arial" w:cs="Arial"/>
          <w:snapToGrid w:val="0"/>
          <w:sz w:val="22"/>
          <w:szCs w:val="22"/>
        </w:rPr>
        <w:t xml:space="preserve">a na jejím 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12</w:t>
      </w:r>
      <w:r w:rsidR="009F7F41" w:rsidRPr="0051781E">
        <w:rPr>
          <w:rFonts w:ascii="Arial" w:hAnsi="Arial" w:cs="Arial"/>
          <w:snapToGrid w:val="0"/>
          <w:sz w:val="22"/>
          <w:szCs w:val="22"/>
        </w:rPr>
        <w:t>. zasedání konaném dne 0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8</w:t>
      </w:r>
      <w:r w:rsidR="009F7F41" w:rsidRPr="0051781E">
        <w:rPr>
          <w:rFonts w:ascii="Arial" w:hAnsi="Arial" w:cs="Arial"/>
          <w:snapToGrid w:val="0"/>
          <w:sz w:val="22"/>
          <w:szCs w:val="22"/>
        </w:rPr>
        <w:t>.0</w:t>
      </w:r>
      <w:r w:rsidR="00554A81" w:rsidRPr="0051781E">
        <w:rPr>
          <w:rFonts w:ascii="Arial" w:hAnsi="Arial" w:cs="Arial"/>
          <w:snapToGrid w:val="0"/>
          <w:sz w:val="22"/>
          <w:szCs w:val="22"/>
        </w:rPr>
        <w:t>3</w:t>
      </w:r>
      <w:r w:rsidR="009F7F41" w:rsidRPr="0051781E">
        <w:rPr>
          <w:rFonts w:ascii="Arial" w:hAnsi="Arial" w:cs="Arial"/>
          <w:snapToGrid w:val="0"/>
          <w:sz w:val="22"/>
          <w:szCs w:val="22"/>
        </w:rPr>
        <w:t xml:space="preserve">.2018 usnesením </w:t>
      </w:r>
      <w:r w:rsidR="00554A81" w:rsidRPr="0051781E">
        <w:rPr>
          <w:rFonts w:ascii="Arial" w:hAnsi="Arial" w:cs="Arial"/>
          <w:snapToGrid w:val="0"/>
          <w:sz w:val="22"/>
          <w:szCs w:val="22"/>
        </w:rPr>
        <w:br/>
      </w:r>
      <w:r w:rsidR="009F7F41" w:rsidRPr="0051781E">
        <w:rPr>
          <w:rFonts w:ascii="Arial" w:hAnsi="Arial" w:cs="Arial"/>
          <w:snapToGrid w:val="0"/>
          <w:sz w:val="22"/>
          <w:szCs w:val="22"/>
        </w:rPr>
        <w:t xml:space="preserve">č. </w:t>
      </w:r>
      <w:r w:rsidR="009F300B" w:rsidRPr="0051781E">
        <w:rPr>
          <w:rFonts w:ascii="Arial" w:hAnsi="Arial" w:cs="Arial"/>
          <w:snapToGrid w:val="0"/>
          <w:sz w:val="22"/>
          <w:szCs w:val="22"/>
        </w:rPr>
        <w:t>86</w:t>
      </w:r>
      <w:r w:rsidR="009F7F41" w:rsidRPr="0051781E">
        <w:rPr>
          <w:rFonts w:ascii="Arial" w:hAnsi="Arial" w:cs="Arial"/>
          <w:snapToGrid w:val="0"/>
          <w:sz w:val="22"/>
          <w:szCs w:val="22"/>
        </w:rPr>
        <w:t>/2018/B.</w:t>
      </w:r>
    </w:p>
    <w:p w:rsidR="0051781E" w:rsidRPr="002F290B" w:rsidRDefault="008252E4" w:rsidP="0051781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1781E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2F290B">
        <w:rPr>
          <w:rFonts w:ascii="Arial" w:hAnsi="Arial" w:cs="Arial"/>
          <w:snapToGrid w:val="0"/>
          <w:sz w:val="22"/>
          <w:szCs w:val="22"/>
        </w:rPr>
        <w:t>o z</w:t>
      </w:r>
      <w:r w:rsidRPr="002F290B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51781E" w:rsidRPr="002F290B" w:rsidRDefault="0051781E" w:rsidP="0051781E">
      <w:pPr>
        <w:pStyle w:val="Odstavecseseznamem"/>
        <w:numPr>
          <w:ilvl w:val="0"/>
          <w:numId w:val="9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F290B">
        <w:rPr>
          <w:rFonts w:ascii="Arial" w:hAnsi="Arial" w:cs="Arial"/>
          <w:sz w:val="22"/>
          <w:szCs w:val="22"/>
        </w:rPr>
        <w:t>GasNet</w:t>
      </w:r>
      <w:proofErr w:type="spellEnd"/>
      <w:r w:rsidRPr="002F290B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2F290B">
        <w:rPr>
          <w:rFonts w:ascii="Arial" w:hAnsi="Arial" w:cs="Arial"/>
          <w:sz w:val="22"/>
          <w:szCs w:val="22"/>
        </w:rPr>
        <w:t>GasNet</w:t>
      </w:r>
      <w:proofErr w:type="spellEnd"/>
      <w:r w:rsidRPr="002F290B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2F290B">
        <w:rPr>
          <w:rFonts w:ascii="Arial" w:hAnsi="Arial" w:cs="Arial"/>
          <w:sz w:val="22"/>
          <w:szCs w:val="22"/>
        </w:rPr>
        <w:t>GasNet</w:t>
      </w:r>
      <w:proofErr w:type="spellEnd"/>
      <w:r w:rsidRPr="002F290B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2F290B">
        <w:rPr>
          <w:rFonts w:ascii="Arial" w:hAnsi="Arial" w:cs="Arial"/>
          <w:sz w:val="22"/>
          <w:szCs w:val="22"/>
        </w:rPr>
        <w:t>cs</w:t>
      </w:r>
      <w:proofErr w:type="spellEnd"/>
      <w:r w:rsidRPr="002F290B">
        <w:rPr>
          <w:rFonts w:ascii="Arial" w:hAnsi="Arial" w:cs="Arial"/>
          <w:sz w:val="22"/>
          <w:szCs w:val="22"/>
        </w:rPr>
        <w:t>/informace-o-</w:t>
      </w:r>
      <w:proofErr w:type="spellStart"/>
      <w:r w:rsidRPr="002F290B">
        <w:rPr>
          <w:rFonts w:ascii="Arial" w:hAnsi="Arial" w:cs="Arial"/>
          <w:sz w:val="22"/>
          <w:szCs w:val="22"/>
        </w:rPr>
        <w:t>zpracovani</w:t>
      </w:r>
      <w:proofErr w:type="spellEnd"/>
      <w:r w:rsidRPr="002F290B">
        <w:rPr>
          <w:rFonts w:ascii="Arial" w:hAnsi="Arial" w:cs="Arial"/>
          <w:sz w:val="22"/>
          <w:szCs w:val="22"/>
        </w:rPr>
        <w:t>-</w:t>
      </w:r>
      <w:proofErr w:type="spellStart"/>
      <w:r w:rsidRPr="002F290B">
        <w:rPr>
          <w:rFonts w:ascii="Arial" w:hAnsi="Arial" w:cs="Arial"/>
          <w:sz w:val="22"/>
          <w:szCs w:val="22"/>
        </w:rPr>
        <w:t>osobnich-udaju</w:t>
      </w:r>
      <w:proofErr w:type="spellEnd"/>
      <w:r w:rsidRPr="002F290B">
        <w:rPr>
          <w:rFonts w:ascii="Arial" w:hAnsi="Arial" w:cs="Arial"/>
          <w:sz w:val="22"/>
          <w:szCs w:val="22"/>
        </w:rPr>
        <w:t xml:space="preserve">) a </w:t>
      </w:r>
      <w:r w:rsidRPr="002F290B">
        <w:rPr>
          <w:rFonts w:ascii="Arial" w:hAnsi="Arial" w:cs="Arial"/>
          <w:sz w:val="22"/>
          <w:szCs w:val="22"/>
        </w:rPr>
        <w:lastRenderedPageBreak/>
        <w:t xml:space="preserve">při uzavírání smlouvy nebo kdykoli v průběhu jejího trvání budou subjektu údajů poskytnuty na jeho vyžádání, adresované písemně na adresu sídla </w:t>
      </w:r>
      <w:proofErr w:type="spellStart"/>
      <w:r w:rsidRPr="002F290B">
        <w:rPr>
          <w:rFonts w:ascii="Arial" w:hAnsi="Arial" w:cs="Arial"/>
          <w:sz w:val="22"/>
          <w:szCs w:val="22"/>
        </w:rPr>
        <w:t>GasNet</w:t>
      </w:r>
      <w:proofErr w:type="spellEnd"/>
      <w:r w:rsidRPr="002F290B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2F290B">
        <w:rPr>
          <w:rFonts w:ascii="Arial" w:hAnsi="Arial" w:cs="Arial"/>
          <w:sz w:val="22"/>
          <w:szCs w:val="22"/>
        </w:rPr>
        <w:t>rdxzhzt</w:t>
      </w:r>
      <w:proofErr w:type="spellEnd"/>
      <w:r w:rsidRPr="002F290B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51781E">
      <w:pPr>
        <w:pStyle w:val="Zkladntextodsazen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51781E" w:rsidRDefault="008252E4" w:rsidP="0051781E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1781E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781E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</w:t>
      </w:r>
      <w:proofErr w:type="gramStart"/>
      <w:r w:rsidR="0078409C">
        <w:rPr>
          <w:rFonts w:ascii="Arial" w:hAnsi="Arial" w:cs="Arial"/>
          <w:sz w:val="22"/>
          <w:szCs w:val="22"/>
        </w:rPr>
        <w:t>…….</w:t>
      </w:r>
      <w:proofErr w:type="gramEnd"/>
      <w:r w:rsidR="0078409C">
        <w:rPr>
          <w:rFonts w:ascii="Arial" w:hAnsi="Arial" w:cs="Arial"/>
          <w:sz w:val="22"/>
          <w:szCs w:val="22"/>
        </w:rPr>
        <w:t>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2C3558" w:rsidRPr="00F44BC0" w:rsidRDefault="002C3558" w:rsidP="002C35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2C3558" w:rsidRPr="00F44BC0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2C3558" w:rsidRPr="00F44BC0" w:rsidRDefault="002C3558" w:rsidP="002C3558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2C3558" w:rsidRPr="00F44BC0" w:rsidRDefault="00A813D7" w:rsidP="002C3558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2C3558" w:rsidRPr="00F44BC0">
        <w:rPr>
          <w:rFonts w:ascii="Arial" w:hAnsi="Arial" w:cs="Arial"/>
          <w:sz w:val="22"/>
          <w:szCs w:val="22"/>
        </w:rPr>
        <w:t xml:space="preserve"> </w:t>
      </w:r>
      <w:r w:rsidR="002C3558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2C3558" w:rsidRPr="00F44BC0" w:rsidRDefault="00A813D7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2C3558">
        <w:rPr>
          <w:rFonts w:ascii="Arial" w:hAnsi="Arial" w:cs="Arial"/>
          <w:sz w:val="22"/>
          <w:szCs w:val="22"/>
        </w:rPr>
        <w:t xml:space="preserve"> </w:t>
      </w:r>
      <w:r w:rsidR="002C3558">
        <w:rPr>
          <w:rFonts w:ascii="Arial" w:hAnsi="Arial" w:cs="Arial"/>
          <w:sz w:val="22"/>
          <w:szCs w:val="22"/>
        </w:rPr>
        <w:tab/>
      </w:r>
      <w:r w:rsidR="002C3558" w:rsidRPr="00F44BC0">
        <w:rPr>
          <w:rFonts w:ascii="Arial" w:hAnsi="Arial" w:cs="Arial"/>
          <w:sz w:val="22"/>
          <w:szCs w:val="22"/>
        </w:rPr>
        <w:t>náměstek primátora města</w:t>
      </w:r>
    </w:p>
    <w:p w:rsidR="002C3558" w:rsidRDefault="00A813D7" w:rsidP="002C3558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2C3558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2C3558" w:rsidRPr="00F44BC0">
        <w:rPr>
          <w:rFonts w:ascii="Arial" w:hAnsi="Arial" w:cs="Arial"/>
          <w:sz w:val="22"/>
          <w:szCs w:val="22"/>
        </w:rPr>
        <w:t xml:space="preserve"> </w:t>
      </w:r>
    </w:p>
    <w:p w:rsidR="002C3558" w:rsidRPr="00F44BC0" w:rsidRDefault="002C3558" w:rsidP="002C3558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2C3558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2C3558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2C3558" w:rsidRPr="00F44BC0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2C3558" w:rsidRPr="00F44BC0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2C3558" w:rsidRPr="00F44BC0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2C3558" w:rsidRPr="00F44BC0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2C3558" w:rsidRPr="00F44BC0" w:rsidRDefault="00A813D7" w:rsidP="002C3558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2C3558" w:rsidRDefault="00A813D7" w:rsidP="002C355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1" w:name="_GoBack"/>
      <w:bookmarkEnd w:id="1"/>
    </w:p>
    <w:p w:rsidR="002C3558" w:rsidRDefault="002C3558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F300B" w:rsidRDefault="009F300B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51581" w:rsidRDefault="00951581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51581" w:rsidRDefault="00951581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51581" w:rsidRDefault="00951581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951581" w:rsidRDefault="00951581" w:rsidP="002C3558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841C7F" w:rsidRDefault="00841C7F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C20" w:rsidRDefault="00226C20">
      <w:r>
        <w:separator/>
      </w:r>
    </w:p>
  </w:endnote>
  <w:endnote w:type="continuationSeparator" w:id="0">
    <w:p w:rsidR="00226C20" w:rsidRDefault="0022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1581">
      <w:rPr>
        <w:noProof/>
      </w:rPr>
      <w:t>1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C20" w:rsidRDefault="00226C20">
      <w:r>
        <w:separator/>
      </w:r>
    </w:p>
  </w:footnote>
  <w:footnote w:type="continuationSeparator" w:id="0">
    <w:p w:rsidR="00226C20" w:rsidRDefault="0022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216D"/>
    <w:multiLevelType w:val="hybridMultilevel"/>
    <w:tmpl w:val="4D04021E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F01406"/>
    <w:multiLevelType w:val="hybridMultilevel"/>
    <w:tmpl w:val="A55A1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13015"/>
    <w:multiLevelType w:val="hybridMultilevel"/>
    <w:tmpl w:val="B1CE9FD8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39CC"/>
    <w:rsid w:val="000F0C0F"/>
    <w:rsid w:val="000F583C"/>
    <w:rsid w:val="001028FD"/>
    <w:rsid w:val="00104240"/>
    <w:rsid w:val="001068FA"/>
    <w:rsid w:val="0011658D"/>
    <w:rsid w:val="00116FCD"/>
    <w:rsid w:val="00121BC6"/>
    <w:rsid w:val="00133360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1AD"/>
    <w:rsid w:val="001E3D37"/>
    <w:rsid w:val="001E76CA"/>
    <w:rsid w:val="001F035F"/>
    <w:rsid w:val="001F515B"/>
    <w:rsid w:val="0021000A"/>
    <w:rsid w:val="0022064A"/>
    <w:rsid w:val="00226C20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2C83"/>
    <w:rsid w:val="002C3558"/>
    <w:rsid w:val="002C6897"/>
    <w:rsid w:val="002D4871"/>
    <w:rsid w:val="002E4140"/>
    <w:rsid w:val="002F1DA0"/>
    <w:rsid w:val="002F290B"/>
    <w:rsid w:val="002F4384"/>
    <w:rsid w:val="002F7205"/>
    <w:rsid w:val="003429D8"/>
    <w:rsid w:val="00345165"/>
    <w:rsid w:val="00347120"/>
    <w:rsid w:val="00350EC6"/>
    <w:rsid w:val="00383720"/>
    <w:rsid w:val="003A2CE8"/>
    <w:rsid w:val="003C1CB5"/>
    <w:rsid w:val="003E2A30"/>
    <w:rsid w:val="003E5AF7"/>
    <w:rsid w:val="003E5C85"/>
    <w:rsid w:val="003F53BC"/>
    <w:rsid w:val="00410299"/>
    <w:rsid w:val="00413926"/>
    <w:rsid w:val="004159F0"/>
    <w:rsid w:val="00421BD6"/>
    <w:rsid w:val="00437310"/>
    <w:rsid w:val="0045576F"/>
    <w:rsid w:val="004651EA"/>
    <w:rsid w:val="0046543A"/>
    <w:rsid w:val="004672CB"/>
    <w:rsid w:val="00467AC4"/>
    <w:rsid w:val="004913FD"/>
    <w:rsid w:val="004926A8"/>
    <w:rsid w:val="004C0B84"/>
    <w:rsid w:val="004C1E8B"/>
    <w:rsid w:val="004D2988"/>
    <w:rsid w:val="004E1246"/>
    <w:rsid w:val="004E6BB1"/>
    <w:rsid w:val="004E7D6A"/>
    <w:rsid w:val="004F1BF9"/>
    <w:rsid w:val="00502AA5"/>
    <w:rsid w:val="005038BB"/>
    <w:rsid w:val="00504B5C"/>
    <w:rsid w:val="00510EDD"/>
    <w:rsid w:val="00511057"/>
    <w:rsid w:val="0051781E"/>
    <w:rsid w:val="00522FF0"/>
    <w:rsid w:val="00530557"/>
    <w:rsid w:val="00537056"/>
    <w:rsid w:val="0054231A"/>
    <w:rsid w:val="005522F7"/>
    <w:rsid w:val="00554A81"/>
    <w:rsid w:val="005712BB"/>
    <w:rsid w:val="0058440D"/>
    <w:rsid w:val="00585C3D"/>
    <w:rsid w:val="00593623"/>
    <w:rsid w:val="005A08F8"/>
    <w:rsid w:val="005A33F7"/>
    <w:rsid w:val="005B4B21"/>
    <w:rsid w:val="005D0BD9"/>
    <w:rsid w:val="005D4A8A"/>
    <w:rsid w:val="005E0F07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8564D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149A7"/>
    <w:rsid w:val="00823411"/>
    <w:rsid w:val="00823685"/>
    <w:rsid w:val="008252E4"/>
    <w:rsid w:val="00830471"/>
    <w:rsid w:val="00831F32"/>
    <w:rsid w:val="00841C7F"/>
    <w:rsid w:val="00853E06"/>
    <w:rsid w:val="0085584B"/>
    <w:rsid w:val="00856C75"/>
    <w:rsid w:val="00874F14"/>
    <w:rsid w:val="008A7169"/>
    <w:rsid w:val="008B5E50"/>
    <w:rsid w:val="008C2EB2"/>
    <w:rsid w:val="008C6C13"/>
    <w:rsid w:val="008D0A75"/>
    <w:rsid w:val="008D5E41"/>
    <w:rsid w:val="008D7EDA"/>
    <w:rsid w:val="008E487C"/>
    <w:rsid w:val="008E794B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1581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300B"/>
    <w:rsid w:val="009F4E76"/>
    <w:rsid w:val="009F7F41"/>
    <w:rsid w:val="00A05CD1"/>
    <w:rsid w:val="00A06A4D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60ADB"/>
    <w:rsid w:val="00A74AB7"/>
    <w:rsid w:val="00A813D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A4465"/>
    <w:rsid w:val="00BB45FF"/>
    <w:rsid w:val="00BB5F4A"/>
    <w:rsid w:val="00BB732F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44742"/>
    <w:rsid w:val="00C50C30"/>
    <w:rsid w:val="00C522CF"/>
    <w:rsid w:val="00C54D6C"/>
    <w:rsid w:val="00C665A6"/>
    <w:rsid w:val="00C70D87"/>
    <w:rsid w:val="00C72B30"/>
    <w:rsid w:val="00C75002"/>
    <w:rsid w:val="00C84292"/>
    <w:rsid w:val="00C87BA7"/>
    <w:rsid w:val="00C9677B"/>
    <w:rsid w:val="00CB1F85"/>
    <w:rsid w:val="00CB2369"/>
    <w:rsid w:val="00CC79C7"/>
    <w:rsid w:val="00CD27BE"/>
    <w:rsid w:val="00CD6307"/>
    <w:rsid w:val="00CF2B90"/>
    <w:rsid w:val="00CF603D"/>
    <w:rsid w:val="00D11E7C"/>
    <w:rsid w:val="00D20A30"/>
    <w:rsid w:val="00D21DE4"/>
    <w:rsid w:val="00D22E12"/>
    <w:rsid w:val="00D31FD3"/>
    <w:rsid w:val="00D34D50"/>
    <w:rsid w:val="00D406C0"/>
    <w:rsid w:val="00D53F28"/>
    <w:rsid w:val="00D54C82"/>
    <w:rsid w:val="00D61577"/>
    <w:rsid w:val="00D74CB3"/>
    <w:rsid w:val="00D762B5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0B28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5FE2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C5ADC"/>
    <w:rsid w:val="00FD19E5"/>
    <w:rsid w:val="00FD41ED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E06FF88"/>
  <w15:docId w15:val="{E06E73A4-2BD0-4310-9FFB-51CAC641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7D89-EDF1-41CD-8209-73B9482A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1942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2018-06-28T11:03:00Z</cp:lastPrinted>
  <dcterms:created xsi:type="dcterms:W3CDTF">2018-09-19T12:26:00Z</dcterms:created>
  <dcterms:modified xsi:type="dcterms:W3CDTF">2018-09-19T12:26:00Z</dcterms:modified>
</cp:coreProperties>
</file>