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41F36" w14:textId="77777777" w:rsidR="006B0F10" w:rsidRDefault="00125715">
      <w:pPr>
        <w:pStyle w:val="Tatosmlouva"/>
        <w:spacing w:line="160" w:lineRule="atLeast"/>
        <w:rPr>
          <w:rFonts w:cs="Arial"/>
          <w:sz w:val="32"/>
          <w:szCs w:val="32"/>
        </w:rPr>
      </w:pPr>
      <w:bookmarkStart w:id="0" w:name="_GoBack"/>
      <w:bookmarkEnd w:id="0"/>
      <w:r>
        <w:rPr>
          <w:rFonts w:cs="Arial"/>
          <w:sz w:val="32"/>
          <w:szCs w:val="32"/>
        </w:rPr>
        <w:t>Smlouva o poskytování poradenských služeb</w:t>
      </w:r>
    </w:p>
    <w:p w14:paraId="4BDE4504" w14:textId="77777777" w:rsidR="006B0F10" w:rsidRDefault="006B0F10">
      <w:pPr>
        <w:pStyle w:val="Tatosmlouva"/>
        <w:spacing w:line="160" w:lineRule="atLeast"/>
        <w:rPr>
          <w:rFonts w:cs="Arial"/>
          <w:b w:val="0"/>
          <w:bCs w:val="0"/>
        </w:rPr>
      </w:pPr>
    </w:p>
    <w:p w14:paraId="290A8199" w14:textId="77777777" w:rsidR="006B0F10" w:rsidRDefault="00125715">
      <w:pPr>
        <w:pStyle w:val="Tatosmlouva"/>
        <w:spacing w:line="160" w:lineRule="atLeast"/>
      </w:pPr>
      <w:r>
        <w:rPr>
          <w:rFonts w:cs="Arial"/>
          <w:b w:val="0"/>
          <w:bCs w:val="0"/>
          <w:sz w:val="19"/>
          <w:szCs w:val="19"/>
        </w:rPr>
        <w:t xml:space="preserve">uzavřená na základě § 1746 odst. 2 zákona č. 89/2012 Sb., občanský zákoník (dále jen "občanský zákoník") mezi </w:t>
      </w:r>
    </w:p>
    <w:p w14:paraId="131A8794" w14:textId="77777777" w:rsidR="006B0F10" w:rsidRDefault="006B0F10">
      <w:pPr>
        <w:pStyle w:val="Tatosmlouva"/>
        <w:spacing w:line="160" w:lineRule="atLeast"/>
        <w:rPr>
          <w:rFonts w:cs="Arial"/>
          <w:sz w:val="19"/>
          <w:szCs w:val="19"/>
        </w:rPr>
      </w:pPr>
    </w:p>
    <w:p w14:paraId="7BCFE6B1" w14:textId="77777777" w:rsidR="006B0F10" w:rsidRDefault="00125715" w:rsidP="002F6155">
      <w:pPr>
        <w:pStyle w:val="My01"/>
        <w:ind w:left="0"/>
      </w:pPr>
      <w:r>
        <w:rPr>
          <w:rStyle w:val="Puntik"/>
          <w:b/>
          <w:bCs w:val="0"/>
        </w:rPr>
        <w:t>Státním fondem kinematografie</w:t>
      </w:r>
    </w:p>
    <w:p w14:paraId="71D221C3" w14:textId="77777777" w:rsidR="006B0F10" w:rsidRDefault="00125715">
      <w:pPr>
        <w:spacing w:after="0" w:line="160" w:lineRule="atLeast"/>
        <w:rPr>
          <w:rFonts w:ascii="Arial" w:hAnsi="Arial" w:cs="Arial"/>
          <w:sz w:val="19"/>
          <w:szCs w:val="19"/>
        </w:rPr>
      </w:pPr>
      <w:r>
        <w:rPr>
          <w:rFonts w:ascii="Arial" w:hAnsi="Arial" w:cs="Arial"/>
          <w:sz w:val="19"/>
          <w:szCs w:val="19"/>
        </w:rPr>
        <w:t>se sídlem: Dukelských hrdinů 47, 170 00 Praha 7, zapsaný v OR MS v Praze, oddíl A, vložka 76076,</w:t>
      </w:r>
    </w:p>
    <w:p w14:paraId="256633A5" w14:textId="77777777" w:rsidR="006B0F10" w:rsidRDefault="00125715">
      <w:pPr>
        <w:spacing w:after="0" w:line="160" w:lineRule="atLeast"/>
        <w:rPr>
          <w:rFonts w:ascii="Arial" w:hAnsi="Arial" w:cs="Arial"/>
          <w:sz w:val="19"/>
          <w:szCs w:val="19"/>
        </w:rPr>
      </w:pPr>
      <w:r>
        <w:rPr>
          <w:rFonts w:ascii="Arial" w:hAnsi="Arial" w:cs="Arial"/>
          <w:sz w:val="19"/>
          <w:szCs w:val="19"/>
        </w:rPr>
        <w:t>Zastoupen: Helenou Bezděk Fraňkovou, ředitelkou</w:t>
      </w:r>
    </w:p>
    <w:p w14:paraId="5CD819E1" w14:textId="77777777" w:rsidR="006B0F10" w:rsidRDefault="00125715">
      <w:pPr>
        <w:spacing w:after="0" w:line="160" w:lineRule="atLeast"/>
        <w:rPr>
          <w:rFonts w:ascii="Arial" w:hAnsi="Arial" w:cs="Arial"/>
          <w:sz w:val="19"/>
          <w:szCs w:val="19"/>
        </w:rPr>
      </w:pPr>
      <w:r>
        <w:rPr>
          <w:rFonts w:ascii="Arial" w:hAnsi="Arial" w:cs="Arial"/>
          <w:sz w:val="19"/>
          <w:szCs w:val="19"/>
        </w:rPr>
        <w:t>IČ: 01454455</w:t>
      </w:r>
    </w:p>
    <w:p w14:paraId="6965BDE1" w14:textId="77777777" w:rsidR="006B0F10" w:rsidRDefault="00125715">
      <w:pPr>
        <w:spacing w:after="0" w:line="160" w:lineRule="atLeast"/>
        <w:rPr>
          <w:rFonts w:ascii="Arial" w:hAnsi="Arial" w:cs="Arial"/>
          <w:sz w:val="19"/>
          <w:szCs w:val="19"/>
        </w:rPr>
      </w:pPr>
      <w:r>
        <w:rPr>
          <w:rFonts w:ascii="Arial" w:hAnsi="Arial" w:cs="Arial"/>
          <w:sz w:val="19"/>
          <w:szCs w:val="19"/>
        </w:rPr>
        <w:t>Bankovní spojení: ČNB</w:t>
      </w:r>
      <w:r>
        <w:rPr>
          <w:rFonts w:ascii="Arial" w:hAnsi="Arial" w:cs="Arial"/>
          <w:sz w:val="19"/>
          <w:szCs w:val="19"/>
        </w:rPr>
        <w:tab/>
      </w:r>
    </w:p>
    <w:p w14:paraId="7F324537" w14:textId="77777777" w:rsidR="006B0F10" w:rsidRDefault="00125715" w:rsidP="002F6155">
      <w:pPr>
        <w:pStyle w:val="My01"/>
        <w:ind w:left="0"/>
      </w:pPr>
      <w:r>
        <w:t>Číslo účtu: 29720001/0710</w:t>
      </w:r>
    </w:p>
    <w:p w14:paraId="46963F13" w14:textId="77777777" w:rsidR="006B0F10" w:rsidRDefault="00125715" w:rsidP="002F6155">
      <w:pPr>
        <w:pStyle w:val="My01"/>
        <w:ind w:left="0"/>
      </w:pPr>
      <w:r>
        <w:t>(dále jen „Objednatel“)</w:t>
      </w:r>
    </w:p>
    <w:p w14:paraId="0CFE8B8E" w14:textId="77777777" w:rsidR="006B0F10" w:rsidRDefault="006B0F10" w:rsidP="002F6155">
      <w:pPr>
        <w:pStyle w:val="My01"/>
      </w:pPr>
    </w:p>
    <w:p w14:paraId="1C3C7D49" w14:textId="77777777" w:rsidR="006B0F10" w:rsidRDefault="00125715" w:rsidP="002F6155">
      <w:pPr>
        <w:pStyle w:val="My01"/>
        <w:ind w:left="0"/>
      </w:pPr>
      <w:r>
        <w:rPr>
          <w:rStyle w:val="Puntik"/>
          <w:bCs w:val="0"/>
        </w:rPr>
        <w:t>a</w:t>
      </w:r>
    </w:p>
    <w:p w14:paraId="579F23EC" w14:textId="77777777" w:rsidR="006B0F10" w:rsidRDefault="006B0F10" w:rsidP="002F6155">
      <w:pPr>
        <w:pStyle w:val="My01"/>
      </w:pPr>
    </w:p>
    <w:p w14:paraId="0F31FCBD" w14:textId="77777777" w:rsidR="006B0F10" w:rsidRDefault="00125715" w:rsidP="002F6155">
      <w:pPr>
        <w:pStyle w:val="My01"/>
        <w:ind w:left="0"/>
      </w:pPr>
      <w:r>
        <w:rPr>
          <w:rStyle w:val="Puntik"/>
          <w:b/>
          <w:bCs w:val="0"/>
        </w:rPr>
        <w:t xml:space="preserve">Ing. Magdalenou Královou </w:t>
      </w:r>
    </w:p>
    <w:p w14:paraId="0BB996A3" w14:textId="5A62CD33" w:rsidR="006B0F10" w:rsidRDefault="00125715" w:rsidP="002F6155">
      <w:pPr>
        <w:pStyle w:val="My01"/>
        <w:ind w:left="0"/>
      </w:pPr>
      <w:r>
        <w:rPr>
          <w:rStyle w:val="Puntik"/>
          <w:bCs w:val="0"/>
        </w:rPr>
        <w:t>s místem podnikání (trvalé bydliště)</w:t>
      </w:r>
      <w:r w:rsidR="003E2F58">
        <w:rPr>
          <w:rStyle w:val="Puntik"/>
          <w:bCs w:val="0"/>
        </w:rPr>
        <w:t xml:space="preserve"> </w:t>
      </w:r>
      <w:r>
        <w:rPr>
          <w:rStyle w:val="Puntik"/>
          <w:bCs w:val="0"/>
        </w:rPr>
        <w:t xml:space="preserve">, </w:t>
      </w:r>
      <w:r w:rsidR="00AE046D">
        <w:rPr>
          <w:rStyle w:val="Puntik"/>
          <w:bCs w:val="0"/>
        </w:rPr>
        <w:t xml:space="preserve">xxxxxxxxxxxxxxxxxxxxxxxxxxxxxx </w:t>
      </w:r>
      <w:r>
        <w:rPr>
          <w:rStyle w:val="Puntik"/>
          <w:bCs w:val="0"/>
        </w:rPr>
        <w:t>zapsán v živnostenském rejstříku, vedeném na Úřadě městské části Praha</w:t>
      </w:r>
      <w:r w:rsidR="003E2F58">
        <w:rPr>
          <w:rStyle w:val="Puntik"/>
          <w:bCs w:val="0"/>
        </w:rPr>
        <w:t xml:space="preserve"> 9</w:t>
      </w:r>
    </w:p>
    <w:p w14:paraId="69D492A0" w14:textId="77777777" w:rsidR="006B0F10" w:rsidRDefault="00125715" w:rsidP="002F6155">
      <w:pPr>
        <w:pStyle w:val="My01"/>
        <w:ind w:left="0"/>
      </w:pPr>
      <w:r>
        <w:rPr>
          <w:rStyle w:val="Puntik"/>
          <w:bCs w:val="0"/>
        </w:rPr>
        <w:t>IČ:</w:t>
      </w:r>
      <w:r w:rsidR="003E2F58">
        <w:rPr>
          <w:rStyle w:val="Puntik"/>
          <w:bCs w:val="0"/>
        </w:rPr>
        <w:t xml:space="preserve"> 72249056</w:t>
      </w:r>
    </w:p>
    <w:p w14:paraId="67B43A73" w14:textId="77180AE2" w:rsidR="006B0F10" w:rsidRDefault="00125715" w:rsidP="002F6155">
      <w:pPr>
        <w:pStyle w:val="My01"/>
        <w:ind w:left="0"/>
      </w:pPr>
      <w:r>
        <w:rPr>
          <w:rStyle w:val="Puntik"/>
          <w:bCs w:val="0"/>
        </w:rPr>
        <w:t>Bankovní spojení</w:t>
      </w:r>
      <w:r w:rsidR="007979E4">
        <w:rPr>
          <w:rStyle w:val="Puntik"/>
          <w:bCs w:val="0"/>
        </w:rPr>
        <w:t>:</w:t>
      </w:r>
      <w:r w:rsidR="003E2F58">
        <w:rPr>
          <w:rStyle w:val="Puntik"/>
          <w:bCs w:val="0"/>
        </w:rPr>
        <w:t xml:space="preserve"> </w:t>
      </w:r>
      <w:r w:rsidR="00AE046D">
        <w:rPr>
          <w:rStyle w:val="Puntik"/>
          <w:bCs w:val="0"/>
        </w:rPr>
        <w:t>xxxxxxxxxxxxxxxxxxxxxx</w:t>
      </w:r>
    </w:p>
    <w:p w14:paraId="08332C6A" w14:textId="77777777" w:rsidR="006B0F10" w:rsidRDefault="00125715" w:rsidP="002F6155">
      <w:pPr>
        <w:pStyle w:val="My01"/>
        <w:ind w:left="0"/>
      </w:pPr>
      <w:r>
        <w:t>(dále jen „Poskytovatel“)</w:t>
      </w:r>
    </w:p>
    <w:p w14:paraId="2E3BA1CB" w14:textId="77777777" w:rsidR="006B0F10" w:rsidRDefault="00125715" w:rsidP="002F6155">
      <w:pPr>
        <w:pStyle w:val="My01"/>
        <w:ind w:left="0"/>
      </w:pPr>
      <w:r>
        <w:t>(společně jako „smluvní strany“),</w:t>
      </w:r>
    </w:p>
    <w:p w14:paraId="40BAC6EE" w14:textId="77777777" w:rsidR="006B0F10" w:rsidRDefault="006B0F10" w:rsidP="002F6155">
      <w:pPr>
        <w:pStyle w:val="My01"/>
      </w:pPr>
    </w:p>
    <w:p w14:paraId="586E7EA9" w14:textId="77777777" w:rsidR="006B0F10" w:rsidRDefault="00125715" w:rsidP="002F6155">
      <w:pPr>
        <w:pStyle w:val="My01"/>
        <w:ind w:left="0"/>
      </w:pPr>
      <w:r>
        <w:t>kteří se níže uvedeného dne, měsíce a roku dohodli na následující smlouvě o poskytování poradenských služeb (dále je „Smlouva“)</w:t>
      </w:r>
    </w:p>
    <w:p w14:paraId="21FE104F" w14:textId="77777777" w:rsidR="006B0F10" w:rsidRDefault="006B0F10" w:rsidP="002F6155">
      <w:pPr>
        <w:pStyle w:val="My01"/>
      </w:pPr>
    </w:p>
    <w:p w14:paraId="2AC4644B" w14:textId="77777777" w:rsidR="006B0F10" w:rsidRDefault="006B0F10" w:rsidP="002F6155">
      <w:pPr>
        <w:pStyle w:val="My01"/>
      </w:pPr>
    </w:p>
    <w:p w14:paraId="4B48508F" w14:textId="77777777" w:rsidR="006B0F10" w:rsidRDefault="00125715">
      <w:pPr>
        <w:pStyle w:val="Nadpis20"/>
        <w:numPr>
          <w:ilvl w:val="0"/>
          <w:numId w:val="1"/>
        </w:numPr>
        <w:spacing w:before="0" w:after="0" w:line="160" w:lineRule="atLeast"/>
        <w:ind w:left="624"/>
        <w:rPr>
          <w:rFonts w:cs="Arial"/>
          <w:caps w:val="0"/>
          <w:sz w:val="19"/>
          <w:szCs w:val="19"/>
        </w:rPr>
      </w:pPr>
      <w:r>
        <w:rPr>
          <w:rFonts w:cs="Arial"/>
          <w:caps w:val="0"/>
          <w:sz w:val="19"/>
          <w:szCs w:val="19"/>
        </w:rPr>
        <w:t>Předmět smlouvy</w:t>
      </w:r>
    </w:p>
    <w:p w14:paraId="30476A72" w14:textId="77777777" w:rsidR="006B0F10" w:rsidRDefault="006B0F10">
      <w:pPr>
        <w:spacing w:after="0" w:line="160" w:lineRule="atLeast"/>
      </w:pPr>
    </w:p>
    <w:p w14:paraId="3ECB71DA" w14:textId="292548CE" w:rsidR="006B0F10" w:rsidRDefault="00125715" w:rsidP="002F6155">
      <w:pPr>
        <w:pStyle w:val="My01"/>
        <w:numPr>
          <w:ilvl w:val="1"/>
          <w:numId w:val="1"/>
        </w:numPr>
        <w:ind w:left="284" w:hanging="284"/>
      </w:pPr>
      <w:r>
        <w:t>Předmětem této smlouvy je závazek Poskytovatele poskytnout Objednateli následující služby: Poradenství, konzultace, doporučení a zpracování jednotlivých stanovisek a výstupů v oblasti poskytování filmových pobídek a další činnosti související s danou agendou dle zadání Objednatele</w:t>
      </w:r>
      <w:r w:rsidR="007979E4">
        <w:t xml:space="preserve"> </w:t>
      </w:r>
      <w:r>
        <w:t xml:space="preserve">(dále jen „služby“), a to zejména v oblasti: </w:t>
      </w:r>
    </w:p>
    <w:p w14:paraId="1DDB9B41" w14:textId="5FCC21ED" w:rsidR="006B0F10" w:rsidRDefault="00125715">
      <w:pPr>
        <w:pStyle w:val="Odstavecseseznamem"/>
        <w:numPr>
          <w:ilvl w:val="0"/>
          <w:numId w:val="2"/>
        </w:numPr>
        <w:suppressAutoHyphens w:val="0"/>
        <w:spacing w:after="0"/>
        <w:textAlignment w:val="auto"/>
        <w:rPr>
          <w:rFonts w:ascii="Arial" w:hAnsi="Arial" w:cs="Arial"/>
          <w:sz w:val="19"/>
          <w:szCs w:val="19"/>
        </w:rPr>
      </w:pPr>
      <w:r>
        <w:rPr>
          <w:rFonts w:ascii="Arial" w:hAnsi="Arial" w:cs="Arial"/>
          <w:sz w:val="19"/>
          <w:szCs w:val="19"/>
        </w:rPr>
        <w:t xml:space="preserve">analýzy stávajících formulářů </w:t>
      </w:r>
      <w:r w:rsidR="00E663FC">
        <w:rPr>
          <w:rFonts w:ascii="Arial" w:hAnsi="Arial" w:cs="Arial"/>
          <w:sz w:val="19"/>
          <w:szCs w:val="19"/>
        </w:rPr>
        <w:t xml:space="preserve">rozpočtů </w:t>
      </w:r>
      <w:r>
        <w:rPr>
          <w:rFonts w:ascii="Arial" w:hAnsi="Arial" w:cs="Arial"/>
          <w:sz w:val="19"/>
          <w:szCs w:val="19"/>
        </w:rPr>
        <w:t>a jejich úpravy na základě jejich aplikace v praxi a zadání objednatele (rozpočet uznatelných nákladů pobídkového projektu s odlišením tří kategorií uznatelných nákladů, rozpočet celkových nákladů na výrobu audiovizuálního díla, jehož výroba je součástí pobídkového projektu)</w:t>
      </w:r>
    </w:p>
    <w:p w14:paraId="0CDFC50A" w14:textId="77777777" w:rsidR="006B0F10" w:rsidRPr="007979E4" w:rsidRDefault="00125715">
      <w:pPr>
        <w:pStyle w:val="Odstavecseseznamem"/>
        <w:numPr>
          <w:ilvl w:val="0"/>
          <w:numId w:val="2"/>
        </w:numPr>
        <w:spacing w:after="0"/>
        <w:jc w:val="both"/>
      </w:pPr>
      <w:r>
        <w:rPr>
          <w:rFonts w:ascii="Arial" w:hAnsi="Arial" w:cs="Arial"/>
          <w:sz w:val="19"/>
          <w:szCs w:val="19"/>
        </w:rPr>
        <w:t>úpravy stávajících formulářů vyúčtování pobídkového projektu v rozlišení dle jejich variant   pro hraná, animovaná a dokumentární audiovizuální díla a /nebo seriály</w:t>
      </w:r>
      <w:r>
        <w:rPr>
          <w:sz w:val="19"/>
          <w:szCs w:val="19"/>
        </w:rPr>
        <w:t xml:space="preserve"> </w:t>
      </w:r>
    </w:p>
    <w:p w14:paraId="0FBD7497" w14:textId="1666D06B" w:rsidR="006B0F10" w:rsidRPr="00A03F84" w:rsidRDefault="00114EEB" w:rsidP="007979E4">
      <w:pPr>
        <w:pStyle w:val="Odstavecseseznamem"/>
        <w:numPr>
          <w:ilvl w:val="0"/>
          <w:numId w:val="2"/>
        </w:numPr>
        <w:spacing w:after="0"/>
        <w:jc w:val="both"/>
        <w:rPr>
          <w:sz w:val="19"/>
          <w:szCs w:val="19"/>
        </w:rPr>
      </w:pPr>
      <w:r w:rsidRPr="007979E4">
        <w:rPr>
          <w:rFonts w:ascii="Arial" w:hAnsi="Arial" w:cs="Arial"/>
          <w:sz w:val="19"/>
          <w:szCs w:val="19"/>
        </w:rPr>
        <w:t xml:space="preserve">konzultace při řešení problémů vyplývajících z implementace vnitrostátní i evropské legislativy do praxe </w:t>
      </w:r>
      <w:r w:rsidR="00D9209C">
        <w:rPr>
          <w:rFonts w:ascii="Arial" w:hAnsi="Arial" w:cs="Arial"/>
          <w:sz w:val="19"/>
          <w:szCs w:val="19"/>
        </w:rPr>
        <w:t>při</w:t>
      </w:r>
      <w:r w:rsidRPr="007979E4">
        <w:rPr>
          <w:rFonts w:ascii="Arial" w:hAnsi="Arial" w:cs="Arial"/>
          <w:sz w:val="19"/>
          <w:szCs w:val="19"/>
        </w:rPr>
        <w:t xml:space="preserve"> procesu poskytování filmových pobídek</w:t>
      </w:r>
    </w:p>
    <w:p w14:paraId="722E7C73" w14:textId="77777777" w:rsidR="006B0F10" w:rsidRDefault="00125715" w:rsidP="002F6155">
      <w:pPr>
        <w:pStyle w:val="My01"/>
        <w:numPr>
          <w:ilvl w:val="1"/>
          <w:numId w:val="3"/>
        </w:numPr>
      </w:pPr>
      <w:r>
        <w:t>Předmětem této smlouvy je dále závazek Objednatele řádně poskytnuté služby nebo výstupy z nich převzít a zaplatit za ně Poskytovateli sjednanou odměnu.</w:t>
      </w:r>
    </w:p>
    <w:p w14:paraId="7C693F6F" w14:textId="716804C9" w:rsidR="006B0F10" w:rsidRDefault="00125715" w:rsidP="002F6155">
      <w:pPr>
        <w:pStyle w:val="My01"/>
        <w:numPr>
          <w:ilvl w:val="1"/>
          <w:numId w:val="3"/>
        </w:numPr>
      </w:pPr>
      <w:r>
        <w:t>Poskytovatel se zavazuje poskytovat služby dle odst. 1.1. tohoto článku v maximálním rozsahu</w:t>
      </w:r>
      <w:r w:rsidR="00D9209C">
        <w:t xml:space="preserve"> 40 </w:t>
      </w:r>
      <w:r>
        <w:t>pracovních hodin měsíčně.</w:t>
      </w:r>
    </w:p>
    <w:p w14:paraId="6CB388AC" w14:textId="3305CE60" w:rsidR="006B0F10" w:rsidRDefault="00125715" w:rsidP="002F6155">
      <w:pPr>
        <w:pStyle w:val="My01"/>
        <w:numPr>
          <w:ilvl w:val="1"/>
          <w:numId w:val="3"/>
        </w:numPr>
      </w:pPr>
      <w:r>
        <w:t>Poskytovatel bude poskytovat služby na základě pokynů, úkolů a zadání objednatele. Osobou pověřenou k předávání těchto zadání a převzetí výsledků a výstupů činností Poskytovatele, pokud v konkrétním případě nebude uvedeno jinak, je vedoucí oddělení filmových pobídek Fondu MgA. Pavla Mrázková.</w:t>
      </w:r>
      <w:r w:rsidR="0089677F">
        <w:t xml:space="preserve"> Služby specifikované v odst. 1.1. této smlouvy budou poskytovatelem prováděny zejména v místě sídla Poskytovatele, příp. Objednatele, v případě potřeby a na základě žádosti Objednatele i na dalších místech odpovídajících povaze a předmětu plnění dle této smlouvy. </w:t>
      </w:r>
    </w:p>
    <w:p w14:paraId="3E8F185C" w14:textId="77777777" w:rsidR="006B0F10" w:rsidRDefault="006B0F10" w:rsidP="002F6155">
      <w:pPr>
        <w:pStyle w:val="My01"/>
      </w:pPr>
    </w:p>
    <w:p w14:paraId="12A64E3A" w14:textId="77777777" w:rsidR="006B0F10" w:rsidRDefault="00125715">
      <w:pPr>
        <w:pStyle w:val="Nadpis20"/>
        <w:spacing w:before="0" w:after="0" w:line="160" w:lineRule="atLeast"/>
      </w:pPr>
      <w:r>
        <w:rPr>
          <w:rFonts w:cs="Arial"/>
          <w:sz w:val="19"/>
          <w:szCs w:val="19"/>
        </w:rPr>
        <w:t>2.</w:t>
      </w:r>
      <w:r>
        <w:rPr>
          <w:rFonts w:cs="Arial"/>
          <w:sz w:val="19"/>
          <w:szCs w:val="19"/>
        </w:rPr>
        <w:tab/>
      </w:r>
      <w:r>
        <w:rPr>
          <w:rFonts w:cs="Arial"/>
          <w:caps w:val="0"/>
          <w:sz w:val="19"/>
          <w:szCs w:val="19"/>
        </w:rPr>
        <w:t>Práva a povinnosti smluvních stran</w:t>
      </w:r>
    </w:p>
    <w:p w14:paraId="1113C184" w14:textId="77777777" w:rsidR="006B0F10" w:rsidRDefault="006B0F10">
      <w:pPr>
        <w:spacing w:after="0" w:line="160" w:lineRule="atLeast"/>
      </w:pPr>
    </w:p>
    <w:p w14:paraId="3DF3B281" w14:textId="77777777" w:rsidR="006B0F10" w:rsidRDefault="00125715" w:rsidP="002F6155">
      <w:pPr>
        <w:pStyle w:val="My01"/>
        <w:numPr>
          <w:ilvl w:val="1"/>
          <w:numId w:val="4"/>
        </w:numPr>
      </w:pPr>
      <w:r>
        <w:t>Poskytovatel:</w:t>
      </w:r>
    </w:p>
    <w:p w14:paraId="4913D8A1" w14:textId="77777777" w:rsidR="006B0F10" w:rsidRDefault="00125715" w:rsidP="002F6155">
      <w:pPr>
        <w:pStyle w:val="My01"/>
        <w:numPr>
          <w:ilvl w:val="2"/>
          <w:numId w:val="4"/>
        </w:numPr>
      </w:pPr>
      <w:r>
        <w:t>prohlašuje, že disponuje potřebnými odbornými znalostmi a schopnostmi pro poskytování služeb podle této smlouvy</w:t>
      </w:r>
    </w:p>
    <w:p w14:paraId="196A6332" w14:textId="77777777" w:rsidR="006B0F10" w:rsidRDefault="00125715" w:rsidP="002F6155">
      <w:pPr>
        <w:pStyle w:val="My01"/>
        <w:numPr>
          <w:ilvl w:val="2"/>
          <w:numId w:val="4"/>
        </w:numPr>
      </w:pPr>
      <w:r>
        <w:t>se zavazuje, že služby ani výsledky své činnosti podle této smlouvy neposkytne bez písemného souhlasu Objednatele dalším subjektům</w:t>
      </w:r>
    </w:p>
    <w:p w14:paraId="216C2C50" w14:textId="77777777" w:rsidR="006B0F10" w:rsidRDefault="00125715" w:rsidP="002F6155">
      <w:pPr>
        <w:pStyle w:val="My01"/>
        <w:numPr>
          <w:ilvl w:val="2"/>
          <w:numId w:val="4"/>
        </w:numPr>
      </w:pPr>
      <w:r>
        <w:t>je povinen se účastnit pracovních schůzek s Objednatelem nebo s Objednatelem pověřenými osobami, a to za účelem projednání postupů souvisejících s poskytováním služeb</w:t>
      </w:r>
    </w:p>
    <w:p w14:paraId="4DECC6EA" w14:textId="77777777" w:rsidR="006B0F10" w:rsidRDefault="00125715" w:rsidP="002F6155">
      <w:pPr>
        <w:pStyle w:val="My01"/>
        <w:numPr>
          <w:ilvl w:val="2"/>
          <w:numId w:val="4"/>
        </w:numPr>
      </w:pPr>
      <w:r>
        <w:lastRenderedPageBreak/>
        <w:t>je povinen chránit zájmy Objednatele, zejména upozornit Objednatele na veškerá nebezpečí škod, která jsou mu známa a která souvisejí s poskytováním služeb</w:t>
      </w:r>
    </w:p>
    <w:p w14:paraId="0F97CE49" w14:textId="77777777" w:rsidR="006B0F10" w:rsidRDefault="00125715" w:rsidP="002F6155">
      <w:pPr>
        <w:pStyle w:val="My01"/>
        <w:numPr>
          <w:ilvl w:val="2"/>
          <w:numId w:val="4"/>
        </w:numPr>
      </w:pPr>
      <w:r>
        <w:t>je povinen vést průkaznou evidenci poskytnutých služeb a jejich rozsahu (hodin práce pro Objednatele) jako podklad pro vyúčtování odměny dle čl. III. této smlouvy</w:t>
      </w:r>
    </w:p>
    <w:p w14:paraId="4DD180BD" w14:textId="77777777" w:rsidR="006B0F10" w:rsidRDefault="00125715" w:rsidP="002F6155">
      <w:pPr>
        <w:pStyle w:val="My01"/>
        <w:numPr>
          <w:ilvl w:val="2"/>
          <w:numId w:val="4"/>
        </w:numPr>
      </w:pPr>
      <w:r>
        <w:t>se zavazuje, že při plnění předmětu této smlouvy neporuší práva třetích osob, která těmto osobám mohou plynout z práv k duševnímu vlastnictví, zejména z autorských práv a práv průmyslového vlastnictví, v případě, že objednateli vzniknou v důsledku uplatnění takových práv třetích osob vůči Objednateli náklady, výdaje, škody, majetková nebo nemajetková újma, pak se zavazuje k jejich úhradě v plné výši.</w:t>
      </w:r>
    </w:p>
    <w:p w14:paraId="7944B1AB" w14:textId="77777777" w:rsidR="006B0F10" w:rsidRDefault="00125715" w:rsidP="002F6155">
      <w:pPr>
        <w:pStyle w:val="My01"/>
        <w:numPr>
          <w:ilvl w:val="1"/>
          <w:numId w:val="4"/>
        </w:numPr>
      </w:pPr>
      <w:r>
        <w:t>Objednatel je povinen:</w:t>
      </w:r>
    </w:p>
    <w:p w14:paraId="5B60D33F" w14:textId="77777777" w:rsidR="006B0F10" w:rsidRDefault="00125715" w:rsidP="002F6155">
      <w:pPr>
        <w:pStyle w:val="My01"/>
        <w:numPr>
          <w:ilvl w:val="2"/>
          <w:numId w:val="4"/>
        </w:numPr>
      </w:pPr>
      <w:r>
        <w:t>poskytovat potřebná dostupná data a informace, která Poskytovatel nezbytně potřebuje k plnění předmětu smlouvy. Objednatel se zavazuje formulovat své dotazy přehledně a srozumitelně. V případě, že předmětem dotazu bude posouzení určité písemnosti, zavazuje se poslat i tuto písemnost elektronicky mailem nebo prostřednictvím držitele poštovní licence, tj. poštou.</w:t>
      </w:r>
    </w:p>
    <w:p w14:paraId="2C9507E8" w14:textId="77777777" w:rsidR="006B0F10" w:rsidRDefault="00125715" w:rsidP="002F6155">
      <w:pPr>
        <w:pStyle w:val="My01"/>
        <w:numPr>
          <w:ilvl w:val="2"/>
          <w:numId w:val="4"/>
        </w:numPr>
      </w:pPr>
      <w:r>
        <w:t>informovat Poskytovatele o všech důležitých skutečnostech a změnách, které by mohly mít vliv na realizaci předmětu smlouvy.</w:t>
      </w:r>
    </w:p>
    <w:p w14:paraId="6C5D17F6" w14:textId="68DDEB6E" w:rsidR="006B0F10" w:rsidRDefault="00125715" w:rsidP="002F6155">
      <w:pPr>
        <w:pStyle w:val="My01"/>
        <w:numPr>
          <w:ilvl w:val="1"/>
          <w:numId w:val="4"/>
        </w:numPr>
      </w:pPr>
      <w:r>
        <w:t xml:space="preserve">Požadovaný úkol a termín splnění, případně další požadavky vyplývající pro poskytovatele z úkolu stanoví objednatel v pokynu, který může být poskytovateli sdělen telefonicky, písemně i osobně. </w:t>
      </w:r>
    </w:p>
    <w:p w14:paraId="4A6D198D" w14:textId="77777777" w:rsidR="006B0F10" w:rsidRDefault="006B0F10" w:rsidP="002F6155">
      <w:pPr>
        <w:pStyle w:val="My01"/>
      </w:pPr>
    </w:p>
    <w:p w14:paraId="567A0053" w14:textId="77777777" w:rsidR="006B0F10" w:rsidRPr="002F6155" w:rsidRDefault="00125715" w:rsidP="002F6155">
      <w:pPr>
        <w:pStyle w:val="My01"/>
        <w:numPr>
          <w:ilvl w:val="0"/>
          <w:numId w:val="5"/>
        </w:numPr>
        <w:ind w:left="0" w:firstLine="0"/>
        <w:rPr>
          <w:b/>
        </w:rPr>
      </w:pPr>
      <w:r w:rsidRPr="002F6155">
        <w:rPr>
          <w:b/>
        </w:rPr>
        <w:t>Odměna a platební podmínky</w:t>
      </w:r>
    </w:p>
    <w:p w14:paraId="216B62A5" w14:textId="77777777" w:rsidR="006B0F10" w:rsidRDefault="006B0F10" w:rsidP="002F6155">
      <w:pPr>
        <w:pStyle w:val="My01"/>
      </w:pPr>
    </w:p>
    <w:p w14:paraId="0B37D670" w14:textId="65F5B8D7" w:rsidR="009E04F8" w:rsidRDefault="00125715" w:rsidP="009D4984">
      <w:pPr>
        <w:pStyle w:val="My01"/>
        <w:numPr>
          <w:ilvl w:val="1"/>
          <w:numId w:val="5"/>
        </w:numPr>
        <w:ind w:left="426" w:hanging="426"/>
      </w:pPr>
      <w:r>
        <w:t>Objednatel se zavazuje za poskytování služeb dle této smlouvy zaplatit Poskytovateli smluvní odměnu ve výši</w:t>
      </w:r>
      <w:r w:rsidR="009E04F8">
        <w:t xml:space="preserve"> 550,- </w:t>
      </w:r>
      <w:r>
        <w:t xml:space="preserve">Kč za hodinu poskytování služeb dle této smlouvy. </w:t>
      </w:r>
      <w:r w:rsidR="00312AA4">
        <w:t xml:space="preserve">V této smluvní odměněn jsou zahrnuty i veškeré ostatní administrativní náklady poskytovatele (telekomunikační poplatky, poštovné, cestovní náklady atd.) </w:t>
      </w:r>
      <w:r>
        <w:t xml:space="preserve">Poskytovatel bude Objednateli poskytovat v příslušném kalendářním měsíci služby v rozsahu nejvýše </w:t>
      </w:r>
      <w:r w:rsidR="00D9209C">
        <w:t>40</w:t>
      </w:r>
      <w:r>
        <w:t xml:space="preserve"> pracovních hodin ve smyslu čl. 1 odst. 1.3 této smlouvy, tj. měsíční odměna nepřesáhne </w:t>
      </w:r>
      <w:r w:rsidR="009E04F8">
        <w:t>22 000,-</w:t>
      </w:r>
      <w:r>
        <w:t xml:space="preserve"> Kč. </w:t>
      </w:r>
    </w:p>
    <w:p w14:paraId="2FB41C66" w14:textId="0F20EE97" w:rsidR="006B0F10" w:rsidRDefault="00125715" w:rsidP="009D4984">
      <w:pPr>
        <w:pStyle w:val="My01"/>
        <w:numPr>
          <w:ilvl w:val="1"/>
          <w:numId w:val="5"/>
        </w:numPr>
        <w:ind w:left="426" w:hanging="426"/>
      </w:pPr>
      <w:r>
        <w:t>Odměna za poskytování služeb bude hrazena dle skutečného rozsahu poskytnutých služeb v kalendářním měsíci</w:t>
      </w:r>
      <w:r w:rsidR="00312AA4">
        <w:t>.</w:t>
      </w:r>
      <w:r>
        <w:t xml:space="preserve"> Celková odměna Poskytovatele za poskytování služeb dle této smlouvy činí nejvýše </w:t>
      </w:r>
      <w:r w:rsidR="009E04F8">
        <w:t>264 000,-</w:t>
      </w:r>
      <w:r>
        <w:t xml:space="preserve"> Kč bez DPH. </w:t>
      </w:r>
    </w:p>
    <w:p w14:paraId="2BB24155" w14:textId="77777777" w:rsidR="006B0F10" w:rsidRDefault="00125715" w:rsidP="009D4984">
      <w:pPr>
        <w:pStyle w:val="My01"/>
        <w:numPr>
          <w:ilvl w:val="1"/>
          <w:numId w:val="5"/>
        </w:numPr>
        <w:ind w:left="426" w:hanging="426"/>
      </w:pPr>
      <w:r>
        <w:t>Pokud je Poskytovatel plátcem DPH nebo se jím v průběhu plněn předmětu této smlouvy stane, je oprávněn k odměně dle odst. 3.1. tohoto článku smlouvy připočíst DPH ve výši dle platných právních předpisů pro dané období.</w:t>
      </w:r>
    </w:p>
    <w:p w14:paraId="2725B177" w14:textId="77777777" w:rsidR="006B0F10" w:rsidRDefault="00125715" w:rsidP="009D4984">
      <w:pPr>
        <w:pStyle w:val="My01"/>
        <w:numPr>
          <w:ilvl w:val="1"/>
          <w:numId w:val="5"/>
        </w:numPr>
        <w:ind w:left="426" w:hanging="426"/>
      </w:pPr>
      <w:r>
        <w:t xml:space="preserve">Plnění dle této smlouvy se považuje za uskutečněné vždy k poslednímu dni kalendářního měsíce. Po uskutečnění zdanitelného plnění je Poskytovatel oprávněn vystavit fakturu – daňový doklad. </w:t>
      </w:r>
    </w:p>
    <w:p w14:paraId="6C15F95F" w14:textId="77777777" w:rsidR="006B0F10" w:rsidRDefault="00125715" w:rsidP="009D4984">
      <w:pPr>
        <w:pStyle w:val="My01"/>
        <w:numPr>
          <w:ilvl w:val="1"/>
          <w:numId w:val="5"/>
        </w:numPr>
        <w:ind w:left="426" w:hanging="426"/>
      </w:pPr>
      <w:r>
        <w:t>Splatnost faktur je do 30 -ti dnů od prokazatelného doručení jejich originálů Objednateli, a to na adresu sídla objednatele.</w:t>
      </w:r>
    </w:p>
    <w:p w14:paraId="220C94DE" w14:textId="77777777" w:rsidR="006B0F10" w:rsidRDefault="00125715" w:rsidP="009D4984">
      <w:pPr>
        <w:pStyle w:val="My01"/>
        <w:numPr>
          <w:ilvl w:val="1"/>
          <w:numId w:val="5"/>
        </w:numPr>
        <w:ind w:left="426" w:hanging="426"/>
      </w:pPr>
      <w:r>
        <w:t xml:space="preserve">Odměna se považuje za uhrazenou dnem odepsání fakturované částky z účtu Objednatele ve prospěch účtu Poskytovatele. </w:t>
      </w:r>
    </w:p>
    <w:p w14:paraId="57B7DD17" w14:textId="77777777" w:rsidR="006B0F10" w:rsidRDefault="00125715" w:rsidP="009D4984">
      <w:pPr>
        <w:pStyle w:val="My01"/>
        <w:numPr>
          <w:ilvl w:val="1"/>
          <w:numId w:val="5"/>
        </w:numPr>
        <w:ind w:left="426" w:hanging="426"/>
      </w:pPr>
      <w:r>
        <w:t>Faktury budou mít obsahovat veškeré náležitosti dle § 435 občanského zákoníku a daňového dokladu dle zákona č. 563/1991 Sb., o účetnictví, ve znění p.p. a dle zákona č. 235/2004 Sb., o dani z přidané hodnoty, ve znění p.p.</w:t>
      </w:r>
    </w:p>
    <w:p w14:paraId="43A9B065" w14:textId="77777777" w:rsidR="006B0F10" w:rsidRDefault="00125715" w:rsidP="009D4984">
      <w:pPr>
        <w:pStyle w:val="My01"/>
        <w:numPr>
          <w:ilvl w:val="1"/>
          <w:numId w:val="5"/>
        </w:numPr>
        <w:ind w:left="426" w:hanging="426"/>
      </w:pPr>
      <w:r>
        <w:t>Přílohou faktur bude vždy výkaz poskytnutých služeb za období, za které bude příslušná faktura vystavena.</w:t>
      </w:r>
    </w:p>
    <w:p w14:paraId="02A9F786" w14:textId="679DF9B2" w:rsidR="00312AA4" w:rsidRDefault="00125715" w:rsidP="009D4984">
      <w:pPr>
        <w:pStyle w:val="My01"/>
        <w:numPr>
          <w:ilvl w:val="1"/>
          <w:numId w:val="5"/>
        </w:numPr>
        <w:ind w:left="426" w:hanging="426"/>
      </w:pPr>
      <w:r>
        <w:t xml:space="preserve">V případě, že faktura nebude mít stanovené náležitosti a přílohy nebo bude obsahovat chybné údaje, je Objednatel oprávněn tuto fakturu ve lhůtě její splatnosti vrátit Poskytovateli, aniž by se tím Objednatel dostal do prodlení s úhradou faktury. Nová lhůty splatnosti počíná běžet dnem obdržení opravené nebo nově vystavené faktury. </w:t>
      </w:r>
    </w:p>
    <w:p w14:paraId="37636984" w14:textId="77777777" w:rsidR="00312AA4" w:rsidRDefault="00312AA4" w:rsidP="002F6155">
      <w:pPr>
        <w:pStyle w:val="My01"/>
      </w:pPr>
    </w:p>
    <w:p w14:paraId="5146C171" w14:textId="77777777" w:rsidR="006B0F10" w:rsidRDefault="006B0F10" w:rsidP="002F6155">
      <w:pPr>
        <w:pStyle w:val="My01"/>
      </w:pPr>
    </w:p>
    <w:p w14:paraId="2277EF2F" w14:textId="77777777" w:rsidR="006B0F10" w:rsidRPr="009D4984" w:rsidRDefault="00125715" w:rsidP="009D4984">
      <w:pPr>
        <w:pStyle w:val="My01"/>
        <w:numPr>
          <w:ilvl w:val="0"/>
          <w:numId w:val="5"/>
        </w:numPr>
        <w:ind w:hanging="720"/>
        <w:rPr>
          <w:b/>
        </w:rPr>
      </w:pPr>
      <w:r w:rsidRPr="009D4984">
        <w:rPr>
          <w:b/>
        </w:rPr>
        <w:t>Ochrana důvěrných informací, uveřejnění smlouvy</w:t>
      </w:r>
    </w:p>
    <w:p w14:paraId="6E1F9D76" w14:textId="77777777" w:rsidR="006B0F10" w:rsidRDefault="006B0F10" w:rsidP="002F6155">
      <w:pPr>
        <w:pStyle w:val="My01"/>
      </w:pPr>
    </w:p>
    <w:p w14:paraId="4DE8AB55" w14:textId="77777777" w:rsidR="006B0F10" w:rsidRDefault="00125715" w:rsidP="009D4984">
      <w:pPr>
        <w:pStyle w:val="My01"/>
        <w:numPr>
          <w:ilvl w:val="1"/>
          <w:numId w:val="5"/>
        </w:numPr>
        <w:ind w:left="426"/>
      </w:pPr>
      <w:r>
        <w:t xml:space="preserve">Poskytovatel je povinen zachovávat mlčenlivost o všech skutečnostech, o kterých se při plnění této smlouvy dozvěděl a které současně objednatel při předání poskytovateli prokazatelně označil jako důvěrné. Povinnosti mlčenlivosti může poskytovatele zprostit jen objednatel svým písemným prohlášením či zmocněním. Povinnost mlčenlivosti trvá i po skončení platnosti této smlouvy. </w:t>
      </w:r>
    </w:p>
    <w:p w14:paraId="7201B245" w14:textId="77777777" w:rsidR="006B0F10" w:rsidRDefault="00125715" w:rsidP="009D4984">
      <w:pPr>
        <w:pStyle w:val="My01"/>
        <w:numPr>
          <w:ilvl w:val="1"/>
          <w:numId w:val="5"/>
        </w:numPr>
        <w:ind w:left="426"/>
      </w:pPr>
      <w:r>
        <w:t>Poskytovatel je zproštěn povinnosti zachovat mlčenlivosti v případech stanovených právními předpisy.</w:t>
      </w:r>
    </w:p>
    <w:p w14:paraId="4620EB77" w14:textId="77777777" w:rsidR="006B0F10" w:rsidRDefault="00125715" w:rsidP="009D4984">
      <w:pPr>
        <w:pStyle w:val="My01"/>
        <w:numPr>
          <w:ilvl w:val="1"/>
          <w:numId w:val="5"/>
        </w:numPr>
        <w:ind w:left="426"/>
      </w:pPr>
      <w:r>
        <w:t>Poskytovatel bere na vědomí, že tato smlouva bude uveřejněna v registru smluv dle zákona č. 340/2015 Sb., o zvláštních podmínkách účinnosti některých smluv, uveřejňování těchto smluv a o registru smluv (zákon o registru smluv).</w:t>
      </w:r>
    </w:p>
    <w:p w14:paraId="77F60B5E" w14:textId="77777777" w:rsidR="006B0F10" w:rsidRDefault="00125715" w:rsidP="009D4984">
      <w:pPr>
        <w:pStyle w:val="My01"/>
        <w:numPr>
          <w:ilvl w:val="1"/>
          <w:numId w:val="5"/>
        </w:numPr>
        <w:ind w:left="426"/>
      </w:pPr>
      <w:r>
        <w:t xml:space="preserve">Smluvní strany se dohodly, že objednatel bezodkladně po uzavření této smlouvy odešle smlouvu k řádnému uveřejnění do registru smluv. </w:t>
      </w:r>
    </w:p>
    <w:p w14:paraId="351F1EDE" w14:textId="77777777" w:rsidR="006B0F10" w:rsidRDefault="00125715" w:rsidP="009D4984">
      <w:pPr>
        <w:pStyle w:val="My01"/>
        <w:numPr>
          <w:ilvl w:val="1"/>
          <w:numId w:val="5"/>
        </w:numPr>
        <w:ind w:left="426"/>
      </w:pPr>
      <w:r>
        <w:t>Smluvní strany prohlašují, že žádná část smlouvy nenaplňuje znaky obchodního tajemství dle § 504 občanského zákoníku.</w:t>
      </w:r>
    </w:p>
    <w:p w14:paraId="05EFFF19" w14:textId="77777777" w:rsidR="006B0F10" w:rsidRDefault="00125715" w:rsidP="009D4984">
      <w:pPr>
        <w:pStyle w:val="My01"/>
        <w:numPr>
          <w:ilvl w:val="1"/>
          <w:numId w:val="5"/>
        </w:numPr>
        <w:ind w:left="426"/>
      </w:pPr>
      <w:r>
        <w:t xml:space="preserve">Pro případ, kdy je v uzavřené smlouvě uvedeno rodné číslo, e-mailová adresa, telefonní číslo, číslo účtu fyzické osoby, bydliště fyzické osoby, se smluvní strany dohodly, že smlouva bude uveřejněna bez těchto údajů. Dále se smluvní strany dohodly, že smlouva bude uveřejněna ve strojově čitelném formátu bez podpisů. </w:t>
      </w:r>
    </w:p>
    <w:p w14:paraId="631A0A64" w14:textId="77777777" w:rsidR="006B0F10" w:rsidRDefault="00125715" w:rsidP="009D4984">
      <w:pPr>
        <w:pStyle w:val="My01"/>
        <w:numPr>
          <w:ilvl w:val="1"/>
          <w:numId w:val="5"/>
        </w:numPr>
        <w:ind w:left="426"/>
      </w:pPr>
      <w:r>
        <w:t>Poskytovatel bere dále na vědomí, že je podle § 2 písm. e) z. č. 320/2001 Sb., o finanční kontrole ve veřejné správě a o změně některých zákonů (zákon o finanční kontrole), ve znění p.p., osobou povinnou spolupůsobit při výkonu finanční kontroly prováděné v souvislosti s úhradou zboží nebo služeb hrazených z veřejných výdajů.</w:t>
      </w:r>
    </w:p>
    <w:p w14:paraId="790D93E3" w14:textId="77777777" w:rsidR="006B0F10" w:rsidRDefault="006B0F10" w:rsidP="009D4984">
      <w:pPr>
        <w:pStyle w:val="My01"/>
        <w:ind w:left="426"/>
      </w:pPr>
    </w:p>
    <w:p w14:paraId="18EF6B72" w14:textId="77777777" w:rsidR="006B0F10" w:rsidRPr="009D4984" w:rsidRDefault="00125715" w:rsidP="009D4984">
      <w:pPr>
        <w:pStyle w:val="My01"/>
        <w:numPr>
          <w:ilvl w:val="0"/>
          <w:numId w:val="5"/>
        </w:numPr>
        <w:ind w:left="426"/>
        <w:rPr>
          <w:b/>
        </w:rPr>
      </w:pPr>
      <w:r w:rsidRPr="009D4984">
        <w:rPr>
          <w:b/>
        </w:rPr>
        <w:t>Platnost a doba trvání této smlouvy</w:t>
      </w:r>
    </w:p>
    <w:p w14:paraId="33F9B12F" w14:textId="77777777" w:rsidR="006B0F10" w:rsidRDefault="006B0F10" w:rsidP="009D4984">
      <w:pPr>
        <w:pStyle w:val="My01"/>
        <w:ind w:left="426"/>
      </w:pPr>
    </w:p>
    <w:p w14:paraId="0D0F1778" w14:textId="5D4FC2FA" w:rsidR="006B0F10" w:rsidRDefault="00125715" w:rsidP="009D4984">
      <w:pPr>
        <w:pStyle w:val="My01"/>
        <w:numPr>
          <w:ilvl w:val="1"/>
          <w:numId w:val="5"/>
        </w:numPr>
        <w:ind w:left="426"/>
      </w:pPr>
      <w:r>
        <w:t xml:space="preserve">Tato smlouva nabývá platnosti </w:t>
      </w:r>
      <w:r w:rsidR="002F6155">
        <w:t xml:space="preserve">dnem podpisu obou smluvních stran </w:t>
      </w:r>
      <w:r>
        <w:t xml:space="preserve">a účinnosti dnem jejího </w:t>
      </w:r>
      <w:r w:rsidR="002F6155">
        <w:t xml:space="preserve">uveřejnění v registru smluv </w:t>
      </w:r>
      <w:r>
        <w:t>a je uzavřena na dobu určitou,</w:t>
      </w:r>
      <w:r w:rsidR="00E87263">
        <w:t xml:space="preserve"> a to 12-ti měsíců ode dne nabytí její účinnosti.</w:t>
      </w:r>
    </w:p>
    <w:p w14:paraId="1703FD56" w14:textId="77777777" w:rsidR="006B0F10" w:rsidRDefault="00125715" w:rsidP="009D4984">
      <w:pPr>
        <w:pStyle w:val="My01"/>
        <w:numPr>
          <w:ilvl w:val="1"/>
          <w:numId w:val="5"/>
        </w:numPr>
        <w:ind w:left="426"/>
      </w:pPr>
      <w:r>
        <w:t xml:space="preserve">Tuto smlouvu je možné ukončit písemnou dohodou obou smluvních stran nebo jednostranně písemnou výpovědí. Tuto smlouvu může vypovědět kterákoliv ze smluvních stran, a to i bez udání důvodu. Výpovědní lhůta činí 1 měsíc a počíná běžet prvním dnem kalendářního měsíce následujícího po měsíci, v němž byla výpověď doručena druhé smluvní straně. </w:t>
      </w:r>
    </w:p>
    <w:p w14:paraId="0F1A7C33" w14:textId="77777777" w:rsidR="006B0F10" w:rsidRDefault="00125715" w:rsidP="009D4984">
      <w:pPr>
        <w:pStyle w:val="My01"/>
        <w:numPr>
          <w:ilvl w:val="1"/>
          <w:numId w:val="5"/>
        </w:numPr>
        <w:ind w:left="426"/>
      </w:pPr>
      <w:r>
        <w:t xml:space="preserve">Smluvní strany provedou veškeré finanční a věcné vypořádání nejpozději do 15-ti dnů po ukončení smluvního vztahu dle této smlouvy. </w:t>
      </w:r>
    </w:p>
    <w:p w14:paraId="061B6D99" w14:textId="77777777" w:rsidR="006B0F10" w:rsidRDefault="00125715" w:rsidP="009D4984">
      <w:pPr>
        <w:pStyle w:val="My01"/>
        <w:numPr>
          <w:ilvl w:val="1"/>
          <w:numId w:val="5"/>
        </w:numPr>
        <w:ind w:left="426"/>
      </w:pPr>
      <w:r>
        <w:t xml:space="preserve"> V případě, že dojde k předčasnému ukončení smluvního vztahu dle této smlouvy, a to na základě právního úkonu kterékoliv ze smluvních stran, je Poskytovatel vždy povinen upozornit Objednatele na možná nebezpečí zmaření účelů této smlouvy nebo vzniku škody bezprostředně hrozící objednateli nedokončením předmětu smlouvy a provést nezbytná opatření potřebná k zabránění takového zmaření nebo škody. </w:t>
      </w:r>
    </w:p>
    <w:p w14:paraId="65483B7B" w14:textId="77777777" w:rsidR="006B0F10" w:rsidRDefault="006B0F10" w:rsidP="009D4984">
      <w:pPr>
        <w:pStyle w:val="My01"/>
        <w:ind w:left="426"/>
      </w:pPr>
    </w:p>
    <w:p w14:paraId="1F1EC0AB" w14:textId="77777777" w:rsidR="006B0F10" w:rsidRPr="009D4984" w:rsidRDefault="00125715" w:rsidP="009D4984">
      <w:pPr>
        <w:pStyle w:val="My01"/>
        <w:numPr>
          <w:ilvl w:val="0"/>
          <w:numId w:val="5"/>
        </w:numPr>
        <w:ind w:left="426"/>
        <w:rPr>
          <w:b/>
        </w:rPr>
      </w:pPr>
      <w:r w:rsidRPr="009D4984">
        <w:rPr>
          <w:b/>
        </w:rPr>
        <w:t xml:space="preserve">Ostatní ujednání </w:t>
      </w:r>
    </w:p>
    <w:p w14:paraId="79D21192" w14:textId="77777777" w:rsidR="006B0F10" w:rsidRDefault="006B0F10" w:rsidP="009D4984">
      <w:pPr>
        <w:pStyle w:val="My01"/>
        <w:ind w:left="426"/>
      </w:pPr>
    </w:p>
    <w:p w14:paraId="0AF909C0" w14:textId="77777777" w:rsidR="006B0F10" w:rsidRDefault="00125715" w:rsidP="009D4984">
      <w:pPr>
        <w:pStyle w:val="My01"/>
        <w:numPr>
          <w:ilvl w:val="1"/>
          <w:numId w:val="5"/>
        </w:numPr>
        <w:ind w:left="426"/>
      </w:pPr>
      <w:r>
        <w:t xml:space="preserve">Tuto smlouvu lze měnit na základě dohody smluvních stran formou číslovaných dodatků podepsaných oprávněnými zástupci smluvních stran. </w:t>
      </w:r>
    </w:p>
    <w:p w14:paraId="0EF7BA08" w14:textId="77777777" w:rsidR="006B0F10" w:rsidRDefault="00125715" w:rsidP="009D4984">
      <w:pPr>
        <w:pStyle w:val="My01"/>
        <w:numPr>
          <w:ilvl w:val="1"/>
          <w:numId w:val="5"/>
        </w:numPr>
        <w:ind w:left="426"/>
      </w:pPr>
      <w:r>
        <w:t xml:space="preserve">Nastanou-li skutečnosti, které jedné nebo oběma smluvním stranám částečně nebo úplně znemožní plnění jejích povinností podle této smlouvy, jsou smluvní strany povinny se o tom bez zbytečného odkladu písemně informovat. </w:t>
      </w:r>
    </w:p>
    <w:p w14:paraId="50A88FFC" w14:textId="77777777" w:rsidR="006B0F10" w:rsidRDefault="00125715" w:rsidP="009D4984">
      <w:pPr>
        <w:pStyle w:val="My01"/>
        <w:numPr>
          <w:ilvl w:val="1"/>
          <w:numId w:val="5"/>
        </w:numPr>
        <w:ind w:left="426"/>
      </w:pPr>
      <w:r>
        <w:t xml:space="preserve">Tato smlouva je vyhotovena ve dvou stejnopisech, z nich každá ze smluvních stran obdrží po jednom. </w:t>
      </w:r>
    </w:p>
    <w:p w14:paraId="6DA89089" w14:textId="77777777" w:rsidR="006B0F10" w:rsidRDefault="006B0F10" w:rsidP="002F6155">
      <w:pPr>
        <w:pStyle w:val="My01"/>
      </w:pPr>
    </w:p>
    <w:p w14:paraId="76BDB760" w14:textId="77777777" w:rsidR="006B0F10" w:rsidRDefault="006B0F10" w:rsidP="002F6155">
      <w:pPr>
        <w:pStyle w:val="My01"/>
      </w:pPr>
    </w:p>
    <w:p w14:paraId="6730D562" w14:textId="242AE17C" w:rsidR="006B0F10" w:rsidRDefault="00125715">
      <w:pPr>
        <w:spacing w:after="0" w:line="160" w:lineRule="atLeast"/>
        <w:rPr>
          <w:rFonts w:ascii="Arial" w:hAnsi="Arial" w:cs="Arial"/>
          <w:sz w:val="19"/>
          <w:szCs w:val="19"/>
        </w:rPr>
      </w:pPr>
      <w:r>
        <w:rPr>
          <w:rFonts w:ascii="Arial" w:hAnsi="Arial" w:cs="Arial"/>
          <w:sz w:val="19"/>
          <w:szCs w:val="19"/>
        </w:rPr>
        <w:t xml:space="preserve">V Praze, dne </w:t>
      </w:r>
      <w:r w:rsidR="00E87263">
        <w:rPr>
          <w:rFonts w:ascii="Arial" w:hAnsi="Arial" w:cs="Arial"/>
          <w:sz w:val="19"/>
          <w:szCs w:val="19"/>
        </w:rPr>
        <w:t>19. 9. 2018</w:t>
      </w:r>
      <w:r>
        <w:rPr>
          <w:rFonts w:ascii="Arial" w:hAnsi="Arial" w:cs="Arial"/>
          <w:sz w:val="19"/>
          <w:szCs w:val="19"/>
        </w:rPr>
        <w:tab/>
      </w:r>
      <w:r>
        <w:rPr>
          <w:rFonts w:ascii="Arial" w:hAnsi="Arial" w:cs="Arial"/>
          <w:sz w:val="19"/>
          <w:szCs w:val="19"/>
        </w:rPr>
        <w:tab/>
      </w:r>
      <w:r>
        <w:rPr>
          <w:rFonts w:ascii="Arial" w:hAnsi="Arial" w:cs="Arial"/>
          <w:sz w:val="19"/>
          <w:szCs w:val="19"/>
        </w:rPr>
        <w:tab/>
      </w:r>
      <w:r w:rsidR="00E87263">
        <w:rPr>
          <w:rFonts w:ascii="Arial" w:hAnsi="Arial" w:cs="Arial"/>
          <w:sz w:val="19"/>
          <w:szCs w:val="19"/>
        </w:rPr>
        <w:tab/>
      </w:r>
      <w:r w:rsidR="00E87263">
        <w:rPr>
          <w:rFonts w:ascii="Arial" w:hAnsi="Arial" w:cs="Arial"/>
          <w:sz w:val="19"/>
          <w:szCs w:val="19"/>
        </w:rPr>
        <w:tab/>
      </w:r>
      <w:r>
        <w:rPr>
          <w:rFonts w:ascii="Arial" w:hAnsi="Arial" w:cs="Arial"/>
          <w:sz w:val="19"/>
          <w:szCs w:val="19"/>
        </w:rPr>
        <w:t xml:space="preserve">V Praze, dne </w:t>
      </w:r>
      <w:r w:rsidR="00E87263">
        <w:rPr>
          <w:rFonts w:ascii="Arial" w:hAnsi="Arial" w:cs="Arial"/>
          <w:sz w:val="19"/>
          <w:szCs w:val="19"/>
        </w:rPr>
        <w:t>19. 9. 2018</w:t>
      </w:r>
    </w:p>
    <w:p w14:paraId="57770603" w14:textId="77777777" w:rsidR="006B0F10" w:rsidRDefault="006B0F10">
      <w:pPr>
        <w:spacing w:after="0" w:line="160" w:lineRule="atLeast"/>
        <w:rPr>
          <w:rFonts w:ascii="Arial" w:hAnsi="Arial" w:cs="Arial"/>
          <w:sz w:val="19"/>
          <w:szCs w:val="19"/>
        </w:rPr>
      </w:pPr>
    </w:p>
    <w:p w14:paraId="0C2E9322" w14:textId="77777777" w:rsidR="006B0F10" w:rsidRDefault="006B0F10">
      <w:pPr>
        <w:spacing w:after="0" w:line="160" w:lineRule="atLeast"/>
        <w:rPr>
          <w:rFonts w:ascii="Arial" w:hAnsi="Arial" w:cs="Arial"/>
          <w:sz w:val="19"/>
          <w:szCs w:val="19"/>
        </w:rPr>
      </w:pPr>
    </w:p>
    <w:p w14:paraId="71CF445C" w14:textId="77777777" w:rsidR="006B0F10" w:rsidRDefault="006B0F10">
      <w:pPr>
        <w:spacing w:after="0" w:line="160" w:lineRule="atLeast"/>
        <w:rPr>
          <w:rFonts w:ascii="Arial" w:hAnsi="Arial" w:cs="Arial"/>
          <w:sz w:val="19"/>
          <w:szCs w:val="19"/>
        </w:rPr>
      </w:pPr>
    </w:p>
    <w:p w14:paraId="377E626D" w14:textId="77777777" w:rsidR="006B0F10" w:rsidRDefault="00125715">
      <w:pPr>
        <w:spacing w:after="0" w:line="160" w:lineRule="atLeast"/>
        <w:rPr>
          <w:rFonts w:ascii="Arial" w:hAnsi="Arial" w:cs="Arial"/>
          <w:sz w:val="19"/>
          <w:szCs w:val="19"/>
        </w:rPr>
      </w:pPr>
      <w:r>
        <w:rPr>
          <w:rFonts w:ascii="Arial" w:hAnsi="Arial" w:cs="Arial"/>
          <w:sz w:val="19"/>
          <w:szCs w:val="19"/>
        </w:rPr>
        <w:t xml:space="preserve"> Objednatel:</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Poskytovatel:</w:t>
      </w:r>
    </w:p>
    <w:p w14:paraId="0692C3BF" w14:textId="77777777" w:rsidR="006B0F10" w:rsidRDefault="006B0F10">
      <w:pPr>
        <w:spacing w:after="0" w:line="160" w:lineRule="atLeast"/>
        <w:rPr>
          <w:rFonts w:ascii="Arial" w:hAnsi="Arial" w:cs="Arial"/>
          <w:sz w:val="19"/>
          <w:szCs w:val="19"/>
        </w:rPr>
      </w:pPr>
    </w:p>
    <w:p w14:paraId="476C2930" w14:textId="77777777" w:rsidR="006B0F10" w:rsidRDefault="006B0F10">
      <w:pPr>
        <w:spacing w:after="0" w:line="160" w:lineRule="atLeast"/>
        <w:rPr>
          <w:rFonts w:ascii="Arial" w:hAnsi="Arial" w:cs="Arial"/>
          <w:sz w:val="19"/>
          <w:szCs w:val="19"/>
        </w:rPr>
      </w:pPr>
    </w:p>
    <w:p w14:paraId="1B74F620" w14:textId="77777777" w:rsidR="006B0F10" w:rsidRDefault="006B0F10">
      <w:pPr>
        <w:spacing w:after="0" w:line="160" w:lineRule="atLeast"/>
        <w:rPr>
          <w:rFonts w:ascii="Arial" w:hAnsi="Arial" w:cs="Arial"/>
          <w:sz w:val="19"/>
          <w:szCs w:val="19"/>
        </w:rPr>
      </w:pPr>
    </w:p>
    <w:p w14:paraId="7112DB60" w14:textId="77777777" w:rsidR="006B0F10" w:rsidRDefault="006B0F10">
      <w:pPr>
        <w:spacing w:after="0" w:line="160" w:lineRule="atLeast"/>
        <w:rPr>
          <w:rFonts w:ascii="Arial" w:hAnsi="Arial" w:cs="Arial"/>
          <w:sz w:val="19"/>
          <w:szCs w:val="19"/>
        </w:rPr>
      </w:pPr>
    </w:p>
    <w:p w14:paraId="7B76E317" w14:textId="77777777" w:rsidR="006B0F10" w:rsidRDefault="006B0F10">
      <w:pPr>
        <w:spacing w:after="0" w:line="160" w:lineRule="atLeast"/>
        <w:rPr>
          <w:rFonts w:ascii="Arial" w:hAnsi="Arial" w:cs="Arial"/>
          <w:sz w:val="19"/>
          <w:szCs w:val="19"/>
        </w:rPr>
      </w:pPr>
    </w:p>
    <w:p w14:paraId="1AF2D4E1" w14:textId="77777777" w:rsidR="006B0F10" w:rsidRDefault="00125715">
      <w:pPr>
        <w:spacing w:after="0" w:line="160" w:lineRule="atLeast"/>
        <w:rPr>
          <w:rFonts w:ascii="Arial" w:hAnsi="Arial" w:cs="Arial"/>
          <w:sz w:val="19"/>
          <w:szCs w:val="19"/>
        </w:rPr>
      </w:pPr>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70DD8863" w14:textId="77777777" w:rsidR="006B0F10" w:rsidRDefault="006B0F10">
      <w:pPr>
        <w:spacing w:after="0" w:line="160" w:lineRule="atLeast"/>
        <w:rPr>
          <w:rFonts w:ascii="Arial" w:hAnsi="Arial" w:cs="Arial"/>
          <w:sz w:val="19"/>
          <w:szCs w:val="19"/>
        </w:rPr>
      </w:pPr>
    </w:p>
    <w:p w14:paraId="7DC63732" w14:textId="77777777" w:rsidR="006B0F10" w:rsidRDefault="00125715">
      <w:pPr>
        <w:spacing w:after="0" w:line="160" w:lineRule="atLeast"/>
      </w:pPr>
      <w:r>
        <w:rPr>
          <w:rFonts w:ascii="Arial" w:hAnsi="Arial" w:cs="Arial"/>
          <w:sz w:val="19"/>
          <w:szCs w:val="19"/>
        </w:rPr>
        <w:t xml:space="preserve">Mgr. Helena Bezděk Fraňková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Ing. Magdalena Králová</w:t>
      </w:r>
    </w:p>
    <w:sectPr w:rsidR="006B0F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F5744" w14:textId="77777777" w:rsidR="006E0108" w:rsidRDefault="006E0108">
      <w:pPr>
        <w:spacing w:after="0"/>
      </w:pPr>
      <w:r>
        <w:separator/>
      </w:r>
    </w:p>
  </w:endnote>
  <w:endnote w:type="continuationSeparator" w:id="0">
    <w:p w14:paraId="3B119A29" w14:textId="77777777" w:rsidR="006E0108" w:rsidRDefault="006E0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MT">
    <w:charset w:val="00"/>
    <w:family w:val="auto"/>
    <w:pitch w:val="default"/>
  </w:font>
  <w:font w:name="ArialMT">
    <w:altName w:val="Arial"/>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BDD9F" w14:textId="77777777" w:rsidR="006E0108" w:rsidRDefault="006E0108">
      <w:pPr>
        <w:spacing w:after="0"/>
      </w:pPr>
      <w:r>
        <w:rPr>
          <w:color w:val="000000"/>
        </w:rPr>
        <w:separator/>
      </w:r>
    </w:p>
  </w:footnote>
  <w:footnote w:type="continuationSeparator" w:id="0">
    <w:p w14:paraId="15FC429D" w14:textId="77777777" w:rsidR="006E0108" w:rsidRDefault="006E01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DBC"/>
    <w:multiLevelType w:val="multilevel"/>
    <w:tmpl w:val="2A542E0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B3C7FDA"/>
    <w:multiLevelType w:val="multilevel"/>
    <w:tmpl w:val="3F08935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CBE5F5A"/>
    <w:multiLevelType w:val="multilevel"/>
    <w:tmpl w:val="7702FE9C"/>
    <w:lvl w:ilvl="0">
      <w:start w:val="1"/>
      <w:numFmt w:val="decimal"/>
      <w:lvlText w:val="%1."/>
      <w:lvlJc w:val="left"/>
      <w:pPr>
        <w:ind w:left="1192" w:hanging="624"/>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467951C2"/>
    <w:multiLevelType w:val="multilevel"/>
    <w:tmpl w:val="9992ED96"/>
    <w:lvl w:ilvl="0">
      <w:numFmt w:val="bullet"/>
      <w:lvlText w:val="-"/>
      <w:lvlJc w:val="left"/>
      <w:pPr>
        <w:ind w:left="1344" w:hanging="360"/>
      </w:pPr>
      <w:rPr>
        <w:rFonts w:ascii="Calibri" w:eastAsia="Calibri" w:hAnsi="Calibri" w:cs="Times New Roman"/>
      </w:rPr>
    </w:lvl>
    <w:lvl w:ilvl="1">
      <w:numFmt w:val="bullet"/>
      <w:lvlText w:val="o"/>
      <w:lvlJc w:val="left"/>
      <w:pPr>
        <w:ind w:left="2064" w:hanging="360"/>
      </w:pPr>
      <w:rPr>
        <w:rFonts w:ascii="Courier New" w:hAnsi="Courier New" w:cs="Courier New"/>
      </w:rPr>
    </w:lvl>
    <w:lvl w:ilvl="2">
      <w:numFmt w:val="bullet"/>
      <w:lvlText w:val=""/>
      <w:lvlJc w:val="left"/>
      <w:pPr>
        <w:ind w:left="2784" w:hanging="360"/>
      </w:pPr>
      <w:rPr>
        <w:rFonts w:ascii="Wingdings" w:hAnsi="Wingdings"/>
      </w:rPr>
    </w:lvl>
    <w:lvl w:ilvl="3">
      <w:numFmt w:val="bullet"/>
      <w:lvlText w:val=""/>
      <w:lvlJc w:val="left"/>
      <w:pPr>
        <w:ind w:left="3504" w:hanging="360"/>
      </w:pPr>
      <w:rPr>
        <w:rFonts w:ascii="Symbol" w:hAnsi="Symbol"/>
      </w:rPr>
    </w:lvl>
    <w:lvl w:ilvl="4">
      <w:numFmt w:val="bullet"/>
      <w:lvlText w:val="o"/>
      <w:lvlJc w:val="left"/>
      <w:pPr>
        <w:ind w:left="4224" w:hanging="360"/>
      </w:pPr>
      <w:rPr>
        <w:rFonts w:ascii="Courier New" w:hAnsi="Courier New" w:cs="Courier New"/>
      </w:rPr>
    </w:lvl>
    <w:lvl w:ilvl="5">
      <w:numFmt w:val="bullet"/>
      <w:lvlText w:val=""/>
      <w:lvlJc w:val="left"/>
      <w:pPr>
        <w:ind w:left="4944" w:hanging="360"/>
      </w:pPr>
      <w:rPr>
        <w:rFonts w:ascii="Wingdings" w:hAnsi="Wingdings"/>
      </w:rPr>
    </w:lvl>
    <w:lvl w:ilvl="6">
      <w:numFmt w:val="bullet"/>
      <w:lvlText w:val=""/>
      <w:lvlJc w:val="left"/>
      <w:pPr>
        <w:ind w:left="5664" w:hanging="360"/>
      </w:pPr>
      <w:rPr>
        <w:rFonts w:ascii="Symbol" w:hAnsi="Symbol"/>
      </w:rPr>
    </w:lvl>
    <w:lvl w:ilvl="7">
      <w:numFmt w:val="bullet"/>
      <w:lvlText w:val="o"/>
      <w:lvlJc w:val="left"/>
      <w:pPr>
        <w:ind w:left="6384" w:hanging="360"/>
      </w:pPr>
      <w:rPr>
        <w:rFonts w:ascii="Courier New" w:hAnsi="Courier New" w:cs="Courier New"/>
      </w:rPr>
    </w:lvl>
    <w:lvl w:ilvl="8">
      <w:numFmt w:val="bullet"/>
      <w:lvlText w:val=""/>
      <w:lvlJc w:val="left"/>
      <w:pPr>
        <w:ind w:left="7104" w:hanging="360"/>
      </w:pPr>
      <w:rPr>
        <w:rFonts w:ascii="Wingdings" w:hAnsi="Wingdings"/>
      </w:rPr>
    </w:lvl>
  </w:abstractNum>
  <w:abstractNum w:abstractNumId="4" w15:restartNumberingAfterBreak="0">
    <w:nsid w:val="65677834"/>
    <w:multiLevelType w:val="multilevel"/>
    <w:tmpl w:val="876A4FA2"/>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10"/>
    <w:rsid w:val="00114EEB"/>
    <w:rsid w:val="00125715"/>
    <w:rsid w:val="0023401A"/>
    <w:rsid w:val="00270330"/>
    <w:rsid w:val="002A3EC3"/>
    <w:rsid w:val="002F6155"/>
    <w:rsid w:val="00312AA4"/>
    <w:rsid w:val="003E2F58"/>
    <w:rsid w:val="004523D1"/>
    <w:rsid w:val="004E2BC6"/>
    <w:rsid w:val="00590E94"/>
    <w:rsid w:val="005C5AD1"/>
    <w:rsid w:val="006B0F10"/>
    <w:rsid w:val="006C299C"/>
    <w:rsid w:val="006E0108"/>
    <w:rsid w:val="00790AF2"/>
    <w:rsid w:val="007979E4"/>
    <w:rsid w:val="008402C7"/>
    <w:rsid w:val="0089677F"/>
    <w:rsid w:val="009D4984"/>
    <w:rsid w:val="009E04F8"/>
    <w:rsid w:val="00A03F84"/>
    <w:rsid w:val="00AD12DA"/>
    <w:rsid w:val="00AE046D"/>
    <w:rsid w:val="00AF4312"/>
    <w:rsid w:val="00B1016D"/>
    <w:rsid w:val="00B705CB"/>
    <w:rsid w:val="00BF12B3"/>
    <w:rsid w:val="00D242F4"/>
    <w:rsid w:val="00D9209C"/>
    <w:rsid w:val="00E663FC"/>
    <w:rsid w:val="00E87263"/>
    <w:rsid w:val="00FC1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9C4F"/>
  <w15:docId w15:val="{47780776-C06F-401B-8B0A-48E45862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style>
  <w:style w:type="paragraph" w:styleId="Nadpis2">
    <w:name w:val="heading 2"/>
    <w:basedOn w:val="Normln"/>
    <w:next w:val="Normln"/>
    <w:uiPriority w:val="9"/>
    <w:semiHidden/>
    <w:unhideWhenUsed/>
    <w:qFormat/>
    <w:pPr>
      <w:keepNext/>
      <w:keepLines/>
      <w:spacing w:before="40" w:after="0"/>
      <w:outlineLvl w:val="1"/>
    </w:pPr>
    <w:rPr>
      <w:rFonts w:ascii="Calibri Light" w:eastAsia="Times New Roman" w:hAnsi="Calibri Light"/>
      <w:color w:val="2F5496"/>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0">
    <w:name w:val="Nadpis_2"/>
    <w:next w:val="Normln"/>
    <w:pPr>
      <w:keepNext/>
      <w:keepLines/>
      <w:suppressAutoHyphens/>
      <w:spacing w:before="283" w:after="120"/>
      <w:ind w:left="624" w:hanging="624"/>
    </w:pPr>
    <w:rPr>
      <w:rFonts w:ascii="Arial" w:eastAsia="Times New Roman" w:hAnsi="Arial" w:cs="Arial-BoldMT"/>
      <w:b/>
      <w:bCs/>
      <w:caps/>
      <w:color w:val="000000"/>
      <w:sz w:val="20"/>
      <w:szCs w:val="20"/>
    </w:rPr>
  </w:style>
  <w:style w:type="paragraph" w:customStyle="1" w:styleId="My01">
    <w:name w:val="My01"/>
    <w:basedOn w:val="Nadpis2"/>
    <w:autoRedefine/>
    <w:rsid w:val="002F6155"/>
    <w:pPr>
      <w:keepNext w:val="0"/>
      <w:keepLines w:val="0"/>
      <w:autoSpaceDE w:val="0"/>
      <w:spacing w:before="0" w:line="160" w:lineRule="atLeast"/>
      <w:ind w:left="709"/>
      <w:outlineLvl w:val="9"/>
    </w:pPr>
    <w:rPr>
      <w:rFonts w:ascii="Arial" w:hAnsi="Arial" w:cs="ArialMT"/>
      <w:bCs/>
      <w:color w:val="000000"/>
      <w:sz w:val="19"/>
      <w:szCs w:val="19"/>
    </w:rPr>
  </w:style>
  <w:style w:type="paragraph" w:customStyle="1" w:styleId="Tatosmlouva">
    <w:name w:val="Tato smlouva"/>
    <w:basedOn w:val="Normln"/>
    <w:pPr>
      <w:keepNext/>
      <w:keepLines/>
      <w:widowControl w:val="0"/>
      <w:autoSpaceDE w:val="0"/>
      <w:spacing w:after="0" w:line="253" w:lineRule="atLeast"/>
    </w:pPr>
    <w:rPr>
      <w:rFonts w:ascii="Arial" w:eastAsia="Times New Roman" w:hAnsi="Arial" w:cs="Arial-BoldMT"/>
      <w:b/>
      <w:bCs/>
      <w:color w:val="000000"/>
      <w:sz w:val="21"/>
      <w:szCs w:val="21"/>
    </w:rPr>
  </w:style>
  <w:style w:type="character" w:customStyle="1" w:styleId="Puntik">
    <w:name w:val="_Puntik"/>
    <w:rPr>
      <w:rFonts w:ascii="Arial" w:hAnsi="Arial" w:cs="Arial"/>
      <w:color w:val="000000"/>
      <w:sz w:val="19"/>
    </w:rPr>
  </w:style>
  <w:style w:type="character" w:customStyle="1" w:styleId="Nadpis2Char">
    <w:name w:val="Nadpis 2 Char"/>
    <w:basedOn w:val="Standardnpsmoodstavce"/>
    <w:rPr>
      <w:rFonts w:ascii="Calibri Light" w:eastAsia="Times New Roman" w:hAnsi="Calibri Light" w:cs="Times New Roman"/>
      <w:color w:val="2F5496"/>
      <w:sz w:val="26"/>
      <w:szCs w:val="26"/>
    </w:rPr>
  </w:style>
  <w:style w:type="paragraph" w:customStyle="1" w:styleId="Default">
    <w:name w:val="Default"/>
    <w:pPr>
      <w:autoSpaceDE w:val="0"/>
      <w:spacing w:after="0"/>
      <w:textAlignment w:val="auto"/>
    </w:pPr>
    <w:rPr>
      <w:rFonts w:cs="Calibri"/>
      <w:color w:val="000000"/>
      <w:sz w:val="24"/>
      <w:szCs w:val="24"/>
    </w:rPr>
  </w:style>
  <w:style w:type="paragraph" w:styleId="Textpoznpodarou">
    <w:name w:val="footnote text"/>
    <w:basedOn w:val="Normln"/>
    <w:pPr>
      <w:suppressAutoHyphens w:val="0"/>
      <w:spacing w:after="200"/>
      <w:textAlignment w:val="auto"/>
    </w:pPr>
    <w:rPr>
      <w:sz w:val="20"/>
      <w:szCs w:val="20"/>
    </w:rPr>
  </w:style>
  <w:style w:type="character" w:customStyle="1" w:styleId="TextpoznpodarouChar">
    <w:name w:val="Text pozn. pod čarou Char"/>
    <w:basedOn w:val="Standardnpsmoodstavce"/>
    <w:rPr>
      <w:sz w:val="20"/>
      <w:szCs w:val="20"/>
    </w:rPr>
  </w:style>
  <w:style w:type="character" w:styleId="Znakapoznpodarou">
    <w:name w:val="footnote reference"/>
    <w:rPr>
      <w:position w:val="0"/>
      <w:vertAlign w:val="superscript"/>
    </w:rPr>
  </w:style>
  <w:style w:type="paragraph" w:styleId="Normlnweb">
    <w:name w:val="Normal (Web)"/>
    <w:basedOn w:val="Normln"/>
    <w:pPr>
      <w:suppressAutoHyphens w:val="0"/>
      <w:spacing w:before="100" w:after="100"/>
      <w:textAlignment w:val="auto"/>
    </w:pPr>
    <w:rPr>
      <w:rFonts w:ascii="Times New Roman" w:eastAsia="Times New Roman" w:hAnsi="Times New Roman"/>
      <w:sz w:val="24"/>
      <w:szCs w:val="24"/>
      <w:lang w:eastAsia="cs-CZ"/>
    </w:rPr>
  </w:style>
  <w:style w:type="paragraph" w:styleId="Textbubliny">
    <w:name w:val="Balloon Text"/>
    <w:basedOn w:val="Normln"/>
    <w:pPr>
      <w:spacing w:after="0"/>
    </w:pPr>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 w:type="character" w:styleId="Odkaznakoment">
    <w:name w:val="annotation reference"/>
    <w:basedOn w:val="Standardnpsmoodstavce"/>
    <w:rPr>
      <w:sz w:val="16"/>
      <w:szCs w:val="16"/>
    </w:rPr>
  </w:style>
  <w:style w:type="paragraph" w:styleId="Textkomente">
    <w:name w:val="annotation text"/>
    <w:basedOn w:val="Normln"/>
    <w:rPr>
      <w:sz w:val="20"/>
      <w:szCs w:val="20"/>
    </w:rPr>
  </w:style>
  <w:style w:type="character" w:customStyle="1" w:styleId="TextkomenteChar">
    <w:name w:val="Text komentáře Char"/>
    <w:basedOn w:val="Standardnpsmoodstavce"/>
    <w:rPr>
      <w:sz w:val="20"/>
      <w:szCs w:val="20"/>
    </w:rPr>
  </w:style>
  <w:style w:type="paragraph" w:styleId="Pedmtkomente">
    <w:name w:val="annotation subject"/>
    <w:basedOn w:val="Textkomente"/>
    <w:next w:val="Textkomente"/>
    <w:rPr>
      <w:b/>
      <w:bCs/>
    </w:rPr>
  </w:style>
  <w:style w:type="character" w:customStyle="1" w:styleId="PedmtkomenteChar">
    <w:name w:val="Předmět komentáře Char"/>
    <w:basedOn w:val="TextkomenteChar"/>
    <w:rPr>
      <w:b/>
      <w:bCs/>
      <w:sz w:val="20"/>
      <w:szCs w:val="20"/>
    </w:rPr>
  </w:style>
  <w:style w:type="paragraph" w:styleId="Odstavecseseznamem">
    <w:name w:val="List Paragraph"/>
    <w:basedOn w:val="Norml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8584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Suková</dc:creator>
  <dc:description/>
  <cp:lastModifiedBy>Pavla Šmerhová</cp:lastModifiedBy>
  <cp:revision>2</cp:revision>
  <cp:lastPrinted>2017-05-25T08:21:00Z</cp:lastPrinted>
  <dcterms:created xsi:type="dcterms:W3CDTF">2018-09-19T06:43:00Z</dcterms:created>
  <dcterms:modified xsi:type="dcterms:W3CDTF">2018-09-19T06:43:00Z</dcterms:modified>
</cp:coreProperties>
</file>