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105" w:rsidRPr="00467105" w:rsidRDefault="00467105" w:rsidP="00467105">
      <w:pPr>
        <w:pStyle w:val="Nzev"/>
        <w:rPr>
          <w:rFonts w:asciiTheme="minorHAnsi" w:hAnsiTheme="minorHAnsi" w:cs="Arial"/>
          <w:b w:val="0"/>
          <w:bCs w:val="0"/>
          <w:szCs w:val="28"/>
        </w:rPr>
      </w:pPr>
      <w:r w:rsidRPr="00467105">
        <w:rPr>
          <w:rFonts w:asciiTheme="minorHAnsi" w:hAnsiTheme="minorHAnsi" w:cs="Arial"/>
          <w:bCs w:val="0"/>
          <w:szCs w:val="28"/>
        </w:rPr>
        <w:t>Veřejnoprávní smlouva o poskytnutí dotace</w:t>
      </w:r>
    </w:p>
    <w:p w:rsidR="00467105" w:rsidRPr="00467105" w:rsidRDefault="00467105" w:rsidP="00467105">
      <w:pPr>
        <w:pStyle w:val="Nzev"/>
        <w:rPr>
          <w:rFonts w:asciiTheme="minorHAnsi" w:hAnsiTheme="minorHAnsi" w:cs="Arial"/>
          <w:b w:val="0"/>
          <w:bCs w:val="0"/>
          <w:i/>
          <w:sz w:val="20"/>
        </w:rPr>
      </w:pPr>
    </w:p>
    <w:p w:rsidR="00467105" w:rsidRPr="00467105" w:rsidRDefault="00467105" w:rsidP="00467105">
      <w:pPr>
        <w:jc w:val="center"/>
        <w:rPr>
          <w:rFonts w:asciiTheme="minorHAnsi" w:hAnsiTheme="minorHAnsi" w:cs="Arial"/>
          <w:i/>
        </w:rPr>
      </w:pPr>
      <w:r w:rsidRPr="00467105">
        <w:rPr>
          <w:rFonts w:asciiTheme="minorHAnsi" w:hAnsiTheme="minorHAnsi" w:cs="Arial"/>
          <w:i/>
        </w:rPr>
        <w:t>uzavřená ve smyslu § 159 a násl. zákona č. 500/2004 Sb., správní řád, ve znění pozdějších a § 10a odst. 5 zákona č. 250/2000 Sb., o rozpočtových pravidlech územních rozpočtů, ve znění pozdějších předpisů</w:t>
      </w:r>
      <w:r>
        <w:rPr>
          <w:rFonts w:asciiTheme="minorHAnsi" w:hAnsiTheme="minorHAnsi" w:cs="Arial"/>
          <w:i/>
        </w:rPr>
        <w:t>, mezi těmito smluvními stranami:</w:t>
      </w:r>
    </w:p>
    <w:p w:rsidR="00467105" w:rsidRPr="00C80882" w:rsidRDefault="00467105" w:rsidP="00467105">
      <w:pPr>
        <w:jc w:val="center"/>
        <w:rPr>
          <w:rFonts w:ascii="Arial" w:hAnsi="Arial" w:cs="Arial"/>
        </w:rPr>
      </w:pPr>
    </w:p>
    <w:p w:rsidR="00B64A33" w:rsidRPr="00E531E8" w:rsidRDefault="00B64A33" w:rsidP="00B64A33">
      <w:pPr>
        <w:rPr>
          <w:rFonts w:ascii="Calibri" w:hAnsi="Calibri"/>
          <w:szCs w:val="22"/>
        </w:rPr>
      </w:pPr>
    </w:p>
    <w:p w:rsidR="00B64A33" w:rsidRPr="00E531E8" w:rsidRDefault="00B64A33" w:rsidP="00B64A33">
      <w:pPr>
        <w:jc w:val="center"/>
        <w:rPr>
          <w:rFonts w:ascii="Calibri" w:hAnsi="Calibri"/>
        </w:rPr>
      </w:pPr>
    </w:p>
    <w:p w:rsidR="00836702" w:rsidRDefault="00961797" w:rsidP="00961797">
      <w:pPr>
        <w:rPr>
          <w:rFonts w:ascii="Calibri" w:hAnsi="Calibri"/>
          <w:b/>
          <w:bCs/>
        </w:rPr>
      </w:pPr>
      <w:r>
        <w:rPr>
          <w:rFonts w:ascii="Calibri" w:hAnsi="Calibri"/>
          <w:b/>
          <w:bCs/>
        </w:rPr>
        <w:t>Město Jindřichův Hradec</w:t>
      </w:r>
    </w:p>
    <w:p w:rsidR="00836702" w:rsidRDefault="00836702" w:rsidP="00836702">
      <w:pPr>
        <w:jc w:val="center"/>
        <w:rPr>
          <w:rFonts w:ascii="Calibri" w:hAnsi="Calibri"/>
        </w:rPr>
      </w:pPr>
    </w:p>
    <w:tbl>
      <w:tblPr>
        <w:tblW w:w="0" w:type="auto"/>
        <w:tblCellMar>
          <w:left w:w="70" w:type="dxa"/>
          <w:right w:w="70" w:type="dxa"/>
        </w:tblCellMar>
        <w:tblLook w:val="04A0" w:firstRow="1" w:lastRow="0" w:firstColumn="1" w:lastColumn="0" w:noHBand="0" w:noVBand="1"/>
      </w:tblPr>
      <w:tblGrid>
        <w:gridCol w:w="4606"/>
        <w:gridCol w:w="4606"/>
      </w:tblGrid>
      <w:tr w:rsidR="00836702" w:rsidTr="00CA17CB">
        <w:trPr>
          <w:trHeight w:val="416"/>
        </w:trPr>
        <w:tc>
          <w:tcPr>
            <w:tcW w:w="4606" w:type="dxa"/>
            <w:hideMark/>
          </w:tcPr>
          <w:p w:rsidR="00836702" w:rsidRDefault="00836702">
            <w:pPr>
              <w:rPr>
                <w:rFonts w:ascii="Calibri" w:hAnsi="Calibri"/>
              </w:rPr>
            </w:pPr>
            <w:r>
              <w:rPr>
                <w:rFonts w:ascii="Calibri" w:hAnsi="Calibri"/>
              </w:rPr>
              <w:t>se sídlem:</w:t>
            </w:r>
          </w:p>
        </w:tc>
        <w:tc>
          <w:tcPr>
            <w:tcW w:w="4606" w:type="dxa"/>
          </w:tcPr>
          <w:p w:rsidR="00836702" w:rsidRDefault="00961797" w:rsidP="005A06D1">
            <w:pPr>
              <w:rPr>
                <w:rFonts w:ascii="Calibri" w:hAnsi="Calibri"/>
              </w:rPr>
            </w:pPr>
            <w:r>
              <w:rPr>
                <w:rFonts w:ascii="Calibri" w:hAnsi="Calibri"/>
              </w:rPr>
              <w:t>Klášterská 135/II, 377 01 Jindřichův Hradec</w:t>
            </w:r>
          </w:p>
        </w:tc>
      </w:tr>
      <w:tr w:rsidR="007D580A" w:rsidTr="00CA17CB">
        <w:trPr>
          <w:trHeight w:val="239"/>
        </w:trPr>
        <w:tc>
          <w:tcPr>
            <w:tcW w:w="4606" w:type="dxa"/>
            <w:hideMark/>
          </w:tcPr>
          <w:p w:rsidR="007D580A" w:rsidRDefault="007D580A" w:rsidP="003653D1">
            <w:pPr>
              <w:rPr>
                <w:rFonts w:ascii="Calibri" w:hAnsi="Calibri"/>
              </w:rPr>
            </w:pPr>
            <w:r>
              <w:rPr>
                <w:rFonts w:ascii="Calibri" w:hAnsi="Calibri"/>
              </w:rPr>
              <w:t>zastoupený</w:t>
            </w:r>
            <w:r w:rsidRPr="001968D0">
              <w:rPr>
                <w:rFonts w:ascii="Calibri" w:hAnsi="Calibri"/>
              </w:rPr>
              <w:t>:</w:t>
            </w:r>
          </w:p>
        </w:tc>
        <w:tc>
          <w:tcPr>
            <w:tcW w:w="4606" w:type="dxa"/>
          </w:tcPr>
          <w:p w:rsidR="007D580A" w:rsidRDefault="00961797" w:rsidP="00F90531">
            <w:pPr>
              <w:rPr>
                <w:rFonts w:ascii="Calibri" w:hAnsi="Calibri"/>
              </w:rPr>
            </w:pPr>
            <w:r>
              <w:rPr>
                <w:rFonts w:ascii="Calibri" w:hAnsi="Calibri"/>
              </w:rPr>
              <w:t>Ing. Stanislavem Mrvkou, starostou města</w:t>
            </w:r>
          </w:p>
        </w:tc>
      </w:tr>
      <w:tr w:rsidR="00836702" w:rsidTr="00CA17CB">
        <w:trPr>
          <w:trHeight w:val="285"/>
        </w:trPr>
        <w:tc>
          <w:tcPr>
            <w:tcW w:w="4606" w:type="dxa"/>
            <w:hideMark/>
          </w:tcPr>
          <w:p w:rsidR="00836702" w:rsidRDefault="00836702">
            <w:pPr>
              <w:rPr>
                <w:rFonts w:ascii="Calibri" w:hAnsi="Calibri"/>
              </w:rPr>
            </w:pPr>
          </w:p>
        </w:tc>
        <w:tc>
          <w:tcPr>
            <w:tcW w:w="4606" w:type="dxa"/>
          </w:tcPr>
          <w:p w:rsidR="00836702" w:rsidRDefault="00836702" w:rsidP="00024627">
            <w:pPr>
              <w:rPr>
                <w:rFonts w:ascii="Calibri" w:hAnsi="Calibri"/>
              </w:rPr>
            </w:pPr>
          </w:p>
        </w:tc>
      </w:tr>
      <w:tr w:rsidR="00836702" w:rsidTr="00CA17CB">
        <w:trPr>
          <w:trHeight w:val="380"/>
        </w:trPr>
        <w:tc>
          <w:tcPr>
            <w:tcW w:w="4606" w:type="dxa"/>
            <w:hideMark/>
          </w:tcPr>
          <w:p w:rsidR="00836702" w:rsidRDefault="00836702">
            <w:pPr>
              <w:rPr>
                <w:rFonts w:ascii="Calibri" w:hAnsi="Calibri"/>
              </w:rPr>
            </w:pPr>
            <w:r>
              <w:rPr>
                <w:rFonts w:ascii="Calibri" w:hAnsi="Calibri"/>
              </w:rPr>
              <w:t>IČO:</w:t>
            </w:r>
          </w:p>
          <w:p w:rsidR="00836702" w:rsidRDefault="00836702">
            <w:pPr>
              <w:rPr>
                <w:rFonts w:ascii="Calibri" w:hAnsi="Calibri"/>
              </w:rPr>
            </w:pPr>
            <w:r>
              <w:rPr>
                <w:rFonts w:ascii="Calibri" w:hAnsi="Calibri"/>
              </w:rPr>
              <w:t>DIČ:</w:t>
            </w:r>
          </w:p>
        </w:tc>
        <w:tc>
          <w:tcPr>
            <w:tcW w:w="4606" w:type="dxa"/>
          </w:tcPr>
          <w:p w:rsidR="00836702" w:rsidRDefault="00961797">
            <w:pPr>
              <w:rPr>
                <w:rFonts w:ascii="Calibri" w:hAnsi="Calibri"/>
              </w:rPr>
            </w:pPr>
            <w:r>
              <w:rPr>
                <w:rFonts w:ascii="Calibri" w:hAnsi="Calibri"/>
              </w:rPr>
              <w:t>00246875</w:t>
            </w:r>
          </w:p>
          <w:p w:rsidR="005A06D1" w:rsidRDefault="00961797">
            <w:pPr>
              <w:rPr>
                <w:rFonts w:ascii="Calibri" w:hAnsi="Calibri"/>
              </w:rPr>
            </w:pPr>
            <w:r>
              <w:rPr>
                <w:rFonts w:ascii="Calibri" w:hAnsi="Calibri"/>
              </w:rPr>
              <w:t>CZ00246875</w:t>
            </w:r>
          </w:p>
          <w:p w:rsidR="005A06D1" w:rsidRDefault="005A06D1">
            <w:pPr>
              <w:rPr>
                <w:rFonts w:ascii="Calibri" w:hAnsi="Calibri"/>
              </w:rPr>
            </w:pPr>
          </w:p>
        </w:tc>
      </w:tr>
      <w:tr w:rsidR="00836702" w:rsidTr="00CA17CB">
        <w:trPr>
          <w:trHeight w:val="348"/>
        </w:trPr>
        <w:tc>
          <w:tcPr>
            <w:tcW w:w="4606" w:type="dxa"/>
            <w:hideMark/>
          </w:tcPr>
          <w:p w:rsidR="00836702" w:rsidRDefault="00836702">
            <w:pPr>
              <w:rPr>
                <w:rFonts w:ascii="Calibri" w:hAnsi="Calibri"/>
              </w:rPr>
            </w:pPr>
            <w:r>
              <w:rPr>
                <w:rFonts w:ascii="Calibri" w:hAnsi="Calibri"/>
              </w:rPr>
              <w:t>bankovní spojení:</w:t>
            </w:r>
          </w:p>
        </w:tc>
        <w:tc>
          <w:tcPr>
            <w:tcW w:w="4606" w:type="dxa"/>
          </w:tcPr>
          <w:p w:rsidR="00836702" w:rsidRDefault="00961797" w:rsidP="00DC3C56">
            <w:pPr>
              <w:rPr>
                <w:rFonts w:ascii="Calibri" w:hAnsi="Calibri"/>
              </w:rPr>
            </w:pPr>
            <w:r>
              <w:rPr>
                <w:rFonts w:ascii="Calibri" w:hAnsi="Calibri"/>
              </w:rPr>
              <w:t>Česká spořitelna a.s.</w:t>
            </w:r>
          </w:p>
        </w:tc>
      </w:tr>
      <w:tr w:rsidR="00836702" w:rsidTr="00CA17CB">
        <w:trPr>
          <w:trHeight w:val="358"/>
        </w:trPr>
        <w:tc>
          <w:tcPr>
            <w:tcW w:w="4606" w:type="dxa"/>
            <w:hideMark/>
          </w:tcPr>
          <w:p w:rsidR="00836702" w:rsidRDefault="00836702">
            <w:pPr>
              <w:rPr>
                <w:rFonts w:ascii="Calibri" w:hAnsi="Calibri"/>
              </w:rPr>
            </w:pPr>
            <w:r>
              <w:rPr>
                <w:rFonts w:ascii="Calibri" w:hAnsi="Calibri"/>
              </w:rPr>
              <w:t>č. účtu:</w:t>
            </w:r>
            <w:r>
              <w:rPr>
                <w:rFonts w:ascii="Calibri" w:hAnsi="Calibri"/>
              </w:rPr>
              <w:tab/>
            </w:r>
          </w:p>
        </w:tc>
        <w:tc>
          <w:tcPr>
            <w:tcW w:w="4606" w:type="dxa"/>
          </w:tcPr>
          <w:p w:rsidR="00E02C67" w:rsidRPr="00961797" w:rsidRDefault="00961797">
            <w:pPr>
              <w:rPr>
                <w:rFonts w:ascii="Calibri" w:hAnsi="Calibri"/>
              </w:rPr>
            </w:pPr>
            <w:r w:rsidRPr="00961797">
              <w:rPr>
                <w:rFonts w:ascii="Calibri" w:hAnsi="Calibri"/>
              </w:rPr>
              <w:t>27-0603140379/0800</w:t>
            </w:r>
          </w:p>
        </w:tc>
      </w:tr>
    </w:tbl>
    <w:p w:rsidR="00836702" w:rsidRDefault="00836702" w:rsidP="00836702">
      <w:pPr>
        <w:rPr>
          <w:rFonts w:ascii="Calibri" w:hAnsi="Calibri"/>
        </w:rPr>
      </w:pPr>
    </w:p>
    <w:p w:rsidR="00B64A33" w:rsidRPr="00E531E8" w:rsidRDefault="00836702" w:rsidP="00B64A33">
      <w:pPr>
        <w:rPr>
          <w:rFonts w:ascii="Calibri" w:hAnsi="Calibri"/>
          <w:i/>
        </w:rPr>
      </w:pPr>
      <w:r>
        <w:rPr>
          <w:rFonts w:ascii="Calibri" w:hAnsi="Calibri"/>
          <w:i/>
        </w:rPr>
        <w:t xml:space="preserve">(dále </w:t>
      </w:r>
      <w:r w:rsidR="001968D0">
        <w:rPr>
          <w:rFonts w:ascii="Calibri" w:hAnsi="Calibri"/>
          <w:i/>
        </w:rPr>
        <w:t>jen</w:t>
      </w:r>
      <w:r>
        <w:rPr>
          <w:rFonts w:ascii="Calibri" w:hAnsi="Calibri"/>
          <w:i/>
        </w:rPr>
        <w:t xml:space="preserve"> „poskytovatel“)</w:t>
      </w:r>
    </w:p>
    <w:p w:rsidR="00B64A33" w:rsidRPr="00E531E8" w:rsidRDefault="00B64A33" w:rsidP="00B64A33">
      <w:pPr>
        <w:jc w:val="center"/>
        <w:rPr>
          <w:rFonts w:ascii="Calibri" w:hAnsi="Calibri"/>
          <w:b/>
          <w:bCs/>
        </w:rPr>
      </w:pPr>
      <w:r w:rsidRPr="00E531E8">
        <w:rPr>
          <w:rFonts w:ascii="Calibri" w:hAnsi="Calibri"/>
          <w:b/>
          <w:bCs/>
        </w:rPr>
        <w:t>a</w:t>
      </w:r>
    </w:p>
    <w:p w:rsidR="00B64A33" w:rsidRPr="00E531E8" w:rsidRDefault="00B64A33" w:rsidP="00B64A33">
      <w:pPr>
        <w:jc w:val="center"/>
        <w:rPr>
          <w:rFonts w:ascii="Calibri" w:hAnsi="Calibri"/>
          <w:b/>
          <w:bCs/>
        </w:rPr>
      </w:pPr>
    </w:p>
    <w:p w:rsidR="00B64A33" w:rsidRPr="00B92BDA" w:rsidRDefault="00EE7095" w:rsidP="00961797">
      <w:pPr>
        <w:rPr>
          <w:rFonts w:ascii="Calibri" w:hAnsi="Calibri"/>
          <w:b/>
          <w:szCs w:val="22"/>
        </w:rPr>
      </w:pPr>
      <w:r>
        <w:rPr>
          <w:rFonts w:ascii="Calibri" w:hAnsi="Calibri"/>
          <w:b/>
          <w:bCs/>
        </w:rPr>
        <w:t>NLN, s.r.o</w:t>
      </w:r>
      <w:r w:rsidR="00AF4C0E">
        <w:rPr>
          <w:rFonts w:ascii="Calibri" w:hAnsi="Calibri"/>
          <w:b/>
          <w:bCs/>
        </w:rPr>
        <w:t>.</w:t>
      </w:r>
      <w:r w:rsidR="00F90531">
        <w:rPr>
          <w:rFonts w:ascii="Calibri" w:hAnsi="Calibri"/>
          <w:b/>
          <w:bCs/>
        </w:rPr>
        <w:t xml:space="preserve"> </w:t>
      </w:r>
      <w:r w:rsidR="00F90531" w:rsidRPr="00612C91">
        <w:rPr>
          <w:rFonts w:ascii="Calibri" w:hAnsi="Calibri"/>
          <w:bCs/>
        </w:rPr>
        <w:t>– Nakladatelství Lidové noviny</w:t>
      </w:r>
    </w:p>
    <w:p w:rsidR="00B64A33" w:rsidRPr="00FE35C2" w:rsidRDefault="00B64A33" w:rsidP="00FE35C2">
      <w:pPr>
        <w:ind w:left="2124"/>
        <w:jc w:val="center"/>
        <w:rPr>
          <w:rFonts w:ascii="Calibri" w:hAnsi="Calibri"/>
        </w:rPr>
      </w:pPr>
    </w:p>
    <w:tbl>
      <w:tblPr>
        <w:tblW w:w="0" w:type="auto"/>
        <w:tblCellMar>
          <w:left w:w="70" w:type="dxa"/>
          <w:right w:w="70" w:type="dxa"/>
        </w:tblCellMar>
        <w:tblLook w:val="0000" w:firstRow="0" w:lastRow="0" w:firstColumn="0" w:lastColumn="0" w:noHBand="0" w:noVBand="0"/>
      </w:tblPr>
      <w:tblGrid>
        <w:gridCol w:w="4606"/>
        <w:gridCol w:w="4606"/>
      </w:tblGrid>
      <w:tr w:rsidR="00B64A33" w:rsidRPr="002673F9" w:rsidTr="009467D0">
        <w:trPr>
          <w:trHeight w:val="401"/>
        </w:trPr>
        <w:tc>
          <w:tcPr>
            <w:tcW w:w="4606" w:type="dxa"/>
            <w:tcBorders>
              <w:top w:val="nil"/>
              <w:left w:val="nil"/>
              <w:bottom w:val="nil"/>
              <w:right w:val="nil"/>
            </w:tcBorders>
          </w:tcPr>
          <w:p w:rsidR="00B64A33" w:rsidRPr="002673F9" w:rsidRDefault="00B64A33" w:rsidP="009467D0">
            <w:pPr>
              <w:rPr>
                <w:rFonts w:ascii="Calibri" w:hAnsi="Calibri"/>
              </w:rPr>
            </w:pPr>
            <w:r w:rsidRPr="002673F9">
              <w:rPr>
                <w:rFonts w:ascii="Calibri" w:hAnsi="Calibri"/>
              </w:rPr>
              <w:t>se sídlem:</w:t>
            </w:r>
          </w:p>
        </w:tc>
        <w:tc>
          <w:tcPr>
            <w:tcW w:w="4606" w:type="dxa"/>
            <w:tcBorders>
              <w:top w:val="nil"/>
              <w:left w:val="nil"/>
              <w:bottom w:val="nil"/>
              <w:right w:val="nil"/>
            </w:tcBorders>
          </w:tcPr>
          <w:p w:rsidR="00B64A33" w:rsidRPr="002673F9" w:rsidRDefault="00EE7095" w:rsidP="00B30077">
            <w:pPr>
              <w:rPr>
                <w:rFonts w:ascii="Calibri" w:hAnsi="Calibri"/>
              </w:rPr>
            </w:pPr>
            <w:r>
              <w:rPr>
                <w:rFonts w:ascii="Calibri" w:hAnsi="Calibri"/>
              </w:rPr>
              <w:t xml:space="preserve">Dykova 15, </w:t>
            </w:r>
            <w:r w:rsidR="005A06D1">
              <w:rPr>
                <w:rFonts w:ascii="Calibri" w:hAnsi="Calibri"/>
              </w:rPr>
              <w:t xml:space="preserve">Praha 10, </w:t>
            </w:r>
            <w:r>
              <w:rPr>
                <w:rFonts w:ascii="Calibri" w:hAnsi="Calibri"/>
              </w:rPr>
              <w:t>101 00</w:t>
            </w:r>
            <w:r w:rsidR="00AA5F20" w:rsidRPr="002673F9">
              <w:rPr>
                <w:rFonts w:ascii="Calibri" w:hAnsi="Calibri"/>
              </w:rPr>
              <w:t xml:space="preserve"> </w:t>
            </w:r>
          </w:p>
        </w:tc>
      </w:tr>
      <w:tr w:rsidR="00B64A33" w:rsidRPr="002673F9" w:rsidTr="009467D0">
        <w:trPr>
          <w:trHeight w:val="370"/>
        </w:trPr>
        <w:tc>
          <w:tcPr>
            <w:tcW w:w="4606" w:type="dxa"/>
            <w:tcBorders>
              <w:top w:val="nil"/>
              <w:left w:val="nil"/>
              <w:bottom w:val="nil"/>
              <w:right w:val="nil"/>
            </w:tcBorders>
          </w:tcPr>
          <w:p w:rsidR="00B64A33" w:rsidRPr="002673F9" w:rsidRDefault="00B64A33" w:rsidP="009467D0">
            <w:pPr>
              <w:rPr>
                <w:rFonts w:ascii="Calibri" w:hAnsi="Calibri"/>
              </w:rPr>
            </w:pPr>
            <w:r w:rsidRPr="002673F9">
              <w:rPr>
                <w:rFonts w:ascii="Calibri" w:hAnsi="Calibri"/>
              </w:rPr>
              <w:t>jednající/zástupce:</w:t>
            </w:r>
          </w:p>
        </w:tc>
        <w:tc>
          <w:tcPr>
            <w:tcW w:w="4606" w:type="dxa"/>
            <w:tcBorders>
              <w:top w:val="nil"/>
              <w:left w:val="nil"/>
              <w:bottom w:val="nil"/>
              <w:right w:val="nil"/>
            </w:tcBorders>
          </w:tcPr>
          <w:p w:rsidR="00B64A33" w:rsidRPr="002673F9" w:rsidRDefault="00EE7095" w:rsidP="00AA5F20">
            <w:pPr>
              <w:rPr>
                <w:rFonts w:ascii="Calibri" w:hAnsi="Calibri"/>
              </w:rPr>
            </w:pPr>
            <w:r>
              <w:rPr>
                <w:rFonts w:ascii="Calibri" w:hAnsi="Calibri"/>
              </w:rPr>
              <w:t>RNDr. Eva Plešková, jednatelka</w:t>
            </w:r>
          </w:p>
        </w:tc>
      </w:tr>
      <w:tr w:rsidR="00B64A33" w:rsidRPr="002673F9" w:rsidTr="00C0335B">
        <w:trPr>
          <w:trHeight w:val="243"/>
        </w:trPr>
        <w:tc>
          <w:tcPr>
            <w:tcW w:w="4606" w:type="dxa"/>
            <w:tcBorders>
              <w:top w:val="nil"/>
              <w:left w:val="nil"/>
              <w:bottom w:val="nil"/>
              <w:right w:val="nil"/>
            </w:tcBorders>
          </w:tcPr>
          <w:p w:rsidR="00B64A33" w:rsidRPr="002673F9" w:rsidRDefault="00B64A33" w:rsidP="00FE35C2">
            <w:pPr>
              <w:rPr>
                <w:rFonts w:ascii="Calibri" w:hAnsi="Calibri"/>
              </w:rPr>
            </w:pPr>
            <w:r w:rsidRPr="002673F9">
              <w:rPr>
                <w:rFonts w:ascii="Calibri" w:hAnsi="Calibri"/>
              </w:rPr>
              <w:t>IČO:</w:t>
            </w:r>
            <w:r w:rsidR="00FE35C2">
              <w:rPr>
                <w:rFonts w:ascii="Calibri" w:hAnsi="Calibri"/>
              </w:rPr>
              <w:t xml:space="preserve"> </w:t>
            </w:r>
          </w:p>
        </w:tc>
        <w:tc>
          <w:tcPr>
            <w:tcW w:w="4606" w:type="dxa"/>
            <w:tcBorders>
              <w:top w:val="nil"/>
              <w:left w:val="nil"/>
              <w:bottom w:val="nil"/>
              <w:right w:val="nil"/>
            </w:tcBorders>
          </w:tcPr>
          <w:p w:rsidR="00B64A33" w:rsidRPr="002673F9" w:rsidRDefault="00EE7095" w:rsidP="00E02C67">
            <w:pPr>
              <w:rPr>
                <w:rFonts w:ascii="Calibri" w:hAnsi="Calibri"/>
              </w:rPr>
            </w:pPr>
            <w:r>
              <w:rPr>
                <w:rFonts w:ascii="Calibri" w:hAnsi="Calibri"/>
              </w:rPr>
              <w:t>48534391</w:t>
            </w:r>
          </w:p>
        </w:tc>
      </w:tr>
      <w:tr w:rsidR="00B64A33" w:rsidRPr="002673F9" w:rsidTr="009467D0">
        <w:trPr>
          <w:trHeight w:val="352"/>
        </w:trPr>
        <w:tc>
          <w:tcPr>
            <w:tcW w:w="4606" w:type="dxa"/>
            <w:tcBorders>
              <w:top w:val="nil"/>
              <w:left w:val="nil"/>
              <w:bottom w:val="nil"/>
              <w:right w:val="nil"/>
            </w:tcBorders>
          </w:tcPr>
          <w:p w:rsidR="00B64A33" w:rsidRPr="002673F9" w:rsidRDefault="00A635D3" w:rsidP="00FE35C2">
            <w:pPr>
              <w:rPr>
                <w:rFonts w:ascii="Calibri" w:hAnsi="Calibri"/>
              </w:rPr>
            </w:pPr>
            <w:r w:rsidRPr="002673F9">
              <w:rPr>
                <w:rFonts w:ascii="Calibri" w:hAnsi="Calibri"/>
              </w:rPr>
              <w:t>DIČ:</w:t>
            </w:r>
            <w:r w:rsidR="00FE35C2">
              <w:rPr>
                <w:rFonts w:ascii="Calibri" w:hAnsi="Calibri"/>
              </w:rPr>
              <w:t xml:space="preserve"> </w:t>
            </w:r>
          </w:p>
        </w:tc>
        <w:tc>
          <w:tcPr>
            <w:tcW w:w="4606" w:type="dxa"/>
            <w:tcBorders>
              <w:top w:val="nil"/>
              <w:left w:val="nil"/>
              <w:bottom w:val="nil"/>
              <w:right w:val="nil"/>
            </w:tcBorders>
          </w:tcPr>
          <w:p w:rsidR="00B64A33" w:rsidRPr="002673F9" w:rsidRDefault="00F715A4" w:rsidP="006C4FA0">
            <w:pPr>
              <w:rPr>
                <w:rFonts w:ascii="Calibri" w:hAnsi="Calibri"/>
              </w:rPr>
            </w:pPr>
            <w:r>
              <w:rPr>
                <w:rFonts w:ascii="Calibri" w:hAnsi="Calibri"/>
              </w:rPr>
              <w:t>CZ48534391</w:t>
            </w:r>
            <w:r w:rsidR="00003F49">
              <w:rPr>
                <w:rFonts w:ascii="Calibri" w:hAnsi="Calibri"/>
              </w:rPr>
              <w:t xml:space="preserve"> </w:t>
            </w:r>
          </w:p>
        </w:tc>
      </w:tr>
      <w:tr w:rsidR="00B64A33" w:rsidRPr="002673F9" w:rsidTr="009467D0">
        <w:trPr>
          <w:trHeight w:val="348"/>
        </w:trPr>
        <w:tc>
          <w:tcPr>
            <w:tcW w:w="4606" w:type="dxa"/>
            <w:tcBorders>
              <w:top w:val="nil"/>
              <w:left w:val="nil"/>
              <w:bottom w:val="nil"/>
              <w:right w:val="nil"/>
            </w:tcBorders>
          </w:tcPr>
          <w:p w:rsidR="00B64A33" w:rsidRPr="002673F9" w:rsidRDefault="00B64A33" w:rsidP="00FE35C2">
            <w:pPr>
              <w:rPr>
                <w:rFonts w:ascii="Calibri" w:hAnsi="Calibri"/>
              </w:rPr>
            </w:pPr>
            <w:r w:rsidRPr="002673F9">
              <w:rPr>
                <w:rFonts w:ascii="Calibri" w:hAnsi="Calibri"/>
              </w:rPr>
              <w:t>bankovní spojení:</w:t>
            </w:r>
            <w:r w:rsidR="00FE35C2">
              <w:rPr>
                <w:rFonts w:ascii="Calibri" w:hAnsi="Calibri"/>
              </w:rPr>
              <w:t xml:space="preserve"> </w:t>
            </w:r>
          </w:p>
        </w:tc>
        <w:tc>
          <w:tcPr>
            <w:tcW w:w="4606" w:type="dxa"/>
            <w:tcBorders>
              <w:top w:val="nil"/>
              <w:left w:val="nil"/>
              <w:bottom w:val="nil"/>
              <w:right w:val="nil"/>
            </w:tcBorders>
          </w:tcPr>
          <w:p w:rsidR="00B64A33" w:rsidRPr="00B92BDA" w:rsidRDefault="00B42148" w:rsidP="00E02C67">
            <w:pPr>
              <w:spacing w:before="100" w:beforeAutospacing="1" w:after="100" w:afterAutospacing="1"/>
              <w:rPr>
                <w:rFonts w:ascii="Calibri" w:hAnsi="Calibri"/>
              </w:rPr>
            </w:pPr>
            <w:r>
              <w:rPr>
                <w:rFonts w:ascii="Calibri" w:hAnsi="Calibri"/>
              </w:rPr>
              <w:t>xxx</w:t>
            </w:r>
            <w:bookmarkStart w:id="0" w:name="_GoBack"/>
            <w:bookmarkEnd w:id="0"/>
          </w:p>
        </w:tc>
      </w:tr>
      <w:tr w:rsidR="00B64A33" w:rsidRPr="00E531E8" w:rsidTr="009467D0">
        <w:trPr>
          <w:trHeight w:val="372"/>
        </w:trPr>
        <w:tc>
          <w:tcPr>
            <w:tcW w:w="4606" w:type="dxa"/>
            <w:tcBorders>
              <w:top w:val="nil"/>
              <w:left w:val="nil"/>
              <w:bottom w:val="nil"/>
              <w:right w:val="nil"/>
            </w:tcBorders>
          </w:tcPr>
          <w:p w:rsidR="00B64A33" w:rsidRPr="002673F9" w:rsidRDefault="00B64A33" w:rsidP="00FE35C2">
            <w:pPr>
              <w:rPr>
                <w:rFonts w:ascii="Calibri" w:hAnsi="Calibri"/>
              </w:rPr>
            </w:pPr>
            <w:r w:rsidRPr="002673F9">
              <w:rPr>
                <w:rFonts w:ascii="Calibri" w:hAnsi="Calibri"/>
              </w:rPr>
              <w:t>č. účtu:</w:t>
            </w:r>
            <w:r w:rsidRPr="002673F9">
              <w:rPr>
                <w:rFonts w:ascii="Calibri" w:hAnsi="Calibri"/>
              </w:rPr>
              <w:tab/>
            </w:r>
          </w:p>
        </w:tc>
        <w:tc>
          <w:tcPr>
            <w:tcW w:w="4606" w:type="dxa"/>
            <w:tcBorders>
              <w:top w:val="nil"/>
              <w:left w:val="nil"/>
              <w:bottom w:val="nil"/>
              <w:right w:val="nil"/>
            </w:tcBorders>
          </w:tcPr>
          <w:p w:rsidR="00B64A33" w:rsidRPr="00E531E8" w:rsidRDefault="00B42148" w:rsidP="00E02C67">
            <w:pPr>
              <w:spacing w:before="100" w:beforeAutospacing="1" w:after="100" w:afterAutospacing="1"/>
              <w:rPr>
                <w:rFonts w:ascii="Calibri" w:hAnsi="Calibri"/>
              </w:rPr>
            </w:pPr>
            <w:r>
              <w:rPr>
                <w:rFonts w:ascii="Calibri" w:hAnsi="Calibri"/>
              </w:rPr>
              <w:t>xxx</w:t>
            </w:r>
          </w:p>
        </w:tc>
      </w:tr>
    </w:tbl>
    <w:p w:rsidR="00B64A33" w:rsidRPr="00E531E8" w:rsidRDefault="00B64A33" w:rsidP="00B64A33">
      <w:pPr>
        <w:rPr>
          <w:rFonts w:ascii="Calibri" w:hAnsi="Calibri"/>
        </w:rPr>
      </w:pPr>
    </w:p>
    <w:p w:rsidR="00B64A33" w:rsidRPr="00E531E8" w:rsidRDefault="00B64A33" w:rsidP="00B64A33">
      <w:pPr>
        <w:rPr>
          <w:rFonts w:ascii="Calibri" w:hAnsi="Calibri"/>
          <w:i/>
        </w:rPr>
      </w:pPr>
      <w:r w:rsidRPr="00E531E8">
        <w:rPr>
          <w:rFonts w:ascii="Calibri" w:hAnsi="Calibri"/>
          <w:i/>
        </w:rPr>
        <w:t xml:space="preserve">(dále </w:t>
      </w:r>
      <w:r>
        <w:rPr>
          <w:rFonts w:ascii="Calibri" w:hAnsi="Calibri"/>
          <w:i/>
        </w:rPr>
        <w:t>jen</w:t>
      </w:r>
      <w:r w:rsidRPr="00E531E8">
        <w:rPr>
          <w:rFonts w:ascii="Calibri" w:hAnsi="Calibri"/>
          <w:i/>
        </w:rPr>
        <w:t xml:space="preserve"> „</w:t>
      </w:r>
      <w:r>
        <w:rPr>
          <w:rFonts w:ascii="Calibri" w:hAnsi="Calibri"/>
          <w:i/>
        </w:rPr>
        <w:t>p</w:t>
      </w:r>
      <w:r w:rsidRPr="00E531E8">
        <w:rPr>
          <w:rFonts w:ascii="Calibri" w:hAnsi="Calibri"/>
          <w:i/>
        </w:rPr>
        <w:t>říjemce“)</w:t>
      </w:r>
    </w:p>
    <w:p w:rsidR="00B64A33" w:rsidRPr="00E531E8" w:rsidRDefault="00B64A33" w:rsidP="00B64A33">
      <w:pPr>
        <w:rPr>
          <w:rFonts w:ascii="Calibri" w:hAnsi="Calibri"/>
        </w:rPr>
      </w:pPr>
    </w:p>
    <w:p w:rsidR="00B64A33" w:rsidRPr="00E531E8" w:rsidRDefault="00B64A33" w:rsidP="00B64A33">
      <w:pPr>
        <w:jc w:val="center"/>
        <w:rPr>
          <w:rFonts w:ascii="Calibri" w:hAnsi="Calibri"/>
          <w:szCs w:val="22"/>
        </w:rPr>
      </w:pPr>
    </w:p>
    <w:p w:rsidR="00B64A33" w:rsidRPr="00E531E8" w:rsidRDefault="00B64A33" w:rsidP="00B64A33">
      <w:pPr>
        <w:jc w:val="center"/>
        <w:rPr>
          <w:rFonts w:ascii="Calibri" w:hAnsi="Calibri"/>
          <w:b/>
          <w:szCs w:val="22"/>
        </w:rPr>
      </w:pPr>
      <w:r w:rsidRPr="00E531E8">
        <w:rPr>
          <w:rFonts w:ascii="Calibri" w:hAnsi="Calibri"/>
          <w:b/>
          <w:szCs w:val="22"/>
        </w:rPr>
        <w:t>I.</w:t>
      </w:r>
    </w:p>
    <w:p w:rsidR="00B64A33" w:rsidRPr="00E531E8" w:rsidRDefault="00B64A33" w:rsidP="00B64A33">
      <w:pPr>
        <w:tabs>
          <w:tab w:val="left" w:pos="2780"/>
          <w:tab w:val="center" w:pos="4876"/>
        </w:tabs>
        <w:spacing w:after="120"/>
        <w:rPr>
          <w:rFonts w:ascii="Calibri" w:hAnsi="Calibri"/>
          <w:b/>
          <w:szCs w:val="22"/>
        </w:rPr>
      </w:pPr>
      <w:r w:rsidRPr="00E531E8">
        <w:rPr>
          <w:rFonts w:ascii="Calibri" w:hAnsi="Calibri"/>
          <w:b/>
          <w:szCs w:val="22"/>
        </w:rPr>
        <w:tab/>
      </w:r>
      <w:r w:rsidRPr="00E531E8">
        <w:rPr>
          <w:rFonts w:ascii="Calibri" w:hAnsi="Calibri"/>
          <w:b/>
          <w:szCs w:val="22"/>
        </w:rPr>
        <w:tab/>
        <w:t>Předmět smlouvy a účel dotace</w:t>
      </w:r>
    </w:p>
    <w:p w:rsidR="00F210E5" w:rsidRPr="008B3A9A" w:rsidRDefault="00B64A33" w:rsidP="008B3A9A">
      <w:pPr>
        <w:numPr>
          <w:ilvl w:val="0"/>
          <w:numId w:val="2"/>
        </w:numPr>
        <w:spacing w:after="120"/>
        <w:ind w:left="357" w:hanging="357"/>
        <w:jc w:val="both"/>
        <w:rPr>
          <w:rFonts w:ascii="Calibri" w:hAnsi="Calibri"/>
          <w:szCs w:val="22"/>
        </w:rPr>
      </w:pPr>
      <w:r w:rsidRPr="00F210E5">
        <w:rPr>
          <w:rFonts w:ascii="Calibri" w:hAnsi="Calibri"/>
          <w:szCs w:val="22"/>
        </w:rPr>
        <w:t xml:space="preserve">Předmětem této smlouvy je poskytnutí účelové </w:t>
      </w:r>
      <w:r w:rsidR="00DF3F7F" w:rsidRPr="00F210E5">
        <w:rPr>
          <w:rFonts w:ascii="Calibri" w:hAnsi="Calibri"/>
          <w:szCs w:val="22"/>
        </w:rPr>
        <w:t>ne</w:t>
      </w:r>
      <w:r w:rsidR="00EC7485" w:rsidRPr="00F210E5">
        <w:rPr>
          <w:rFonts w:ascii="Calibri" w:hAnsi="Calibri"/>
          <w:szCs w:val="22"/>
        </w:rPr>
        <w:t>invest</w:t>
      </w:r>
      <w:r w:rsidRPr="00F210E5">
        <w:rPr>
          <w:rFonts w:ascii="Calibri" w:hAnsi="Calibri"/>
          <w:szCs w:val="22"/>
        </w:rPr>
        <w:t xml:space="preserve">iční finanční podpory z rozpočtu poskytovatele ve formě dotace (dále jen „dotace“) na </w:t>
      </w:r>
      <w:r w:rsidR="00220F97">
        <w:rPr>
          <w:rFonts w:ascii="Calibri" w:hAnsi="Calibri"/>
          <w:b/>
          <w:szCs w:val="22"/>
        </w:rPr>
        <w:t xml:space="preserve">podporu vydání publikace Dějiny Jindřichova Hradce – historická monografie </w:t>
      </w:r>
      <w:r w:rsidRPr="00F210E5">
        <w:rPr>
          <w:rFonts w:ascii="Calibri" w:hAnsi="Calibri"/>
          <w:szCs w:val="22"/>
        </w:rPr>
        <w:t>(dále jen „projekt“)</w:t>
      </w:r>
      <w:r w:rsidR="00206EF6" w:rsidRPr="00F210E5">
        <w:rPr>
          <w:rFonts w:ascii="Calibri" w:hAnsi="Calibri"/>
          <w:szCs w:val="22"/>
        </w:rPr>
        <w:t xml:space="preserve"> dle žádosti příjemce.</w:t>
      </w:r>
      <w:r w:rsidR="006C4C35" w:rsidRPr="00F210E5">
        <w:rPr>
          <w:rFonts w:ascii="Calibri" w:hAnsi="Calibri"/>
          <w:szCs w:val="22"/>
        </w:rPr>
        <w:t xml:space="preserve"> Jedná se o vydání obsáhlé populárně-naučné publikace s obrazov</w:t>
      </w:r>
      <w:r w:rsidR="0054174A" w:rsidRPr="00F210E5">
        <w:rPr>
          <w:rFonts w:ascii="Calibri" w:hAnsi="Calibri"/>
          <w:szCs w:val="22"/>
        </w:rPr>
        <w:t xml:space="preserve">ým doprovodem shrnující </w:t>
      </w:r>
      <w:r w:rsidR="006C4C35" w:rsidRPr="00F210E5">
        <w:rPr>
          <w:rFonts w:ascii="Calibri" w:hAnsi="Calibri"/>
          <w:szCs w:val="22"/>
        </w:rPr>
        <w:t>poznatky</w:t>
      </w:r>
      <w:r w:rsidR="00F210E5">
        <w:rPr>
          <w:rFonts w:ascii="Calibri" w:hAnsi="Calibri"/>
          <w:szCs w:val="22"/>
        </w:rPr>
        <w:t xml:space="preserve"> </w:t>
      </w:r>
      <w:r w:rsidR="006C4C35" w:rsidRPr="00F210E5">
        <w:rPr>
          <w:rFonts w:ascii="Calibri" w:hAnsi="Calibri"/>
          <w:szCs w:val="22"/>
        </w:rPr>
        <w:t xml:space="preserve">o dějinách </w:t>
      </w:r>
      <w:r w:rsidR="00CA17CB" w:rsidRPr="00F210E5">
        <w:rPr>
          <w:rFonts w:ascii="Calibri" w:hAnsi="Calibri"/>
          <w:szCs w:val="22"/>
        </w:rPr>
        <w:t>města.</w:t>
      </w:r>
    </w:p>
    <w:p w:rsidR="00B64A33" w:rsidRPr="00E531E8" w:rsidRDefault="00B64A33" w:rsidP="00B64A33">
      <w:pPr>
        <w:numPr>
          <w:ilvl w:val="0"/>
          <w:numId w:val="2"/>
        </w:numPr>
        <w:spacing w:after="120"/>
        <w:ind w:left="357" w:hanging="357"/>
        <w:jc w:val="both"/>
        <w:rPr>
          <w:rFonts w:ascii="Calibri" w:hAnsi="Calibri"/>
          <w:szCs w:val="22"/>
        </w:rPr>
      </w:pPr>
      <w:r w:rsidRPr="00E531E8">
        <w:rPr>
          <w:rFonts w:ascii="Calibri" w:hAnsi="Calibri"/>
          <w:szCs w:val="22"/>
        </w:rPr>
        <w:t>Příjemce dotaci přijímá a zavazuje se, že bude projekt realizovat na svou vlastní zodpovědnost, v souladu s právními předpis</w:t>
      </w:r>
      <w:r>
        <w:rPr>
          <w:rFonts w:ascii="Calibri" w:hAnsi="Calibri"/>
          <w:szCs w:val="22"/>
        </w:rPr>
        <w:t>y a</w:t>
      </w:r>
      <w:r w:rsidRPr="00E531E8">
        <w:rPr>
          <w:rFonts w:ascii="Calibri" w:hAnsi="Calibri"/>
          <w:szCs w:val="22"/>
        </w:rPr>
        <w:t xml:space="preserve"> s podmínkami této smlouvy</w:t>
      </w:r>
      <w:r>
        <w:rPr>
          <w:rFonts w:ascii="Calibri" w:hAnsi="Calibri"/>
          <w:szCs w:val="22"/>
        </w:rPr>
        <w:t>.</w:t>
      </w:r>
      <w:r w:rsidRPr="00E531E8">
        <w:rPr>
          <w:rFonts w:ascii="Calibri" w:hAnsi="Calibri"/>
          <w:szCs w:val="22"/>
        </w:rPr>
        <w:t xml:space="preserve"> </w:t>
      </w:r>
    </w:p>
    <w:p w:rsidR="00B64A33" w:rsidRPr="00E531E8" w:rsidRDefault="00F210E5" w:rsidP="00B64A33">
      <w:pPr>
        <w:numPr>
          <w:ilvl w:val="0"/>
          <w:numId w:val="2"/>
        </w:numPr>
        <w:spacing w:after="120"/>
        <w:ind w:left="357" w:hanging="357"/>
        <w:jc w:val="both"/>
        <w:rPr>
          <w:rFonts w:ascii="Calibri" w:hAnsi="Calibri"/>
          <w:szCs w:val="22"/>
        </w:rPr>
      </w:pPr>
      <w:r>
        <w:rPr>
          <w:rFonts w:ascii="Calibri" w:hAnsi="Calibri"/>
          <w:szCs w:val="22"/>
        </w:rPr>
        <w:t xml:space="preserve">Poskytnutí dotace je v souladu se </w:t>
      </w:r>
      <w:r w:rsidR="00B64A33" w:rsidRPr="00E531E8">
        <w:rPr>
          <w:rFonts w:ascii="Calibri" w:hAnsi="Calibri"/>
          <w:szCs w:val="22"/>
        </w:rPr>
        <w:t>zákonem č. 250/2000 Sb., o rozpočtových pravidlech územních rozpočtů, ve znění pozdějších předpisů</w:t>
      </w:r>
      <w:r w:rsidR="00B64A33">
        <w:rPr>
          <w:rFonts w:ascii="Calibri" w:hAnsi="Calibri"/>
          <w:szCs w:val="22"/>
        </w:rPr>
        <w:t xml:space="preserve"> (dále jen „zákon č. 250/2000 Sb.“)</w:t>
      </w:r>
      <w:r w:rsidR="00B64A33" w:rsidRPr="00E531E8">
        <w:rPr>
          <w:rFonts w:ascii="Calibri" w:hAnsi="Calibri"/>
          <w:szCs w:val="22"/>
        </w:rPr>
        <w:t>.</w:t>
      </w:r>
    </w:p>
    <w:p w:rsidR="00B64A33" w:rsidRPr="00E531E8" w:rsidRDefault="00B64A33" w:rsidP="00B64A33">
      <w:pPr>
        <w:numPr>
          <w:ilvl w:val="0"/>
          <w:numId w:val="2"/>
        </w:numPr>
        <w:spacing w:after="120"/>
        <w:ind w:left="357" w:hanging="357"/>
        <w:jc w:val="both"/>
        <w:rPr>
          <w:rFonts w:ascii="Calibri" w:hAnsi="Calibri"/>
          <w:szCs w:val="22"/>
        </w:rPr>
      </w:pPr>
      <w:r w:rsidRPr="00E531E8">
        <w:rPr>
          <w:rFonts w:ascii="Calibri" w:hAnsi="Calibri"/>
          <w:szCs w:val="22"/>
        </w:rPr>
        <w:t>Dotace je ve smyslu zákona č. 320/2001 Sb., o finanční kontrole ve veřejné správě a o změně některých zákonů (zákon o finanční kontrole), ve znění pozdějších předpisů</w:t>
      </w:r>
      <w:r>
        <w:rPr>
          <w:rFonts w:ascii="Calibri" w:hAnsi="Calibri"/>
          <w:szCs w:val="22"/>
        </w:rPr>
        <w:t xml:space="preserve"> (dále jen „zákon o finanční kontrole“)</w:t>
      </w:r>
      <w:r w:rsidRPr="00E531E8">
        <w:rPr>
          <w:rFonts w:ascii="Calibri" w:hAnsi="Calibri"/>
          <w:szCs w:val="22"/>
        </w:rPr>
        <w:t>, veřejnou finanční podporou a vztahují se na ni všechna ustanovení tohoto zákona.</w:t>
      </w:r>
    </w:p>
    <w:p w:rsidR="00B64A33" w:rsidRDefault="00B64A33" w:rsidP="00B64A33">
      <w:pPr>
        <w:numPr>
          <w:ilvl w:val="0"/>
          <w:numId w:val="2"/>
        </w:numPr>
        <w:spacing w:after="120"/>
        <w:ind w:left="357" w:hanging="357"/>
        <w:jc w:val="both"/>
        <w:rPr>
          <w:rFonts w:ascii="Calibri" w:hAnsi="Calibri"/>
          <w:szCs w:val="22"/>
        </w:rPr>
      </w:pPr>
      <w:r w:rsidRPr="0030544A">
        <w:rPr>
          <w:rFonts w:ascii="Calibri" w:hAnsi="Calibri"/>
          <w:szCs w:val="22"/>
        </w:rPr>
        <w:t>Dotace je slučitelná s podporou poskytnutou z rozpočtu jiných územních samosprávných celků, státního rozpočtu nebo strukturálních fondů Evropské unie, pokud to pravidla pro poskytnutí těchto podpor nevylučují.</w:t>
      </w:r>
    </w:p>
    <w:p w:rsidR="00596F1F" w:rsidRPr="00DD6DE3" w:rsidRDefault="00596F1F" w:rsidP="00596F1F">
      <w:pPr>
        <w:numPr>
          <w:ilvl w:val="0"/>
          <w:numId w:val="2"/>
        </w:numPr>
        <w:spacing w:after="120"/>
        <w:ind w:left="357" w:hanging="357"/>
        <w:jc w:val="both"/>
        <w:rPr>
          <w:rFonts w:ascii="Calibri" w:hAnsi="Calibri"/>
          <w:szCs w:val="22"/>
        </w:rPr>
      </w:pPr>
      <w:r w:rsidRPr="00DD6DE3">
        <w:rPr>
          <w:rFonts w:ascii="Calibri" w:hAnsi="Calibri"/>
          <w:b/>
          <w:szCs w:val="22"/>
        </w:rPr>
        <w:t xml:space="preserve">Poskytovatel prohlašuje, </w:t>
      </w:r>
      <w:r w:rsidRPr="00DD6DE3">
        <w:rPr>
          <w:rFonts w:ascii="Calibri" w:hAnsi="Calibri"/>
          <w:szCs w:val="22"/>
        </w:rPr>
        <w:t>že poskytnutí dotace podle t</w:t>
      </w:r>
      <w:r>
        <w:rPr>
          <w:rFonts w:ascii="Calibri" w:hAnsi="Calibri"/>
          <w:szCs w:val="22"/>
        </w:rPr>
        <w:t>éto smlouvy</w:t>
      </w:r>
      <w:r w:rsidRPr="00DD6DE3">
        <w:rPr>
          <w:rFonts w:ascii="Calibri" w:hAnsi="Calibri"/>
          <w:szCs w:val="22"/>
        </w:rPr>
        <w:t xml:space="preserve"> je poskytnutím podpory de minimis ve smyslu nařízení Komise (ES) č. 1407/2013 ze dne 18. prosince 2013, o použití článků 107 a 108 Smlouvy o fungování </w:t>
      </w:r>
      <w:r w:rsidRPr="00DD6DE3">
        <w:rPr>
          <w:rFonts w:ascii="Calibri" w:hAnsi="Calibri"/>
          <w:szCs w:val="22"/>
        </w:rPr>
        <w:lastRenderedPageBreak/>
        <w:t>Evropské unie na podporu de minimis (publikováno v Úředním věstníku EU, dne 24. 12. 2013, v částce L 352), dále jen „nařízení Komise“. Za den poskytnutí podpory de minimis podle této smlouvy se považuje den, kdy tato smlouva nabude účinnosti.</w:t>
      </w:r>
    </w:p>
    <w:p w:rsidR="00596F1F" w:rsidRPr="00E531E8" w:rsidRDefault="00596F1F" w:rsidP="00596F1F">
      <w:pPr>
        <w:numPr>
          <w:ilvl w:val="0"/>
          <w:numId w:val="2"/>
        </w:numPr>
        <w:spacing w:after="120"/>
        <w:ind w:left="357" w:hanging="357"/>
        <w:jc w:val="both"/>
        <w:rPr>
          <w:rFonts w:ascii="Calibri" w:hAnsi="Calibri"/>
          <w:szCs w:val="22"/>
        </w:rPr>
      </w:pPr>
      <w:r w:rsidRPr="003637D9">
        <w:rPr>
          <w:rFonts w:ascii="Calibri" w:hAnsi="Calibri"/>
          <w:b/>
          <w:szCs w:val="22"/>
        </w:rPr>
        <w:t>Příjemce prohlašuje</w:t>
      </w:r>
      <w:r w:rsidRPr="00E531E8">
        <w:rPr>
          <w:rFonts w:ascii="Calibri" w:hAnsi="Calibri"/>
          <w:szCs w:val="22"/>
        </w:rPr>
        <w:t xml:space="preserve">, že nenastaly okolnosti, které by vylučovaly aplikaci pravidla de minimis </w:t>
      </w:r>
      <w:r>
        <w:rPr>
          <w:rFonts w:ascii="Calibri" w:hAnsi="Calibri"/>
          <w:szCs w:val="22"/>
        </w:rPr>
        <w:t>-</w:t>
      </w:r>
      <w:r w:rsidRPr="00E531E8">
        <w:rPr>
          <w:rFonts w:ascii="Calibri" w:hAnsi="Calibri"/>
          <w:szCs w:val="22"/>
        </w:rPr>
        <w:t xml:space="preserve"> </w:t>
      </w:r>
      <w:r>
        <w:rPr>
          <w:rFonts w:ascii="Calibri" w:hAnsi="Calibri"/>
          <w:szCs w:val="22"/>
        </w:rPr>
        <w:t>především</w:t>
      </w:r>
      <w:r w:rsidRPr="00E531E8">
        <w:rPr>
          <w:rFonts w:ascii="Calibri" w:hAnsi="Calibri"/>
          <w:szCs w:val="22"/>
        </w:rPr>
        <w:t>, že poskytnutím této dotace nedojde k takové kumulaci s</w:t>
      </w:r>
      <w:r>
        <w:rPr>
          <w:rFonts w:ascii="Calibri" w:hAnsi="Calibri"/>
          <w:szCs w:val="22"/>
        </w:rPr>
        <w:t> </w:t>
      </w:r>
      <w:r w:rsidRPr="00E531E8">
        <w:rPr>
          <w:rFonts w:ascii="Calibri" w:hAnsi="Calibri"/>
          <w:szCs w:val="22"/>
        </w:rPr>
        <w:t>jinou veřejnou podporu ohledně týchž</w:t>
      </w:r>
      <w:r>
        <w:rPr>
          <w:rFonts w:ascii="Calibri" w:hAnsi="Calibri"/>
          <w:szCs w:val="22"/>
        </w:rPr>
        <w:t xml:space="preserve"> výdajů</w:t>
      </w:r>
      <w:r w:rsidRPr="00E531E8">
        <w:rPr>
          <w:rFonts w:ascii="Calibri" w:hAnsi="Calibri"/>
          <w:szCs w:val="22"/>
        </w:rPr>
        <w:t>, která by způsobila překročení povolené míry veřejné podpory, a že v</w:t>
      </w:r>
      <w:r>
        <w:rPr>
          <w:rFonts w:ascii="Calibri" w:hAnsi="Calibri"/>
          <w:szCs w:val="22"/>
        </w:rPr>
        <w:t> </w:t>
      </w:r>
      <w:r w:rsidRPr="00E531E8">
        <w:rPr>
          <w:rFonts w:ascii="Calibri" w:hAnsi="Calibri"/>
          <w:szCs w:val="22"/>
        </w:rPr>
        <w:t>posledních 3 letech mu nebyla poskytnuta podpora de minimis, která by v součtu s podporou de minimis poskytovanou na základě této smlouvy překročila maximální částku povolenou právními předpisy ES upravujícími oblast veřejné podpory (zejména nařízením Komise).</w:t>
      </w:r>
    </w:p>
    <w:p w:rsidR="00596F1F" w:rsidRDefault="00596F1F" w:rsidP="00596F1F">
      <w:pPr>
        <w:numPr>
          <w:ilvl w:val="0"/>
          <w:numId w:val="2"/>
        </w:numPr>
        <w:spacing w:after="120"/>
        <w:ind w:left="357" w:hanging="357"/>
        <w:jc w:val="both"/>
        <w:rPr>
          <w:rFonts w:ascii="Calibri" w:hAnsi="Calibri"/>
          <w:szCs w:val="22"/>
        </w:rPr>
      </w:pPr>
      <w:r w:rsidRPr="00E531E8">
        <w:rPr>
          <w:rFonts w:ascii="Calibri" w:hAnsi="Calibri"/>
          <w:szCs w:val="22"/>
        </w:rPr>
        <w:t xml:space="preserve">Jestliže se prohlášení </w:t>
      </w:r>
      <w:r>
        <w:rPr>
          <w:rFonts w:ascii="Calibri" w:hAnsi="Calibri"/>
          <w:szCs w:val="22"/>
        </w:rPr>
        <w:t>p</w:t>
      </w:r>
      <w:r w:rsidRPr="00E531E8">
        <w:rPr>
          <w:rFonts w:ascii="Calibri" w:hAnsi="Calibri"/>
          <w:szCs w:val="22"/>
        </w:rPr>
        <w:t xml:space="preserve">říjemce </w:t>
      </w:r>
      <w:r>
        <w:rPr>
          <w:rFonts w:ascii="Calibri" w:hAnsi="Calibri"/>
          <w:szCs w:val="22"/>
        </w:rPr>
        <w:t>po</w:t>
      </w:r>
      <w:r w:rsidRPr="00E531E8">
        <w:rPr>
          <w:rFonts w:ascii="Calibri" w:hAnsi="Calibri"/>
          <w:szCs w:val="22"/>
        </w:rPr>
        <w:t xml:space="preserve">dle </w:t>
      </w:r>
      <w:r>
        <w:rPr>
          <w:rFonts w:ascii="Calibri" w:hAnsi="Calibri"/>
          <w:szCs w:val="22"/>
        </w:rPr>
        <w:t>odst.</w:t>
      </w:r>
      <w:r w:rsidRPr="00E531E8">
        <w:rPr>
          <w:rFonts w:ascii="Calibri" w:hAnsi="Calibri"/>
          <w:szCs w:val="22"/>
        </w:rPr>
        <w:t xml:space="preserve"> </w:t>
      </w:r>
      <w:r>
        <w:rPr>
          <w:rFonts w:ascii="Calibri" w:hAnsi="Calibri"/>
          <w:szCs w:val="22"/>
        </w:rPr>
        <w:t>7.</w:t>
      </w:r>
      <w:r w:rsidRPr="00E531E8">
        <w:rPr>
          <w:rFonts w:ascii="Calibri" w:hAnsi="Calibri"/>
          <w:szCs w:val="22"/>
        </w:rPr>
        <w:t xml:space="preserve"> </w:t>
      </w:r>
      <w:r>
        <w:rPr>
          <w:rFonts w:ascii="Calibri" w:hAnsi="Calibri"/>
          <w:szCs w:val="22"/>
        </w:rPr>
        <w:t xml:space="preserve">tohoto článku smlouvy </w:t>
      </w:r>
      <w:r w:rsidRPr="00E531E8">
        <w:rPr>
          <w:rFonts w:ascii="Calibri" w:hAnsi="Calibri"/>
          <w:szCs w:val="22"/>
        </w:rPr>
        <w:t xml:space="preserve">ukáže nepravdivým, </w:t>
      </w:r>
      <w:r>
        <w:rPr>
          <w:rFonts w:ascii="Calibri" w:hAnsi="Calibri"/>
          <w:szCs w:val="22"/>
        </w:rPr>
        <w:t>poruší příjemce rozpočtovou kázeň ve smyslu ustanovení § 22</w:t>
      </w:r>
      <w:r w:rsidRPr="00CB04B1">
        <w:rPr>
          <w:rFonts w:ascii="Calibri" w:hAnsi="Calibri"/>
          <w:szCs w:val="22"/>
        </w:rPr>
        <w:t xml:space="preserve"> </w:t>
      </w:r>
      <w:r>
        <w:rPr>
          <w:rFonts w:ascii="Calibri" w:hAnsi="Calibri"/>
          <w:szCs w:val="22"/>
        </w:rPr>
        <w:t>zákona č. 250/2000 Sb. a ve smyslu článku VI. této smlouvy.</w:t>
      </w:r>
    </w:p>
    <w:p w:rsidR="00596F1F" w:rsidRDefault="00596F1F" w:rsidP="00596F1F">
      <w:pPr>
        <w:spacing w:after="120"/>
        <w:ind w:left="357"/>
        <w:jc w:val="both"/>
        <w:rPr>
          <w:rFonts w:ascii="Calibri" w:hAnsi="Calibri"/>
          <w:szCs w:val="22"/>
        </w:rPr>
      </w:pPr>
    </w:p>
    <w:p w:rsidR="00B64A33" w:rsidRPr="00E531E8" w:rsidRDefault="00B64A33" w:rsidP="00B64A33">
      <w:pPr>
        <w:keepNext/>
        <w:spacing w:before="240"/>
        <w:jc w:val="center"/>
        <w:rPr>
          <w:rFonts w:ascii="Calibri" w:hAnsi="Calibri"/>
          <w:b/>
          <w:szCs w:val="22"/>
        </w:rPr>
      </w:pPr>
      <w:r w:rsidRPr="00E531E8">
        <w:rPr>
          <w:rFonts w:ascii="Calibri" w:hAnsi="Calibri"/>
          <w:b/>
          <w:szCs w:val="22"/>
        </w:rPr>
        <w:t>II.</w:t>
      </w:r>
    </w:p>
    <w:p w:rsidR="00B64A33" w:rsidRPr="00E531E8" w:rsidRDefault="00B64A33" w:rsidP="00B64A33">
      <w:pPr>
        <w:keepNext/>
        <w:spacing w:after="120"/>
        <w:jc w:val="center"/>
        <w:rPr>
          <w:rFonts w:ascii="Calibri" w:hAnsi="Calibri"/>
          <w:b/>
          <w:szCs w:val="22"/>
        </w:rPr>
      </w:pPr>
      <w:r w:rsidRPr="00E531E8">
        <w:rPr>
          <w:rFonts w:ascii="Calibri" w:hAnsi="Calibri"/>
          <w:b/>
          <w:szCs w:val="22"/>
        </w:rPr>
        <w:t>Výše a způsob poskytnutí dotace</w:t>
      </w:r>
    </w:p>
    <w:p w:rsidR="00B64A33" w:rsidRPr="009F3A8C" w:rsidRDefault="00B64A33" w:rsidP="00B64A33">
      <w:pPr>
        <w:keepNext/>
        <w:numPr>
          <w:ilvl w:val="0"/>
          <w:numId w:val="7"/>
        </w:numPr>
        <w:spacing w:after="120"/>
        <w:jc w:val="both"/>
        <w:rPr>
          <w:rFonts w:ascii="Calibri" w:hAnsi="Calibri"/>
          <w:szCs w:val="22"/>
        </w:rPr>
      </w:pPr>
      <w:r w:rsidRPr="009F3A8C">
        <w:rPr>
          <w:rFonts w:ascii="Calibri" w:hAnsi="Calibri"/>
          <w:szCs w:val="22"/>
        </w:rPr>
        <w:t xml:space="preserve">Příjemci je poskytována </w:t>
      </w:r>
      <w:r w:rsidR="00DF3F7F" w:rsidRPr="009F3A8C">
        <w:rPr>
          <w:rFonts w:ascii="Calibri" w:hAnsi="Calibri"/>
          <w:szCs w:val="22"/>
        </w:rPr>
        <w:t>ne</w:t>
      </w:r>
      <w:r w:rsidR="006C4FA0" w:rsidRPr="009F3A8C">
        <w:rPr>
          <w:rFonts w:ascii="Calibri" w:hAnsi="Calibri"/>
          <w:szCs w:val="22"/>
        </w:rPr>
        <w:t xml:space="preserve">investiční dotace ve výši </w:t>
      </w:r>
      <w:r w:rsidR="00166C81" w:rsidRPr="009F3A8C">
        <w:rPr>
          <w:rFonts w:ascii="Calibri" w:hAnsi="Calibri"/>
          <w:b/>
          <w:szCs w:val="22"/>
        </w:rPr>
        <w:t>200</w:t>
      </w:r>
      <w:r w:rsidR="00961797" w:rsidRPr="009F3A8C">
        <w:rPr>
          <w:rFonts w:ascii="Calibri" w:hAnsi="Calibri"/>
          <w:b/>
          <w:szCs w:val="22"/>
        </w:rPr>
        <w:t> </w:t>
      </w:r>
      <w:r w:rsidR="00166C81" w:rsidRPr="009F3A8C">
        <w:rPr>
          <w:rFonts w:ascii="Calibri" w:hAnsi="Calibri"/>
          <w:b/>
          <w:szCs w:val="22"/>
        </w:rPr>
        <w:t>000</w:t>
      </w:r>
      <w:r w:rsidR="00961797" w:rsidRPr="009F3A8C">
        <w:rPr>
          <w:rFonts w:ascii="Calibri" w:hAnsi="Calibri"/>
          <w:b/>
          <w:szCs w:val="22"/>
        </w:rPr>
        <w:t>,-</w:t>
      </w:r>
      <w:r w:rsidRPr="009F3A8C">
        <w:rPr>
          <w:rFonts w:ascii="Calibri" w:hAnsi="Calibri"/>
          <w:b/>
          <w:szCs w:val="22"/>
        </w:rPr>
        <w:t xml:space="preserve"> Kč</w:t>
      </w:r>
      <w:r w:rsidRPr="009F3A8C">
        <w:rPr>
          <w:rFonts w:ascii="Calibri" w:hAnsi="Calibri"/>
          <w:szCs w:val="22"/>
        </w:rPr>
        <w:t xml:space="preserve"> </w:t>
      </w:r>
      <w:r w:rsidR="00917FE6" w:rsidRPr="009F3A8C">
        <w:rPr>
          <w:rFonts w:ascii="Calibri" w:hAnsi="Calibri"/>
          <w:szCs w:val="22"/>
        </w:rPr>
        <w:t xml:space="preserve">(slovy: </w:t>
      </w:r>
      <w:r w:rsidR="00166C81" w:rsidRPr="009F3A8C">
        <w:rPr>
          <w:rFonts w:ascii="Calibri" w:hAnsi="Calibri"/>
          <w:szCs w:val="22"/>
        </w:rPr>
        <w:t>dvě st</w:t>
      </w:r>
      <w:r w:rsidR="00961797" w:rsidRPr="009F3A8C">
        <w:rPr>
          <w:rFonts w:ascii="Calibri" w:hAnsi="Calibri"/>
          <w:szCs w:val="22"/>
        </w:rPr>
        <w:t>ě</w:t>
      </w:r>
      <w:r w:rsidR="00166C81" w:rsidRPr="009F3A8C">
        <w:rPr>
          <w:rFonts w:ascii="Calibri" w:hAnsi="Calibri"/>
          <w:szCs w:val="22"/>
        </w:rPr>
        <w:t xml:space="preserve"> tisíc korun českých</w:t>
      </w:r>
      <w:r w:rsidR="00F90531" w:rsidRPr="009F3A8C">
        <w:rPr>
          <w:rFonts w:ascii="Calibri" w:hAnsi="Calibri"/>
          <w:szCs w:val="22"/>
        </w:rPr>
        <w:t>)</w:t>
      </w:r>
      <w:r w:rsidR="00917FE6" w:rsidRPr="009F3A8C">
        <w:rPr>
          <w:rFonts w:ascii="Calibri" w:hAnsi="Calibri"/>
          <w:szCs w:val="22"/>
        </w:rPr>
        <w:t xml:space="preserve"> </w:t>
      </w:r>
      <w:r w:rsidRPr="009F3A8C">
        <w:rPr>
          <w:rFonts w:ascii="Calibri" w:hAnsi="Calibri"/>
          <w:szCs w:val="22"/>
        </w:rPr>
        <w:t xml:space="preserve">na realizaci projektu uvedeného v článku I. </w:t>
      </w:r>
      <w:r w:rsidR="0054672C" w:rsidRPr="009F3A8C">
        <w:rPr>
          <w:rFonts w:ascii="Calibri" w:hAnsi="Calibri"/>
          <w:szCs w:val="22"/>
        </w:rPr>
        <w:t>odst.</w:t>
      </w:r>
      <w:r w:rsidRPr="009F3A8C">
        <w:rPr>
          <w:rFonts w:ascii="Calibri" w:hAnsi="Calibri"/>
          <w:szCs w:val="22"/>
        </w:rPr>
        <w:t xml:space="preserve"> 1. této smlouvy. </w:t>
      </w:r>
    </w:p>
    <w:p w:rsidR="00B64A33" w:rsidRPr="009F3A8C" w:rsidRDefault="00B64A33" w:rsidP="00B64A33">
      <w:pPr>
        <w:numPr>
          <w:ilvl w:val="0"/>
          <w:numId w:val="7"/>
        </w:numPr>
        <w:spacing w:after="120"/>
        <w:jc w:val="both"/>
        <w:rPr>
          <w:rFonts w:ascii="Calibri" w:hAnsi="Calibri"/>
          <w:szCs w:val="22"/>
        </w:rPr>
      </w:pPr>
      <w:r w:rsidRPr="009F3A8C">
        <w:rPr>
          <w:rFonts w:ascii="Calibri" w:hAnsi="Calibri"/>
          <w:szCs w:val="22"/>
        </w:rPr>
        <w:t>Poskytovatel se zavazuje poukázat</w:t>
      </w:r>
      <w:r w:rsidR="00B00954" w:rsidRPr="009F3A8C">
        <w:rPr>
          <w:rFonts w:ascii="Calibri" w:hAnsi="Calibri"/>
          <w:szCs w:val="22"/>
        </w:rPr>
        <w:t xml:space="preserve"> </w:t>
      </w:r>
      <w:r w:rsidR="00B00954" w:rsidRPr="009F3A8C">
        <w:rPr>
          <w:rFonts w:ascii="Calibri" w:hAnsi="Calibri"/>
          <w:b/>
          <w:szCs w:val="22"/>
        </w:rPr>
        <w:t>záloh</w:t>
      </w:r>
      <w:r w:rsidR="00961797" w:rsidRPr="009F3A8C">
        <w:rPr>
          <w:rFonts w:ascii="Calibri" w:hAnsi="Calibri"/>
          <w:b/>
          <w:szCs w:val="22"/>
        </w:rPr>
        <w:t>u</w:t>
      </w:r>
      <w:r w:rsidR="00B00954" w:rsidRPr="009F3A8C">
        <w:rPr>
          <w:rFonts w:ascii="Calibri" w:hAnsi="Calibri"/>
          <w:b/>
          <w:szCs w:val="22"/>
        </w:rPr>
        <w:t xml:space="preserve"> na celkovou výši dotace, a to ve výši </w:t>
      </w:r>
      <w:r w:rsidR="00F715A4">
        <w:rPr>
          <w:rFonts w:ascii="Calibri" w:hAnsi="Calibri"/>
          <w:b/>
          <w:szCs w:val="22"/>
        </w:rPr>
        <w:t>50 000,-</w:t>
      </w:r>
      <w:r w:rsidR="00B00954" w:rsidRPr="009F3A8C">
        <w:rPr>
          <w:rFonts w:ascii="Calibri" w:hAnsi="Calibri"/>
          <w:b/>
          <w:szCs w:val="22"/>
        </w:rPr>
        <w:t xml:space="preserve"> Kč </w:t>
      </w:r>
      <w:r w:rsidR="00B00954" w:rsidRPr="00F715A4">
        <w:rPr>
          <w:rFonts w:ascii="Calibri" w:hAnsi="Calibri"/>
          <w:szCs w:val="22"/>
        </w:rPr>
        <w:t>(</w:t>
      </w:r>
      <w:r w:rsidR="00F715A4">
        <w:rPr>
          <w:rFonts w:ascii="Calibri" w:hAnsi="Calibri"/>
          <w:szCs w:val="22"/>
        </w:rPr>
        <w:t>padesáttisíc</w:t>
      </w:r>
      <w:r w:rsidR="00F715A4" w:rsidRPr="00F715A4">
        <w:rPr>
          <w:rFonts w:ascii="Calibri" w:hAnsi="Calibri"/>
          <w:szCs w:val="22"/>
        </w:rPr>
        <w:t xml:space="preserve"> </w:t>
      </w:r>
      <w:r w:rsidR="00166C81" w:rsidRPr="00F715A4">
        <w:rPr>
          <w:rFonts w:ascii="Calibri" w:hAnsi="Calibri"/>
          <w:szCs w:val="22"/>
        </w:rPr>
        <w:t>korun českých</w:t>
      </w:r>
      <w:r w:rsidR="00B00954" w:rsidRPr="00F715A4">
        <w:rPr>
          <w:rFonts w:ascii="Calibri" w:hAnsi="Calibri"/>
          <w:szCs w:val="22"/>
        </w:rPr>
        <w:t>)</w:t>
      </w:r>
      <w:r w:rsidR="00B00954" w:rsidRPr="009F3A8C">
        <w:rPr>
          <w:rFonts w:ascii="Calibri" w:hAnsi="Calibri"/>
          <w:b/>
          <w:szCs w:val="22"/>
        </w:rPr>
        <w:t xml:space="preserve"> </w:t>
      </w:r>
      <w:r w:rsidRPr="009F3A8C">
        <w:rPr>
          <w:rFonts w:ascii="Calibri" w:hAnsi="Calibri"/>
          <w:szCs w:val="22"/>
        </w:rPr>
        <w:t xml:space="preserve">bankovním převodem na účet příjemce uvedený v záhlaví smlouvy, a to </w:t>
      </w:r>
      <w:r w:rsidR="00961797" w:rsidRPr="009F3A8C">
        <w:rPr>
          <w:rFonts w:ascii="Calibri" w:hAnsi="Calibri"/>
          <w:szCs w:val="22"/>
        </w:rPr>
        <w:t xml:space="preserve">nejpozději do </w:t>
      </w:r>
      <w:r w:rsidR="00F715A4" w:rsidRPr="00F715A4">
        <w:rPr>
          <w:rFonts w:ascii="Calibri" w:hAnsi="Calibri"/>
          <w:b/>
          <w:szCs w:val="22"/>
        </w:rPr>
        <w:t>31. 1. 2017</w:t>
      </w:r>
      <w:r w:rsidRPr="009F3A8C">
        <w:rPr>
          <w:rFonts w:ascii="Calibri" w:hAnsi="Calibri"/>
          <w:szCs w:val="22"/>
        </w:rPr>
        <w:t xml:space="preserve">. </w:t>
      </w:r>
      <w:r w:rsidR="00612C91">
        <w:rPr>
          <w:rFonts w:ascii="Calibri" w:hAnsi="Calibri"/>
          <w:szCs w:val="22"/>
        </w:rPr>
        <w:t xml:space="preserve">Plnění </w:t>
      </w:r>
      <w:r w:rsidR="00F90531" w:rsidRPr="009F3A8C">
        <w:rPr>
          <w:rFonts w:ascii="Calibri" w:hAnsi="Calibri"/>
          <w:szCs w:val="22"/>
        </w:rPr>
        <w:t>je splněno</w:t>
      </w:r>
      <w:r w:rsidRPr="009F3A8C">
        <w:rPr>
          <w:rFonts w:ascii="Calibri" w:hAnsi="Calibri"/>
          <w:szCs w:val="22"/>
        </w:rPr>
        <w:t xml:space="preserve"> za předpokladu, že </w:t>
      </w:r>
      <w:r w:rsidR="00F90531" w:rsidRPr="009F3A8C">
        <w:rPr>
          <w:rFonts w:ascii="Calibri" w:hAnsi="Calibri"/>
          <w:szCs w:val="22"/>
        </w:rPr>
        <w:t>k danému datu</w:t>
      </w:r>
      <w:r w:rsidRPr="009F3A8C">
        <w:rPr>
          <w:rFonts w:ascii="Calibri" w:hAnsi="Calibri"/>
          <w:szCs w:val="22"/>
        </w:rPr>
        <w:t xml:space="preserve"> odejdou finanční prostředky ve výši dotace z účtu poskytovatele.</w:t>
      </w:r>
      <w:r w:rsidR="00B00954" w:rsidRPr="009F3A8C">
        <w:rPr>
          <w:rFonts w:ascii="Calibri" w:hAnsi="Calibri"/>
          <w:szCs w:val="22"/>
        </w:rPr>
        <w:t xml:space="preserve"> </w:t>
      </w:r>
      <w:r w:rsidR="00B00954" w:rsidRPr="009F3A8C">
        <w:rPr>
          <w:rFonts w:ascii="Calibri" w:hAnsi="Calibri"/>
          <w:b/>
          <w:szCs w:val="22"/>
        </w:rPr>
        <w:t xml:space="preserve">Zbylá část dotace ve výši </w:t>
      </w:r>
      <w:r w:rsidR="00F715A4">
        <w:rPr>
          <w:rFonts w:ascii="Calibri" w:hAnsi="Calibri"/>
          <w:b/>
          <w:szCs w:val="22"/>
        </w:rPr>
        <w:t xml:space="preserve">150 000,- Kč (stopadesáttiscíc korun českých) </w:t>
      </w:r>
      <w:r w:rsidR="00B00954" w:rsidRPr="009F3A8C">
        <w:rPr>
          <w:rFonts w:ascii="Calibri" w:hAnsi="Calibri"/>
          <w:b/>
          <w:szCs w:val="22"/>
        </w:rPr>
        <w:t>bude pos</w:t>
      </w:r>
      <w:r w:rsidR="005A06D1" w:rsidRPr="009F3A8C">
        <w:rPr>
          <w:rFonts w:ascii="Calibri" w:hAnsi="Calibri"/>
          <w:b/>
          <w:szCs w:val="22"/>
        </w:rPr>
        <w:t>kytnuta příjemci po</w:t>
      </w:r>
      <w:r w:rsidR="00961797" w:rsidRPr="009F3A8C">
        <w:rPr>
          <w:rFonts w:ascii="Calibri" w:hAnsi="Calibri"/>
          <w:b/>
          <w:szCs w:val="22"/>
        </w:rPr>
        <w:t xml:space="preserve"> dokončení projektu (tj.</w:t>
      </w:r>
      <w:r w:rsidR="005A06D1" w:rsidRPr="009F3A8C">
        <w:rPr>
          <w:rFonts w:ascii="Calibri" w:hAnsi="Calibri"/>
          <w:b/>
          <w:szCs w:val="22"/>
        </w:rPr>
        <w:t xml:space="preserve"> vydání </w:t>
      </w:r>
      <w:r w:rsidR="00961797" w:rsidRPr="009F3A8C">
        <w:rPr>
          <w:rFonts w:ascii="Calibri" w:hAnsi="Calibri"/>
          <w:b/>
          <w:szCs w:val="22"/>
        </w:rPr>
        <w:t>publikace Dějiny Jindřichova Hradce)</w:t>
      </w:r>
      <w:r w:rsidR="005A06D1" w:rsidRPr="009F3A8C">
        <w:rPr>
          <w:rFonts w:ascii="Calibri" w:hAnsi="Calibri"/>
          <w:b/>
          <w:szCs w:val="22"/>
        </w:rPr>
        <w:t>,</w:t>
      </w:r>
      <w:r w:rsidR="005A06D1" w:rsidRPr="009F3A8C">
        <w:rPr>
          <w:rFonts w:ascii="Calibri" w:hAnsi="Calibri"/>
          <w:szCs w:val="22"/>
        </w:rPr>
        <w:t xml:space="preserve"> </w:t>
      </w:r>
      <w:r w:rsidR="005A06D1" w:rsidRPr="009F3A8C">
        <w:rPr>
          <w:rFonts w:ascii="Calibri" w:hAnsi="Calibri"/>
          <w:b/>
          <w:szCs w:val="22"/>
        </w:rPr>
        <w:t xml:space="preserve">a to nejpozději do </w:t>
      </w:r>
      <w:r w:rsidR="00F90531" w:rsidRPr="009F3A8C">
        <w:rPr>
          <w:rFonts w:ascii="Calibri" w:hAnsi="Calibri"/>
          <w:b/>
          <w:szCs w:val="22"/>
        </w:rPr>
        <w:t>14</w:t>
      </w:r>
      <w:r w:rsidR="005A06D1" w:rsidRPr="009F3A8C">
        <w:rPr>
          <w:rFonts w:ascii="Calibri" w:hAnsi="Calibri"/>
          <w:b/>
          <w:szCs w:val="22"/>
        </w:rPr>
        <w:t xml:space="preserve"> dnů ode dne </w:t>
      </w:r>
      <w:r w:rsidR="00C138A1" w:rsidRPr="009F3A8C">
        <w:rPr>
          <w:rFonts w:ascii="Calibri" w:hAnsi="Calibri"/>
          <w:b/>
          <w:szCs w:val="22"/>
        </w:rPr>
        <w:t xml:space="preserve">předání </w:t>
      </w:r>
      <w:r w:rsidR="008A3898" w:rsidRPr="009F3A8C">
        <w:rPr>
          <w:rFonts w:ascii="Calibri" w:hAnsi="Calibri"/>
          <w:b/>
          <w:szCs w:val="22"/>
        </w:rPr>
        <w:t>1</w:t>
      </w:r>
      <w:r w:rsidR="00F90531" w:rsidRPr="009F3A8C">
        <w:rPr>
          <w:rFonts w:ascii="Calibri" w:hAnsi="Calibri"/>
          <w:b/>
          <w:szCs w:val="22"/>
        </w:rPr>
        <w:t>50</w:t>
      </w:r>
      <w:r w:rsidR="005A06D1" w:rsidRPr="009F3A8C">
        <w:rPr>
          <w:rFonts w:ascii="Calibri" w:hAnsi="Calibri"/>
          <w:b/>
          <w:szCs w:val="22"/>
        </w:rPr>
        <w:t xml:space="preserve"> kusů výtisků publikace</w:t>
      </w:r>
      <w:r w:rsidR="00C138A1" w:rsidRPr="009F3A8C">
        <w:rPr>
          <w:rFonts w:ascii="Calibri" w:hAnsi="Calibri"/>
          <w:b/>
          <w:szCs w:val="22"/>
        </w:rPr>
        <w:t xml:space="preserve"> poskytovateli.</w:t>
      </w:r>
    </w:p>
    <w:p w:rsidR="007D580A" w:rsidRDefault="007D580A" w:rsidP="00B64A33">
      <w:pPr>
        <w:spacing w:before="240"/>
        <w:jc w:val="center"/>
        <w:rPr>
          <w:rFonts w:ascii="Calibri" w:hAnsi="Calibri"/>
          <w:b/>
          <w:szCs w:val="22"/>
        </w:rPr>
      </w:pPr>
    </w:p>
    <w:p w:rsidR="00B64A33" w:rsidRPr="00E531E8" w:rsidRDefault="00B64A33" w:rsidP="00B64A33">
      <w:pPr>
        <w:spacing w:before="240"/>
        <w:jc w:val="center"/>
        <w:rPr>
          <w:rFonts w:ascii="Calibri" w:hAnsi="Calibri"/>
          <w:b/>
          <w:szCs w:val="22"/>
        </w:rPr>
      </w:pPr>
      <w:r w:rsidRPr="00E531E8">
        <w:rPr>
          <w:rFonts w:ascii="Calibri" w:hAnsi="Calibri"/>
          <w:b/>
          <w:szCs w:val="22"/>
        </w:rPr>
        <w:t>III.</w:t>
      </w:r>
    </w:p>
    <w:p w:rsidR="00B64A33" w:rsidRPr="00E531E8" w:rsidRDefault="00B64A33" w:rsidP="00B64A33">
      <w:pPr>
        <w:spacing w:after="120"/>
        <w:jc w:val="center"/>
        <w:rPr>
          <w:rFonts w:ascii="Calibri" w:hAnsi="Calibri"/>
          <w:b/>
          <w:szCs w:val="22"/>
        </w:rPr>
      </w:pPr>
      <w:r w:rsidRPr="00E531E8">
        <w:rPr>
          <w:rFonts w:ascii="Calibri" w:hAnsi="Calibri"/>
          <w:b/>
          <w:szCs w:val="22"/>
        </w:rPr>
        <w:t>Podmínky použití dotace, práva a povinnosti</w:t>
      </w:r>
      <w:r>
        <w:rPr>
          <w:rFonts w:ascii="Calibri" w:hAnsi="Calibri"/>
          <w:b/>
          <w:szCs w:val="22"/>
        </w:rPr>
        <w:t xml:space="preserve"> smluvních stran</w:t>
      </w:r>
      <w:r w:rsidRPr="00E531E8">
        <w:rPr>
          <w:rFonts w:ascii="Calibri" w:hAnsi="Calibri"/>
          <w:b/>
          <w:szCs w:val="22"/>
        </w:rPr>
        <w:t xml:space="preserve"> </w:t>
      </w:r>
    </w:p>
    <w:p w:rsidR="00CB4442" w:rsidRPr="003945D1" w:rsidRDefault="002D004B" w:rsidP="00B64A33">
      <w:pPr>
        <w:numPr>
          <w:ilvl w:val="0"/>
          <w:numId w:val="1"/>
        </w:numPr>
        <w:spacing w:after="120"/>
        <w:jc w:val="both"/>
        <w:rPr>
          <w:rFonts w:ascii="Calibri" w:hAnsi="Calibri"/>
          <w:szCs w:val="22"/>
        </w:rPr>
      </w:pPr>
      <w:r w:rsidRPr="0054174A">
        <w:rPr>
          <w:rFonts w:ascii="Calibri" w:hAnsi="Calibri"/>
          <w:szCs w:val="22"/>
        </w:rPr>
        <w:t>Doba, v níž má být dosaženo účelu, k jehož podpoře je poskytována dotace dle této s</w:t>
      </w:r>
      <w:r w:rsidR="008311D2">
        <w:rPr>
          <w:rFonts w:ascii="Calibri" w:hAnsi="Calibri"/>
          <w:szCs w:val="22"/>
        </w:rPr>
        <w:t xml:space="preserve">mlouvy, je stanovena od </w:t>
      </w:r>
      <w:r w:rsidR="00374889">
        <w:rPr>
          <w:rFonts w:ascii="Calibri" w:hAnsi="Calibri"/>
          <w:szCs w:val="22"/>
        </w:rPr>
        <w:br/>
      </w:r>
      <w:r w:rsidR="00220F97">
        <w:rPr>
          <w:rFonts w:ascii="Calibri" w:hAnsi="Calibri"/>
          <w:b/>
          <w:szCs w:val="22"/>
        </w:rPr>
        <w:t>od 1. října 2016 do 30. června 201</w:t>
      </w:r>
      <w:r w:rsidR="00612C91">
        <w:rPr>
          <w:rFonts w:ascii="Calibri" w:hAnsi="Calibri"/>
          <w:b/>
          <w:szCs w:val="22"/>
        </w:rPr>
        <w:t>8</w:t>
      </w:r>
      <w:r w:rsidR="008311D2" w:rsidRPr="009F3A8C">
        <w:rPr>
          <w:rFonts w:ascii="Calibri" w:hAnsi="Calibri"/>
          <w:b/>
          <w:szCs w:val="22"/>
        </w:rPr>
        <w:t>.</w:t>
      </w:r>
      <w:r w:rsidR="00B64A33" w:rsidRPr="0054174A">
        <w:rPr>
          <w:rFonts w:ascii="Calibri" w:hAnsi="Calibri"/>
          <w:szCs w:val="22"/>
        </w:rPr>
        <w:t xml:space="preserve"> </w:t>
      </w:r>
      <w:r w:rsidR="003945D1" w:rsidRPr="003945D1">
        <w:rPr>
          <w:rFonts w:ascii="Calibri" w:hAnsi="Calibri"/>
          <w:szCs w:val="22"/>
        </w:rPr>
        <w:t>Uznatelnými výdaji projektu se rozumí výdaje uskutečněné v době od zahájení do ukončení projektu, které jsou v souladu s čl. III odst. 2 této smlouvy. Výjimku tvoří kompenzace výdajů souvisejících s rozpočtem projektu v roce podepsání smlouvy již provedených, které si může příjemce jako kompenzaci ponechat za předpokladu souladu s uznatelnými náklady.</w:t>
      </w:r>
    </w:p>
    <w:p w:rsidR="00CB4442" w:rsidRDefault="00B64A33" w:rsidP="00B64A33">
      <w:pPr>
        <w:numPr>
          <w:ilvl w:val="0"/>
          <w:numId w:val="1"/>
        </w:numPr>
        <w:spacing w:after="120"/>
        <w:jc w:val="both"/>
        <w:rPr>
          <w:rFonts w:ascii="Calibri" w:hAnsi="Calibri"/>
          <w:szCs w:val="22"/>
        </w:rPr>
      </w:pPr>
      <w:r w:rsidRPr="00BB6EBF">
        <w:rPr>
          <w:rFonts w:ascii="Calibri" w:hAnsi="Calibri"/>
          <w:szCs w:val="22"/>
        </w:rPr>
        <w:t>Uznatelnými výdaji projektu se rozumí výdaje uskutečněné v době od zahájení do ukončení proje</w:t>
      </w:r>
      <w:r w:rsidR="00CB4442">
        <w:rPr>
          <w:rFonts w:ascii="Calibri" w:hAnsi="Calibri"/>
          <w:szCs w:val="22"/>
        </w:rPr>
        <w:t>ktu, které jsou bezprostředně spojené s realizací projektu:</w:t>
      </w:r>
    </w:p>
    <w:p w:rsidR="00B64A33" w:rsidRPr="00AC4E2A" w:rsidRDefault="00CB4442" w:rsidP="00CB4442">
      <w:pPr>
        <w:numPr>
          <w:ilvl w:val="0"/>
          <w:numId w:val="11"/>
        </w:numPr>
        <w:spacing w:after="120"/>
        <w:jc w:val="both"/>
        <w:rPr>
          <w:rFonts w:ascii="Calibri" w:hAnsi="Calibri"/>
          <w:szCs w:val="22"/>
        </w:rPr>
      </w:pPr>
      <w:r>
        <w:rPr>
          <w:rFonts w:ascii="Calibri" w:hAnsi="Calibri"/>
          <w:szCs w:val="22"/>
        </w:rPr>
        <w:t>autorské a odborné honoráře přípravy publikace</w:t>
      </w:r>
      <w:r w:rsidR="00CA17CB">
        <w:rPr>
          <w:rFonts w:ascii="Calibri" w:hAnsi="Calibri"/>
          <w:szCs w:val="22"/>
        </w:rPr>
        <w:t>, redakční práce</w:t>
      </w:r>
      <w:r w:rsidR="00F90531">
        <w:rPr>
          <w:rFonts w:ascii="Calibri" w:hAnsi="Calibri"/>
          <w:szCs w:val="22"/>
        </w:rPr>
        <w:t>, technická redakce, fotografické práce, sazba, grafická úprava, tisk a propagace publikace</w:t>
      </w:r>
      <w:r w:rsidR="00B64A33" w:rsidRPr="00BB6EBF">
        <w:rPr>
          <w:rFonts w:ascii="Calibri" w:hAnsi="Calibri"/>
          <w:szCs w:val="22"/>
        </w:rPr>
        <w:t xml:space="preserve"> </w:t>
      </w:r>
    </w:p>
    <w:p w:rsidR="00B64A33" w:rsidRPr="00AC4E2A" w:rsidRDefault="00B64A33" w:rsidP="00B64A33">
      <w:pPr>
        <w:numPr>
          <w:ilvl w:val="0"/>
          <w:numId w:val="1"/>
        </w:numPr>
        <w:spacing w:after="120"/>
        <w:jc w:val="both"/>
        <w:rPr>
          <w:rFonts w:ascii="Calibri" w:hAnsi="Calibri"/>
          <w:szCs w:val="22"/>
        </w:rPr>
      </w:pPr>
      <w:r w:rsidRPr="00AC4E2A">
        <w:rPr>
          <w:rFonts w:ascii="Calibri" w:hAnsi="Calibri"/>
          <w:szCs w:val="22"/>
        </w:rPr>
        <w:t>Příjemce je povinen použít dotaci maximálně hospodárným způsobem a výhradně k účelu uvedenému v  této smlouvě.</w:t>
      </w:r>
    </w:p>
    <w:p w:rsidR="00B64A33" w:rsidRPr="00AC4E2A" w:rsidRDefault="009F3CEB" w:rsidP="00B64A33">
      <w:pPr>
        <w:numPr>
          <w:ilvl w:val="0"/>
          <w:numId w:val="1"/>
        </w:numPr>
        <w:spacing w:after="120"/>
        <w:ind w:hanging="357"/>
        <w:jc w:val="both"/>
        <w:rPr>
          <w:rFonts w:ascii="Calibri" w:hAnsi="Calibri"/>
          <w:szCs w:val="22"/>
        </w:rPr>
      </w:pPr>
      <w:r>
        <w:rPr>
          <w:rFonts w:ascii="Calibri" w:hAnsi="Calibri"/>
          <w:szCs w:val="22"/>
        </w:rPr>
        <w:t>Jednotlivé v</w:t>
      </w:r>
      <w:r w:rsidR="00BC5C63">
        <w:rPr>
          <w:rFonts w:ascii="Calibri" w:hAnsi="Calibri"/>
          <w:szCs w:val="22"/>
        </w:rPr>
        <w:t xml:space="preserve">ýdaje </w:t>
      </w:r>
      <w:r w:rsidR="00B64A33" w:rsidRPr="00AC4E2A">
        <w:rPr>
          <w:rFonts w:ascii="Calibri" w:hAnsi="Calibri"/>
          <w:szCs w:val="22"/>
        </w:rPr>
        <w:t>nad 40.000 Kč se příjemce zavazuje hradit bezhotovostním převodem</w:t>
      </w:r>
      <w:r w:rsidR="007A2F51">
        <w:rPr>
          <w:rFonts w:ascii="Calibri" w:hAnsi="Calibri"/>
          <w:szCs w:val="22"/>
        </w:rPr>
        <w:t>.</w:t>
      </w:r>
      <w:r w:rsidR="00B64A33">
        <w:rPr>
          <w:rFonts w:ascii="Calibri" w:hAnsi="Calibri"/>
          <w:szCs w:val="22"/>
        </w:rPr>
        <w:t xml:space="preserve"> </w:t>
      </w:r>
    </w:p>
    <w:p w:rsidR="00B64A33" w:rsidRPr="008B3A9A" w:rsidRDefault="00B64A33" w:rsidP="008B3A9A">
      <w:pPr>
        <w:numPr>
          <w:ilvl w:val="0"/>
          <w:numId w:val="1"/>
        </w:numPr>
        <w:spacing w:after="120"/>
        <w:ind w:left="357" w:hanging="357"/>
        <w:jc w:val="both"/>
        <w:rPr>
          <w:rFonts w:ascii="Calibri" w:hAnsi="Calibri"/>
          <w:szCs w:val="22"/>
        </w:rPr>
      </w:pPr>
      <w:r w:rsidRPr="00AC4E2A">
        <w:rPr>
          <w:rFonts w:ascii="Calibri" w:hAnsi="Calibri"/>
          <w:szCs w:val="22"/>
        </w:rPr>
        <w:t>Pokud je příjemce plátcem daně z přidané hodnoty (dále jen „DPH“) a má v konkrétním případě nárok na uplatnění odpočtu DPH na vstupu podle zákona č.</w:t>
      </w:r>
      <w:r w:rsidRPr="00E531E8">
        <w:rPr>
          <w:rFonts w:ascii="Calibri" w:hAnsi="Calibri"/>
          <w:szCs w:val="22"/>
        </w:rPr>
        <w:t> 235/2004 Sb., o dani z přidané hodnoty, ve znění pozdějších předpisů</w:t>
      </w:r>
      <w:r>
        <w:rPr>
          <w:rFonts w:ascii="Calibri" w:hAnsi="Calibri"/>
          <w:szCs w:val="22"/>
        </w:rPr>
        <w:t xml:space="preserve"> (dále jen „zákon o DPH“)</w:t>
      </w:r>
      <w:r w:rsidRPr="00E531E8">
        <w:rPr>
          <w:rFonts w:ascii="Calibri" w:hAnsi="Calibri"/>
          <w:szCs w:val="22"/>
        </w:rPr>
        <w:t xml:space="preserve">, je povinen pro účely této smlouvy vykázat všechny uznatelné </w:t>
      </w:r>
      <w:r w:rsidR="007F1A91">
        <w:rPr>
          <w:rFonts w:ascii="Calibri" w:hAnsi="Calibri"/>
          <w:szCs w:val="22"/>
        </w:rPr>
        <w:t>výdaje</w:t>
      </w:r>
      <w:r w:rsidRPr="00E531E8">
        <w:rPr>
          <w:rFonts w:ascii="Calibri" w:hAnsi="Calibri"/>
          <w:szCs w:val="22"/>
        </w:rPr>
        <w:t xml:space="preserve"> </w:t>
      </w:r>
      <w:r>
        <w:rPr>
          <w:rFonts w:ascii="Calibri" w:hAnsi="Calibri"/>
          <w:szCs w:val="22"/>
        </w:rPr>
        <w:t>p</w:t>
      </w:r>
      <w:r w:rsidRPr="00E531E8">
        <w:rPr>
          <w:rFonts w:ascii="Calibri" w:hAnsi="Calibri"/>
          <w:szCs w:val="22"/>
        </w:rPr>
        <w:t xml:space="preserve">rojektu bez DPH. DPH není pro </w:t>
      </w:r>
      <w:r>
        <w:rPr>
          <w:rFonts w:ascii="Calibri" w:hAnsi="Calibri"/>
          <w:szCs w:val="22"/>
        </w:rPr>
        <w:t>p</w:t>
      </w:r>
      <w:r w:rsidRPr="00E531E8">
        <w:rPr>
          <w:rFonts w:ascii="Calibri" w:hAnsi="Calibri"/>
          <w:szCs w:val="22"/>
        </w:rPr>
        <w:t xml:space="preserve">říjemce uznatelným </w:t>
      </w:r>
      <w:r w:rsidR="007F1A91">
        <w:rPr>
          <w:rFonts w:ascii="Calibri" w:hAnsi="Calibri"/>
          <w:szCs w:val="22"/>
        </w:rPr>
        <w:t>výdaj</w:t>
      </w:r>
      <w:r w:rsidRPr="00E531E8">
        <w:rPr>
          <w:rFonts w:ascii="Calibri" w:hAnsi="Calibri"/>
          <w:szCs w:val="22"/>
        </w:rPr>
        <w:t>em.</w:t>
      </w:r>
    </w:p>
    <w:p w:rsidR="00B64A33" w:rsidRDefault="00B64A33" w:rsidP="00B64A33">
      <w:pPr>
        <w:numPr>
          <w:ilvl w:val="0"/>
          <w:numId w:val="1"/>
        </w:numPr>
        <w:jc w:val="both"/>
        <w:rPr>
          <w:rFonts w:ascii="Calibri" w:hAnsi="Calibri"/>
          <w:szCs w:val="22"/>
        </w:rPr>
      </w:pPr>
      <w:r w:rsidRPr="00E531E8">
        <w:rPr>
          <w:rFonts w:ascii="Calibri" w:hAnsi="Calibri"/>
          <w:szCs w:val="22"/>
        </w:rPr>
        <w:t xml:space="preserve">Pokud se </w:t>
      </w:r>
      <w:r>
        <w:rPr>
          <w:rFonts w:ascii="Calibri" w:hAnsi="Calibri"/>
          <w:szCs w:val="22"/>
        </w:rPr>
        <w:t>p</w:t>
      </w:r>
      <w:r w:rsidRPr="00E531E8">
        <w:rPr>
          <w:rFonts w:ascii="Calibri" w:hAnsi="Calibri"/>
          <w:szCs w:val="22"/>
        </w:rPr>
        <w:t xml:space="preserve">říjemce dotace stane plátcem DPH v průběhu realizace </w:t>
      </w:r>
      <w:r>
        <w:rPr>
          <w:rFonts w:ascii="Calibri" w:hAnsi="Calibri"/>
          <w:szCs w:val="22"/>
        </w:rPr>
        <w:t>p</w:t>
      </w:r>
      <w:r w:rsidRPr="00E531E8">
        <w:rPr>
          <w:rFonts w:ascii="Calibri" w:hAnsi="Calibri"/>
          <w:szCs w:val="22"/>
        </w:rPr>
        <w:t xml:space="preserve">rojektu a uplatní v konkrétním případě nárok </w:t>
      </w:r>
      <w:r>
        <w:rPr>
          <w:rFonts w:ascii="Calibri" w:hAnsi="Calibri"/>
          <w:szCs w:val="22"/>
        </w:rPr>
        <w:br/>
      </w:r>
      <w:r w:rsidRPr="00E531E8">
        <w:rPr>
          <w:rFonts w:ascii="Calibri" w:hAnsi="Calibri"/>
          <w:szCs w:val="22"/>
        </w:rPr>
        <w:t xml:space="preserve">na odpočet DPH na vstupu, je povinen v rámci vyúčtování vykázat uznatelné </w:t>
      </w:r>
      <w:r w:rsidR="007F1A91">
        <w:rPr>
          <w:rFonts w:ascii="Calibri" w:hAnsi="Calibri"/>
          <w:szCs w:val="22"/>
        </w:rPr>
        <w:t>výdaje</w:t>
      </w:r>
      <w:r w:rsidRPr="00E531E8">
        <w:rPr>
          <w:rFonts w:ascii="Calibri" w:hAnsi="Calibri"/>
          <w:szCs w:val="22"/>
        </w:rPr>
        <w:t xml:space="preserve"> </w:t>
      </w:r>
      <w:r>
        <w:rPr>
          <w:rFonts w:ascii="Calibri" w:hAnsi="Calibri"/>
          <w:szCs w:val="22"/>
        </w:rPr>
        <w:t>p</w:t>
      </w:r>
      <w:r w:rsidRPr="00E531E8">
        <w:rPr>
          <w:rFonts w:ascii="Calibri" w:hAnsi="Calibri"/>
          <w:szCs w:val="22"/>
        </w:rPr>
        <w:t>rojektu bez DPH, a nejpozději v termínu pro předložení vyúčtování</w:t>
      </w:r>
      <w:r>
        <w:rPr>
          <w:rFonts w:ascii="Calibri" w:hAnsi="Calibri"/>
          <w:szCs w:val="22"/>
        </w:rPr>
        <w:t xml:space="preserve"> projektu</w:t>
      </w:r>
      <w:r w:rsidRPr="00E531E8">
        <w:rPr>
          <w:rFonts w:ascii="Calibri" w:hAnsi="Calibri"/>
          <w:szCs w:val="22"/>
        </w:rPr>
        <w:t xml:space="preserve"> </w:t>
      </w:r>
      <w:r>
        <w:rPr>
          <w:rFonts w:ascii="Calibri" w:hAnsi="Calibri"/>
          <w:szCs w:val="22"/>
        </w:rPr>
        <w:t>po</w:t>
      </w:r>
      <w:r w:rsidRPr="00E531E8">
        <w:rPr>
          <w:rFonts w:ascii="Calibri" w:hAnsi="Calibri"/>
          <w:szCs w:val="22"/>
        </w:rPr>
        <w:t xml:space="preserve">dle této smlouvy vrátit poskytovateli finanční prostředky odpovídající odpočtu DPH, a to </w:t>
      </w:r>
      <w:r>
        <w:rPr>
          <w:rFonts w:ascii="Calibri" w:hAnsi="Calibri"/>
          <w:szCs w:val="22"/>
        </w:rPr>
        <w:t>ve</w:t>
      </w:r>
      <w:r w:rsidRPr="00E531E8">
        <w:rPr>
          <w:rFonts w:ascii="Calibri" w:hAnsi="Calibri"/>
          <w:szCs w:val="22"/>
        </w:rPr>
        <w:t xml:space="preserve"> výš</w:t>
      </w:r>
      <w:r>
        <w:rPr>
          <w:rFonts w:ascii="Calibri" w:hAnsi="Calibri"/>
          <w:szCs w:val="22"/>
        </w:rPr>
        <w:t>i</w:t>
      </w:r>
      <w:r w:rsidRPr="00E531E8">
        <w:rPr>
          <w:rFonts w:ascii="Calibri" w:hAnsi="Calibri"/>
          <w:szCs w:val="22"/>
        </w:rPr>
        <w:t xml:space="preserve"> odpovídající částce DPH obsažené v poskytnuté dotaci, vypočítané koeficientem </w:t>
      </w:r>
      <w:r>
        <w:rPr>
          <w:rFonts w:ascii="Calibri" w:hAnsi="Calibri"/>
          <w:szCs w:val="22"/>
        </w:rPr>
        <w:t>po</w:t>
      </w:r>
      <w:r w:rsidRPr="00E531E8">
        <w:rPr>
          <w:rFonts w:ascii="Calibri" w:hAnsi="Calibri"/>
          <w:szCs w:val="22"/>
        </w:rPr>
        <w:t xml:space="preserve">dle zákona </w:t>
      </w:r>
      <w:r>
        <w:rPr>
          <w:rFonts w:ascii="Calibri" w:hAnsi="Calibri"/>
          <w:szCs w:val="22"/>
        </w:rPr>
        <w:t>o DPH (ve znění k okamžiku uplatnění odpočtu DPH na vstupu)</w:t>
      </w:r>
      <w:r w:rsidRPr="00E531E8">
        <w:rPr>
          <w:rFonts w:ascii="Calibri" w:hAnsi="Calibri"/>
          <w:szCs w:val="22"/>
        </w:rPr>
        <w:t>.</w:t>
      </w:r>
    </w:p>
    <w:p w:rsidR="00B64A33" w:rsidRDefault="00B64A33" w:rsidP="00B64A33">
      <w:pPr>
        <w:pStyle w:val="Odstavecseseznamem"/>
        <w:rPr>
          <w:rFonts w:ascii="Calibri" w:hAnsi="Calibri"/>
          <w:szCs w:val="22"/>
        </w:rPr>
      </w:pPr>
    </w:p>
    <w:p w:rsidR="00B64A33" w:rsidRPr="008B3A9A" w:rsidRDefault="00B64A33" w:rsidP="008B3A9A">
      <w:pPr>
        <w:numPr>
          <w:ilvl w:val="0"/>
          <w:numId w:val="1"/>
        </w:numPr>
        <w:spacing w:after="120"/>
        <w:ind w:left="357" w:hanging="357"/>
        <w:jc w:val="both"/>
        <w:rPr>
          <w:rFonts w:ascii="Calibri" w:hAnsi="Calibri"/>
          <w:szCs w:val="22"/>
        </w:rPr>
      </w:pPr>
      <w:r w:rsidRPr="00E531E8">
        <w:rPr>
          <w:rFonts w:ascii="Calibri" w:hAnsi="Calibri"/>
          <w:szCs w:val="22"/>
        </w:rPr>
        <w:t xml:space="preserve">Pokud se </w:t>
      </w:r>
      <w:r>
        <w:rPr>
          <w:rFonts w:ascii="Calibri" w:hAnsi="Calibri"/>
          <w:szCs w:val="22"/>
        </w:rPr>
        <w:t>p</w:t>
      </w:r>
      <w:r w:rsidRPr="00E531E8">
        <w:rPr>
          <w:rFonts w:ascii="Calibri" w:hAnsi="Calibri"/>
          <w:szCs w:val="22"/>
        </w:rPr>
        <w:t xml:space="preserve">říjemce stane plátcem DPH po ukončení a vyhodnocení </w:t>
      </w:r>
      <w:r>
        <w:rPr>
          <w:rFonts w:ascii="Calibri" w:hAnsi="Calibri"/>
          <w:szCs w:val="22"/>
        </w:rPr>
        <w:t>p</w:t>
      </w:r>
      <w:r w:rsidRPr="00E531E8">
        <w:rPr>
          <w:rFonts w:ascii="Calibri" w:hAnsi="Calibri"/>
          <w:szCs w:val="22"/>
        </w:rPr>
        <w:t>rojektu, a uplatní v konkrétním případě nárok na odpočet DPH na vstupu, je povinen neprodleně předložit nov</w:t>
      </w:r>
      <w:r>
        <w:rPr>
          <w:rFonts w:ascii="Calibri" w:hAnsi="Calibri"/>
          <w:szCs w:val="22"/>
        </w:rPr>
        <w:t>é</w:t>
      </w:r>
      <w:r w:rsidRPr="00E531E8">
        <w:rPr>
          <w:rFonts w:ascii="Calibri" w:hAnsi="Calibri"/>
          <w:szCs w:val="22"/>
        </w:rPr>
        <w:t xml:space="preserve"> vyúčtování, ve které</w:t>
      </w:r>
      <w:r>
        <w:rPr>
          <w:rFonts w:ascii="Calibri" w:hAnsi="Calibri"/>
          <w:szCs w:val="22"/>
        </w:rPr>
        <w:t>m</w:t>
      </w:r>
      <w:r w:rsidRPr="00E531E8">
        <w:rPr>
          <w:rFonts w:ascii="Calibri" w:hAnsi="Calibri"/>
          <w:szCs w:val="22"/>
        </w:rPr>
        <w:t xml:space="preserve"> vykáže uznatelné </w:t>
      </w:r>
      <w:r w:rsidR="007F1A91">
        <w:rPr>
          <w:rFonts w:ascii="Calibri" w:hAnsi="Calibri"/>
          <w:szCs w:val="22"/>
        </w:rPr>
        <w:t>výdaje</w:t>
      </w:r>
      <w:r w:rsidRPr="00E531E8">
        <w:rPr>
          <w:rFonts w:ascii="Calibri" w:hAnsi="Calibri"/>
          <w:szCs w:val="22"/>
        </w:rPr>
        <w:t xml:space="preserve"> </w:t>
      </w:r>
      <w:r>
        <w:rPr>
          <w:rFonts w:ascii="Calibri" w:hAnsi="Calibri"/>
          <w:szCs w:val="22"/>
        </w:rPr>
        <w:t>p</w:t>
      </w:r>
      <w:r w:rsidRPr="00E531E8">
        <w:rPr>
          <w:rFonts w:ascii="Calibri" w:hAnsi="Calibri"/>
          <w:szCs w:val="22"/>
        </w:rPr>
        <w:t xml:space="preserve">rojektu bez DPH, a neprodleně vrátí </w:t>
      </w:r>
      <w:r>
        <w:rPr>
          <w:rFonts w:ascii="Calibri" w:hAnsi="Calibri"/>
          <w:szCs w:val="22"/>
        </w:rPr>
        <w:t>p</w:t>
      </w:r>
      <w:r w:rsidRPr="00E531E8">
        <w:rPr>
          <w:rFonts w:ascii="Calibri" w:hAnsi="Calibri"/>
          <w:szCs w:val="22"/>
        </w:rPr>
        <w:t xml:space="preserve">oskytovateli finanční prostředky odpovídající odpočtu DPH, a to až do výše </w:t>
      </w:r>
      <w:r w:rsidRPr="00E531E8">
        <w:rPr>
          <w:rFonts w:ascii="Calibri" w:hAnsi="Calibri"/>
          <w:szCs w:val="22"/>
        </w:rPr>
        <w:lastRenderedPageBreak/>
        <w:t xml:space="preserve">odpovídající částce DPH obsažené v poskytnuté dotaci, vypočítané koeficientem </w:t>
      </w:r>
      <w:r>
        <w:rPr>
          <w:rFonts w:ascii="Calibri" w:hAnsi="Calibri"/>
          <w:szCs w:val="22"/>
        </w:rPr>
        <w:t>po</w:t>
      </w:r>
      <w:r w:rsidRPr="00E531E8">
        <w:rPr>
          <w:rFonts w:ascii="Calibri" w:hAnsi="Calibri"/>
          <w:szCs w:val="22"/>
        </w:rPr>
        <w:t xml:space="preserve">dle zákona </w:t>
      </w:r>
      <w:r>
        <w:rPr>
          <w:rFonts w:ascii="Calibri" w:hAnsi="Calibri"/>
          <w:szCs w:val="22"/>
        </w:rPr>
        <w:t>o DPH (ve znění k okamžiku uplatnění odpočtu DPH</w:t>
      </w:r>
      <w:r w:rsidR="00030B23">
        <w:rPr>
          <w:rFonts w:ascii="Calibri" w:hAnsi="Calibri"/>
          <w:szCs w:val="22"/>
        </w:rPr>
        <w:t>)</w:t>
      </w:r>
      <w:r w:rsidRPr="00E531E8">
        <w:rPr>
          <w:rFonts w:ascii="Calibri" w:hAnsi="Calibri"/>
          <w:szCs w:val="22"/>
        </w:rPr>
        <w:t>.</w:t>
      </w:r>
    </w:p>
    <w:p w:rsidR="00B64A33" w:rsidRPr="008B3A9A" w:rsidRDefault="00B64A33" w:rsidP="008B3A9A">
      <w:pPr>
        <w:numPr>
          <w:ilvl w:val="0"/>
          <w:numId w:val="1"/>
        </w:numPr>
        <w:spacing w:after="120"/>
        <w:ind w:left="357" w:hanging="357"/>
        <w:jc w:val="both"/>
        <w:rPr>
          <w:rFonts w:ascii="Calibri" w:hAnsi="Calibri"/>
          <w:szCs w:val="22"/>
        </w:rPr>
      </w:pPr>
      <w:r w:rsidRPr="00E531E8">
        <w:rPr>
          <w:rFonts w:ascii="Calibri" w:hAnsi="Calibri"/>
          <w:szCs w:val="22"/>
        </w:rPr>
        <w:t>Příjemce je povinen při zadávání zakázek na dodávky a služby</w:t>
      </w:r>
      <w:r>
        <w:rPr>
          <w:rFonts w:ascii="Calibri" w:hAnsi="Calibri"/>
          <w:szCs w:val="22"/>
        </w:rPr>
        <w:t xml:space="preserve"> a služby</w:t>
      </w:r>
      <w:r w:rsidRPr="00E531E8">
        <w:rPr>
          <w:rFonts w:ascii="Calibri" w:hAnsi="Calibri"/>
          <w:szCs w:val="22"/>
        </w:rPr>
        <w:t>, které mají být pořízeny s účastí veřejných prostředků, bez ohledu na výši plnění, postupovat vždy v souladu se zákonem č.</w:t>
      </w:r>
      <w:r>
        <w:rPr>
          <w:rFonts w:ascii="Calibri" w:hAnsi="Calibri"/>
          <w:szCs w:val="22"/>
        </w:rPr>
        <w:t xml:space="preserve"> </w:t>
      </w:r>
      <w:r w:rsidRPr="00E531E8">
        <w:rPr>
          <w:rFonts w:ascii="Calibri" w:hAnsi="Calibri"/>
          <w:szCs w:val="22"/>
        </w:rPr>
        <w:t>137/2006 Sb., o</w:t>
      </w:r>
      <w:r>
        <w:rPr>
          <w:rFonts w:ascii="Calibri" w:hAnsi="Calibri"/>
          <w:szCs w:val="22"/>
        </w:rPr>
        <w:t> </w:t>
      </w:r>
      <w:r w:rsidRPr="00E531E8">
        <w:rPr>
          <w:rFonts w:ascii="Calibri" w:hAnsi="Calibri"/>
          <w:szCs w:val="22"/>
        </w:rPr>
        <w:t>veřejných zakázkách, ve znění pozdějších předpisů</w:t>
      </w:r>
      <w:r>
        <w:rPr>
          <w:rFonts w:ascii="Calibri" w:hAnsi="Calibri"/>
          <w:szCs w:val="22"/>
        </w:rPr>
        <w:t xml:space="preserve"> (dále jen „ZoVZ“).</w:t>
      </w:r>
      <w:r w:rsidRPr="00E531E8">
        <w:rPr>
          <w:rFonts w:ascii="Calibri" w:hAnsi="Calibri"/>
          <w:szCs w:val="22"/>
        </w:rPr>
        <w:t xml:space="preserve"> </w:t>
      </w:r>
      <w:r>
        <w:rPr>
          <w:rFonts w:ascii="Calibri" w:hAnsi="Calibri"/>
          <w:szCs w:val="22"/>
        </w:rPr>
        <w:t xml:space="preserve">Příjemce je rovněž povinen dodržovat </w:t>
      </w:r>
      <w:r w:rsidR="00030B23">
        <w:rPr>
          <w:rFonts w:ascii="Calibri" w:hAnsi="Calibri"/>
          <w:szCs w:val="22"/>
        </w:rPr>
        <w:t>z</w:t>
      </w:r>
      <w:r>
        <w:rPr>
          <w:rFonts w:ascii="Calibri" w:hAnsi="Calibri"/>
          <w:szCs w:val="22"/>
        </w:rPr>
        <w:t>ásady transparentnosti, rovného zacházení a zákazu diskriminace a neo</w:t>
      </w:r>
      <w:r w:rsidRPr="00D45FA2">
        <w:rPr>
          <w:rFonts w:ascii="Calibri" w:hAnsi="Calibri"/>
          <w:szCs w:val="22"/>
        </w:rPr>
        <w:t>mezovat účast v zadávacím řízení těm dodavatelům, kteří mají sídlo nebo místo podnikání v členském státě Evropské unie a ostatních státech, které mají s</w:t>
      </w:r>
      <w:r>
        <w:rPr>
          <w:rFonts w:ascii="Calibri" w:hAnsi="Calibri"/>
          <w:szCs w:val="22"/>
        </w:rPr>
        <w:t> </w:t>
      </w:r>
      <w:r w:rsidRPr="00D45FA2">
        <w:rPr>
          <w:rFonts w:ascii="Calibri" w:hAnsi="Calibri"/>
          <w:szCs w:val="22"/>
        </w:rPr>
        <w:t>Českou republikou či Evropskou unií uzavřenu mezinárodní smlouvu zaručující přístup dodavatelů z těchto států k</w:t>
      </w:r>
      <w:r>
        <w:rPr>
          <w:rFonts w:ascii="Calibri" w:hAnsi="Calibri"/>
          <w:szCs w:val="22"/>
        </w:rPr>
        <w:t> </w:t>
      </w:r>
      <w:r w:rsidRPr="00D45FA2">
        <w:rPr>
          <w:rFonts w:ascii="Calibri" w:hAnsi="Calibri"/>
          <w:szCs w:val="22"/>
        </w:rPr>
        <w:t xml:space="preserve">zadávané veřejné zakázce </w:t>
      </w:r>
      <w:r w:rsidR="00E14892">
        <w:rPr>
          <w:rFonts w:ascii="Calibri" w:hAnsi="Calibri"/>
          <w:szCs w:val="22"/>
        </w:rPr>
        <w:t>[</w:t>
      </w:r>
      <w:r>
        <w:rPr>
          <w:rFonts w:ascii="Calibri" w:hAnsi="Calibri"/>
          <w:szCs w:val="22"/>
        </w:rPr>
        <w:t xml:space="preserve">ustanovení § 6 odst. </w:t>
      </w:r>
      <w:r w:rsidR="00E14892">
        <w:rPr>
          <w:rFonts w:ascii="Calibri" w:hAnsi="Calibri"/>
          <w:szCs w:val="22"/>
        </w:rPr>
        <w:t>(</w:t>
      </w:r>
      <w:r>
        <w:rPr>
          <w:rFonts w:ascii="Calibri" w:hAnsi="Calibri"/>
          <w:szCs w:val="22"/>
        </w:rPr>
        <w:t>1</w:t>
      </w:r>
      <w:r w:rsidR="00E14892">
        <w:rPr>
          <w:rFonts w:ascii="Calibri" w:hAnsi="Calibri"/>
          <w:szCs w:val="22"/>
        </w:rPr>
        <w:t>)</w:t>
      </w:r>
      <w:r>
        <w:rPr>
          <w:rFonts w:ascii="Calibri" w:hAnsi="Calibri"/>
          <w:szCs w:val="22"/>
        </w:rPr>
        <w:t xml:space="preserve"> a </w:t>
      </w:r>
      <w:r w:rsidR="00E14892">
        <w:rPr>
          <w:rFonts w:ascii="Calibri" w:hAnsi="Calibri"/>
          <w:szCs w:val="22"/>
        </w:rPr>
        <w:t>(</w:t>
      </w:r>
      <w:r>
        <w:rPr>
          <w:rFonts w:ascii="Calibri" w:hAnsi="Calibri"/>
          <w:szCs w:val="22"/>
        </w:rPr>
        <w:t>2</w:t>
      </w:r>
      <w:r w:rsidR="00E14892">
        <w:rPr>
          <w:rFonts w:ascii="Calibri" w:hAnsi="Calibri"/>
          <w:szCs w:val="22"/>
        </w:rPr>
        <w:t>)</w:t>
      </w:r>
      <w:r>
        <w:rPr>
          <w:rFonts w:ascii="Calibri" w:hAnsi="Calibri"/>
          <w:szCs w:val="22"/>
        </w:rPr>
        <w:t xml:space="preserve"> ZoVZ</w:t>
      </w:r>
      <w:r w:rsidR="00E14892">
        <w:rPr>
          <w:rFonts w:ascii="Calibri" w:hAnsi="Calibri"/>
          <w:szCs w:val="22"/>
        </w:rPr>
        <w:t>]</w:t>
      </w:r>
      <w:r>
        <w:rPr>
          <w:rFonts w:ascii="Calibri" w:hAnsi="Calibri"/>
          <w:szCs w:val="22"/>
        </w:rPr>
        <w:t>. Dále je příjemce povinen dodržet způsob uveřejňování vyhlášení (ustanovení § 147 ZoVZ), realizovat</w:t>
      </w:r>
      <w:r w:rsidRPr="00E531E8">
        <w:rPr>
          <w:rFonts w:ascii="Calibri" w:hAnsi="Calibri"/>
          <w:szCs w:val="22"/>
        </w:rPr>
        <w:t xml:space="preserve"> zakázky za ceny v místě a čase obvyklé, nelze-li sjednat ceny výhodnější. Dále je </w:t>
      </w:r>
      <w:r>
        <w:rPr>
          <w:rFonts w:ascii="Calibri" w:hAnsi="Calibri"/>
          <w:szCs w:val="22"/>
        </w:rPr>
        <w:t>p</w:t>
      </w:r>
      <w:r w:rsidRPr="00E531E8">
        <w:rPr>
          <w:rFonts w:ascii="Calibri" w:hAnsi="Calibri"/>
          <w:szCs w:val="22"/>
        </w:rPr>
        <w:t>říjemce povinen dbát ochrany životního prostředí.</w:t>
      </w:r>
    </w:p>
    <w:p w:rsidR="00B64A33" w:rsidRPr="008E6684" w:rsidRDefault="00B64A33" w:rsidP="00B64A33">
      <w:pPr>
        <w:numPr>
          <w:ilvl w:val="0"/>
          <w:numId w:val="1"/>
        </w:numPr>
        <w:jc w:val="both"/>
        <w:rPr>
          <w:rFonts w:ascii="Calibri" w:hAnsi="Calibri"/>
        </w:rPr>
      </w:pPr>
      <w:r w:rsidRPr="00E531E8">
        <w:rPr>
          <w:rFonts w:ascii="Calibri" w:hAnsi="Calibri"/>
          <w:szCs w:val="22"/>
        </w:rPr>
        <w:t xml:space="preserve">Příjemce je povinen vést analytickou účetní evidenci o </w:t>
      </w:r>
      <w:r>
        <w:rPr>
          <w:rFonts w:ascii="Calibri" w:hAnsi="Calibri"/>
          <w:szCs w:val="22"/>
        </w:rPr>
        <w:t>p</w:t>
      </w:r>
      <w:r w:rsidRPr="00E531E8">
        <w:rPr>
          <w:rFonts w:ascii="Calibri" w:hAnsi="Calibri"/>
          <w:szCs w:val="22"/>
        </w:rPr>
        <w:t>rojektu v souladu se zákonem č. 563/1991 Sb., o účetnictví, ve znění pozdějších předpisů</w:t>
      </w:r>
      <w:r>
        <w:rPr>
          <w:rFonts w:ascii="Calibri" w:hAnsi="Calibri"/>
          <w:szCs w:val="22"/>
        </w:rPr>
        <w:t xml:space="preserve"> (dále jen „zákon o účetnictví“)</w:t>
      </w:r>
      <w:r w:rsidRPr="00E531E8">
        <w:rPr>
          <w:rFonts w:ascii="Calibri" w:hAnsi="Calibri"/>
          <w:szCs w:val="22"/>
        </w:rPr>
        <w:t>. Příjemci, kteří nevedou účetnictví podle tohoto zákona, jsou povinni vést v případě poskytnutí dotace daňovou evidenci podle zákona č. 586/1992 Sb., o dan</w:t>
      </w:r>
      <w:r>
        <w:rPr>
          <w:rFonts w:ascii="Calibri" w:hAnsi="Calibri"/>
          <w:szCs w:val="22"/>
        </w:rPr>
        <w:t>ích</w:t>
      </w:r>
      <w:r w:rsidRPr="00E531E8">
        <w:rPr>
          <w:rFonts w:ascii="Calibri" w:hAnsi="Calibri"/>
          <w:szCs w:val="22"/>
        </w:rPr>
        <w:t xml:space="preserve"> z</w:t>
      </w:r>
      <w:r>
        <w:rPr>
          <w:rFonts w:ascii="Calibri" w:hAnsi="Calibri"/>
          <w:szCs w:val="22"/>
        </w:rPr>
        <w:t> </w:t>
      </w:r>
      <w:r w:rsidRPr="00E531E8">
        <w:rPr>
          <w:rFonts w:ascii="Calibri" w:hAnsi="Calibri"/>
          <w:szCs w:val="22"/>
        </w:rPr>
        <w:t>příjm</w:t>
      </w:r>
      <w:r>
        <w:rPr>
          <w:rFonts w:ascii="Calibri" w:hAnsi="Calibri"/>
          <w:szCs w:val="22"/>
        </w:rPr>
        <w:t>ů</w:t>
      </w:r>
      <w:r w:rsidRPr="00E531E8">
        <w:rPr>
          <w:rFonts w:ascii="Calibri" w:hAnsi="Calibri"/>
          <w:szCs w:val="22"/>
        </w:rPr>
        <w:t xml:space="preserve">, ve znění </w:t>
      </w:r>
      <w:r w:rsidRPr="008E6684">
        <w:rPr>
          <w:rFonts w:ascii="Calibri" w:hAnsi="Calibri"/>
        </w:rPr>
        <w:t xml:space="preserve">pozdějších předpisů, rozšířenou o dodatečné požadavky: </w:t>
      </w:r>
    </w:p>
    <w:p w:rsidR="00B64A33" w:rsidRPr="008E6684" w:rsidRDefault="00B64A33" w:rsidP="00B64A33">
      <w:pPr>
        <w:numPr>
          <w:ilvl w:val="1"/>
          <w:numId w:val="9"/>
        </w:numPr>
        <w:jc w:val="both"/>
        <w:rPr>
          <w:rFonts w:ascii="Calibri" w:hAnsi="Calibri"/>
        </w:rPr>
      </w:pPr>
      <w:r w:rsidRPr="008E6684">
        <w:rPr>
          <w:rFonts w:ascii="Calibri" w:hAnsi="Calibri"/>
        </w:rPr>
        <w:t xml:space="preserve">příslušný doklad musí splňovat předepsané náležitosti účetního dokladu ve smyslu zákona o účetnictví pro subjekty, které nevedou účetnictví, ale daňovou evidenci, </w:t>
      </w:r>
    </w:p>
    <w:p w:rsidR="00B64A33" w:rsidRPr="008E6684" w:rsidRDefault="00B64A33" w:rsidP="00B64A33">
      <w:pPr>
        <w:numPr>
          <w:ilvl w:val="1"/>
          <w:numId w:val="9"/>
        </w:numPr>
        <w:jc w:val="both"/>
        <w:rPr>
          <w:rFonts w:ascii="Calibri" w:hAnsi="Calibri"/>
        </w:rPr>
      </w:pPr>
      <w:r w:rsidRPr="008E6684">
        <w:rPr>
          <w:rFonts w:ascii="Calibri" w:hAnsi="Calibri"/>
        </w:rPr>
        <w:t>předmětné doklady musí být správné, úplné, průkazné, srozumitelné a průběžně chronologicky vedené způsobem zaručujícím jejich trvalost</w:t>
      </w:r>
      <w:r>
        <w:rPr>
          <w:rFonts w:ascii="Calibri" w:hAnsi="Calibri"/>
        </w:rPr>
        <w:t>,</w:t>
      </w:r>
      <w:r w:rsidRPr="008E6684">
        <w:rPr>
          <w:rFonts w:ascii="Calibri" w:hAnsi="Calibri"/>
        </w:rPr>
        <w:t xml:space="preserve"> </w:t>
      </w:r>
    </w:p>
    <w:p w:rsidR="00B64A33" w:rsidRPr="008E6684" w:rsidRDefault="00B64A33" w:rsidP="00B64A33">
      <w:pPr>
        <w:numPr>
          <w:ilvl w:val="1"/>
          <w:numId w:val="9"/>
        </w:numPr>
        <w:jc w:val="both"/>
        <w:rPr>
          <w:rFonts w:ascii="Calibri" w:hAnsi="Calibri"/>
        </w:rPr>
      </w:pPr>
      <w:r w:rsidRPr="008E6684">
        <w:rPr>
          <w:rFonts w:ascii="Calibri" w:hAnsi="Calibri"/>
        </w:rPr>
        <w:t xml:space="preserve">při kontrole poskytne </w:t>
      </w:r>
      <w:r>
        <w:rPr>
          <w:rFonts w:ascii="Calibri" w:hAnsi="Calibri"/>
        </w:rPr>
        <w:t>p</w:t>
      </w:r>
      <w:r w:rsidRPr="008E6684">
        <w:rPr>
          <w:rFonts w:ascii="Calibri" w:hAnsi="Calibri"/>
        </w:rPr>
        <w:t>říjemce kontrolnímu orgánu na vyžádání daňovou evidenci v plném rozsahu</w:t>
      </w:r>
      <w:r>
        <w:rPr>
          <w:rFonts w:ascii="Calibri" w:hAnsi="Calibri"/>
        </w:rPr>
        <w:t>,</w:t>
      </w:r>
      <w:r w:rsidRPr="008E6684">
        <w:rPr>
          <w:rFonts w:ascii="Calibri" w:hAnsi="Calibri"/>
        </w:rPr>
        <w:t xml:space="preserve"> </w:t>
      </w:r>
    </w:p>
    <w:p w:rsidR="00B64A33" w:rsidRPr="008B3A9A" w:rsidRDefault="00B64A33" w:rsidP="008B3A9A">
      <w:pPr>
        <w:numPr>
          <w:ilvl w:val="1"/>
          <w:numId w:val="9"/>
        </w:numPr>
        <w:spacing w:after="120"/>
        <w:ind w:left="714" w:hanging="357"/>
        <w:jc w:val="both"/>
        <w:rPr>
          <w:rFonts w:ascii="Calibri" w:hAnsi="Calibri"/>
        </w:rPr>
      </w:pPr>
      <w:r w:rsidRPr="008E6684">
        <w:rPr>
          <w:rFonts w:ascii="Calibri" w:hAnsi="Calibri"/>
        </w:rPr>
        <w:t xml:space="preserve">uskutečněné příjmy a výdaje jsou analyticky vedeny ve vztahu k příslušnému projektu, ke kterému se vážou, tzn., že na dokladech musí být jednoznačně uvedeno, ke kterému projektu se vztahují. </w:t>
      </w:r>
    </w:p>
    <w:p w:rsidR="00B64A33" w:rsidRDefault="00B64A33" w:rsidP="00B64A33">
      <w:pPr>
        <w:numPr>
          <w:ilvl w:val="0"/>
          <w:numId w:val="1"/>
        </w:numPr>
        <w:spacing w:after="120"/>
        <w:ind w:hanging="357"/>
        <w:jc w:val="both"/>
        <w:rPr>
          <w:rFonts w:ascii="Calibri" w:hAnsi="Calibri"/>
          <w:szCs w:val="22"/>
        </w:rPr>
      </w:pPr>
      <w:r w:rsidRPr="00E531E8">
        <w:rPr>
          <w:rFonts w:ascii="Calibri" w:hAnsi="Calibri"/>
          <w:szCs w:val="22"/>
        </w:rPr>
        <w:t>Příjemce je povinen označit originály účetních dokladů, prokazujících použití dotace, číslem této smlouvy.</w:t>
      </w:r>
      <w:r>
        <w:rPr>
          <w:rFonts w:ascii="Calibri" w:hAnsi="Calibri"/>
          <w:szCs w:val="22"/>
        </w:rPr>
        <w:t xml:space="preserve"> </w:t>
      </w:r>
      <w:r>
        <w:rPr>
          <w:rFonts w:ascii="Calibri" w:hAnsi="Calibri"/>
          <w:szCs w:val="22"/>
        </w:rPr>
        <w:br/>
        <w:t xml:space="preserve">U účetních dokladů, které nejsou plně hrazeny z dotace, je třeba uvést výši částky hrazené z dotace. </w:t>
      </w:r>
    </w:p>
    <w:p w:rsidR="00B64A33" w:rsidRPr="00D918AD" w:rsidRDefault="00B64A33" w:rsidP="00B64A33">
      <w:pPr>
        <w:numPr>
          <w:ilvl w:val="0"/>
          <w:numId w:val="1"/>
        </w:numPr>
        <w:spacing w:after="120"/>
        <w:ind w:hanging="357"/>
        <w:jc w:val="both"/>
        <w:rPr>
          <w:rFonts w:ascii="Calibri" w:hAnsi="Calibri"/>
          <w:szCs w:val="22"/>
        </w:rPr>
      </w:pPr>
      <w:r w:rsidRPr="00D918AD">
        <w:rPr>
          <w:rFonts w:ascii="Calibri" w:hAnsi="Calibri"/>
          <w:szCs w:val="22"/>
        </w:rPr>
        <w:t xml:space="preserve">Příjemce je povinen uvádět </w:t>
      </w:r>
      <w:r w:rsidR="00CA17CB">
        <w:rPr>
          <w:rFonts w:ascii="Calibri" w:hAnsi="Calibri"/>
          <w:szCs w:val="22"/>
        </w:rPr>
        <w:t xml:space="preserve">město </w:t>
      </w:r>
      <w:r w:rsidR="00961797">
        <w:rPr>
          <w:rFonts w:ascii="Calibri" w:hAnsi="Calibri"/>
          <w:szCs w:val="22"/>
        </w:rPr>
        <w:t xml:space="preserve">Jindřichův Hradec </w:t>
      </w:r>
      <w:r w:rsidRPr="00D918AD">
        <w:rPr>
          <w:rFonts w:ascii="Calibri" w:hAnsi="Calibri"/>
          <w:szCs w:val="22"/>
        </w:rPr>
        <w:t>jako poskytovatele části finančních prostředků</w:t>
      </w:r>
      <w:r w:rsidR="00181DF6">
        <w:rPr>
          <w:rFonts w:ascii="Calibri" w:hAnsi="Calibri"/>
          <w:szCs w:val="22"/>
        </w:rPr>
        <w:t xml:space="preserve"> na projekt</w:t>
      </w:r>
      <w:r w:rsidRPr="00D918AD">
        <w:rPr>
          <w:rFonts w:ascii="Calibri" w:hAnsi="Calibri"/>
          <w:szCs w:val="22"/>
        </w:rPr>
        <w:t xml:space="preserve">. </w:t>
      </w:r>
    </w:p>
    <w:p w:rsidR="00B64A33" w:rsidRPr="00D918AD" w:rsidRDefault="00C5565D" w:rsidP="00B64A33">
      <w:pPr>
        <w:numPr>
          <w:ilvl w:val="0"/>
          <w:numId w:val="1"/>
        </w:numPr>
        <w:spacing w:after="120"/>
        <w:ind w:hanging="357"/>
        <w:jc w:val="both"/>
        <w:rPr>
          <w:rFonts w:ascii="Calibri" w:hAnsi="Calibri"/>
          <w:szCs w:val="22"/>
        </w:rPr>
      </w:pPr>
      <w:r>
        <w:rPr>
          <w:rFonts w:ascii="Calibri" w:hAnsi="Calibri"/>
        </w:rPr>
        <w:t>P</w:t>
      </w:r>
      <w:r w:rsidR="008868B7">
        <w:rPr>
          <w:rFonts w:ascii="Calibri" w:hAnsi="Calibri"/>
        </w:rPr>
        <w:t>říjemce</w:t>
      </w:r>
      <w:r w:rsidR="004B236F">
        <w:rPr>
          <w:rFonts w:ascii="Calibri" w:hAnsi="Calibri"/>
        </w:rPr>
        <w:t xml:space="preserve"> je</w:t>
      </w:r>
      <w:r w:rsidR="008868B7">
        <w:rPr>
          <w:rFonts w:ascii="Calibri" w:hAnsi="Calibri"/>
        </w:rPr>
        <w:t xml:space="preserve"> povinen předat vyúčtování do 31. prosince </w:t>
      </w:r>
      <w:r w:rsidR="00B64A33">
        <w:rPr>
          <w:rFonts w:ascii="Calibri" w:hAnsi="Calibri"/>
        </w:rPr>
        <w:t xml:space="preserve">roku, ve kterém byla realizace projektu ukončena. Ze zcela výjimečných, objektivních a ze strany příjemce řádně obhájených důvodů je možné </w:t>
      </w:r>
      <w:r w:rsidR="008868B7">
        <w:rPr>
          <w:rFonts w:ascii="Calibri" w:hAnsi="Calibri"/>
        </w:rPr>
        <w:t xml:space="preserve">prodloužit </w:t>
      </w:r>
      <w:r w:rsidR="00612FB3">
        <w:rPr>
          <w:rFonts w:ascii="Calibri" w:hAnsi="Calibri"/>
        </w:rPr>
        <w:t xml:space="preserve">lhůtu pro </w:t>
      </w:r>
      <w:r w:rsidR="00B64A33">
        <w:rPr>
          <w:rFonts w:ascii="Calibri" w:hAnsi="Calibri"/>
        </w:rPr>
        <w:t xml:space="preserve">vyúčtování </w:t>
      </w:r>
      <w:r w:rsidR="00D0791A">
        <w:rPr>
          <w:rFonts w:ascii="Calibri" w:hAnsi="Calibri"/>
        </w:rPr>
        <w:t>d</w:t>
      </w:r>
      <w:r w:rsidR="00C31A46">
        <w:rPr>
          <w:rFonts w:ascii="Calibri" w:hAnsi="Calibri"/>
        </w:rPr>
        <w:t xml:space="preserve">o 3. </w:t>
      </w:r>
      <w:r w:rsidR="00D0791A">
        <w:rPr>
          <w:rFonts w:ascii="Calibri" w:hAnsi="Calibri"/>
        </w:rPr>
        <w:t>l</w:t>
      </w:r>
      <w:r w:rsidR="00C31A46">
        <w:rPr>
          <w:rFonts w:ascii="Calibri" w:hAnsi="Calibri"/>
        </w:rPr>
        <w:t xml:space="preserve">edna roku následujícího po roce, ve kterém byla ukončena realizace projektu. </w:t>
      </w:r>
      <w:r w:rsidR="00B64A33" w:rsidRPr="001337FB">
        <w:rPr>
          <w:rFonts w:ascii="Calibri" w:hAnsi="Calibri"/>
        </w:rPr>
        <w:t>Připadne-li poslední den lhůty na sobotu, neděli nebo svátek, je posledním dnem lhůty nejblíže následující pracovní den</w:t>
      </w:r>
      <w:r w:rsidR="00B64A33">
        <w:rPr>
          <w:rFonts w:ascii="Calibri" w:hAnsi="Calibri"/>
        </w:rPr>
        <w:t xml:space="preserve">. </w:t>
      </w:r>
      <w:r w:rsidR="00B64A33" w:rsidRPr="005423EB">
        <w:rPr>
          <w:rFonts w:ascii="Calibri" w:hAnsi="Calibri"/>
        </w:rPr>
        <w:t>V případě, že ke dni ukončení realizace projektu nebyly ještě na účet příjemce připsány finanční prostředky od poskytovatele, je příjemce povinen předložit vyúčtování nejpozději do 30 dnů od připsání finančních prostředků na jeho účet.</w:t>
      </w:r>
      <w:r w:rsidR="00D1788A">
        <w:rPr>
          <w:rFonts w:ascii="Calibri" w:hAnsi="Calibri"/>
        </w:rPr>
        <w:t xml:space="preserve"> </w:t>
      </w:r>
    </w:p>
    <w:p w:rsidR="00B64A33" w:rsidRPr="005423EB" w:rsidRDefault="00B64A33" w:rsidP="00B64A33">
      <w:pPr>
        <w:numPr>
          <w:ilvl w:val="0"/>
          <w:numId w:val="1"/>
        </w:numPr>
        <w:spacing w:after="120"/>
        <w:ind w:hanging="357"/>
        <w:jc w:val="both"/>
        <w:rPr>
          <w:rFonts w:ascii="Calibri" w:hAnsi="Calibri"/>
          <w:szCs w:val="22"/>
        </w:rPr>
      </w:pPr>
      <w:r>
        <w:rPr>
          <w:rFonts w:ascii="Calibri" w:hAnsi="Calibri"/>
          <w:szCs w:val="22"/>
        </w:rPr>
        <w:t>Za předání v</w:t>
      </w:r>
      <w:r w:rsidRPr="00136E74">
        <w:rPr>
          <w:rFonts w:ascii="Calibri" w:hAnsi="Calibri"/>
          <w:szCs w:val="22"/>
        </w:rPr>
        <w:t>yúčtování</w:t>
      </w:r>
      <w:r>
        <w:rPr>
          <w:rFonts w:ascii="Calibri" w:hAnsi="Calibri"/>
          <w:szCs w:val="22"/>
        </w:rPr>
        <w:t xml:space="preserve"> dotace je považováno</w:t>
      </w:r>
      <w:r w:rsidRPr="00136E74">
        <w:rPr>
          <w:rFonts w:ascii="Calibri" w:hAnsi="Calibri"/>
          <w:szCs w:val="22"/>
        </w:rPr>
        <w:t xml:space="preserve"> </w:t>
      </w:r>
      <w:r>
        <w:rPr>
          <w:rFonts w:ascii="Calibri" w:hAnsi="Calibri"/>
          <w:szCs w:val="22"/>
        </w:rPr>
        <w:t>jeho podání</w:t>
      </w:r>
      <w:r w:rsidRPr="00136E74">
        <w:rPr>
          <w:rFonts w:ascii="Calibri" w:hAnsi="Calibri"/>
          <w:szCs w:val="22"/>
        </w:rPr>
        <w:t xml:space="preserve"> v </w:t>
      </w:r>
      <w:r>
        <w:rPr>
          <w:rFonts w:ascii="Calibri" w:hAnsi="Calibri"/>
          <w:szCs w:val="22"/>
        </w:rPr>
        <w:t>listinné</w:t>
      </w:r>
      <w:r w:rsidRPr="00136E74">
        <w:rPr>
          <w:rFonts w:ascii="Calibri" w:hAnsi="Calibri"/>
          <w:szCs w:val="22"/>
        </w:rPr>
        <w:t xml:space="preserve"> podobě, podepsané statutárním zástupcem příjemce</w:t>
      </w:r>
      <w:r>
        <w:rPr>
          <w:rFonts w:ascii="Calibri" w:hAnsi="Calibri"/>
          <w:szCs w:val="22"/>
        </w:rPr>
        <w:t>, k poskytovateli poštovních služeb nebo na podatelnu poskytovatele</w:t>
      </w:r>
      <w:r w:rsidRPr="00136E74">
        <w:rPr>
          <w:rFonts w:ascii="Calibri" w:hAnsi="Calibri"/>
          <w:szCs w:val="22"/>
        </w:rPr>
        <w:t>.</w:t>
      </w:r>
      <w:r>
        <w:rPr>
          <w:rFonts w:ascii="Calibri" w:hAnsi="Calibri"/>
          <w:szCs w:val="22"/>
        </w:rPr>
        <w:t xml:space="preserve"> Za den předání vyúčtování dotace se považuje den, kdy bylo vyúčtování dotace předáno poskytovateli poštovních služeb nebo na podatelnu poskytovatele. </w:t>
      </w:r>
      <w:r w:rsidRPr="00136E74">
        <w:rPr>
          <w:rFonts w:ascii="Calibri" w:hAnsi="Calibri"/>
          <w:szCs w:val="22"/>
        </w:rPr>
        <w:t xml:space="preserve"> </w:t>
      </w:r>
    </w:p>
    <w:p w:rsidR="00B64A33" w:rsidRPr="00BF79FD" w:rsidRDefault="00B64A33" w:rsidP="00B64A33">
      <w:pPr>
        <w:numPr>
          <w:ilvl w:val="0"/>
          <w:numId w:val="1"/>
        </w:numPr>
        <w:spacing w:after="120"/>
        <w:ind w:hanging="357"/>
        <w:jc w:val="both"/>
        <w:rPr>
          <w:rFonts w:ascii="Calibri" w:hAnsi="Calibri"/>
          <w:szCs w:val="22"/>
        </w:rPr>
      </w:pPr>
      <w:r w:rsidRPr="00BF79FD">
        <w:rPr>
          <w:rFonts w:ascii="Calibri" w:hAnsi="Calibri"/>
        </w:rPr>
        <w:t xml:space="preserve">Příjemce je povinen nejpozději k termínu předložení finančního vyúčtování dotace vrátit případnou nepoužitou část dotace převodem na účet poskytovatele </w:t>
      </w:r>
      <w:r w:rsidR="008B3A9A">
        <w:rPr>
          <w:rFonts w:ascii="Calibri" w:hAnsi="Calibri"/>
        </w:rPr>
        <w:t xml:space="preserve">č. </w:t>
      </w:r>
      <w:r w:rsidR="008B3A9A" w:rsidRPr="00961797">
        <w:rPr>
          <w:rFonts w:ascii="Calibri" w:hAnsi="Calibri"/>
        </w:rPr>
        <w:t>27-0603140379/0800</w:t>
      </w:r>
      <w:r w:rsidRPr="00BF79FD">
        <w:rPr>
          <w:rFonts w:ascii="Calibri" w:hAnsi="Calibri"/>
        </w:rPr>
        <w:t xml:space="preserve">. </w:t>
      </w:r>
      <w:r>
        <w:rPr>
          <w:rFonts w:ascii="Calibri" w:hAnsi="Calibri"/>
        </w:rPr>
        <w:t xml:space="preserve">Zároveň je povinen zaslat poskytovateli sdělení o vrácení dotace podle předchozí věty. </w:t>
      </w:r>
    </w:p>
    <w:p w:rsidR="00B64A33" w:rsidRDefault="00B64A33" w:rsidP="00B64A33">
      <w:pPr>
        <w:numPr>
          <w:ilvl w:val="0"/>
          <w:numId w:val="1"/>
        </w:numPr>
        <w:spacing w:after="120"/>
        <w:ind w:hanging="357"/>
        <w:jc w:val="both"/>
        <w:rPr>
          <w:rFonts w:ascii="Calibri" w:hAnsi="Calibri"/>
          <w:szCs w:val="22"/>
        </w:rPr>
      </w:pPr>
      <w:r w:rsidRPr="00E531E8">
        <w:rPr>
          <w:rFonts w:ascii="Calibri" w:hAnsi="Calibri"/>
          <w:szCs w:val="22"/>
        </w:rPr>
        <w:t xml:space="preserve">Vyúčtování musí obsahovat popis realizace projektu a vyhodnocení dopadu projektu na </w:t>
      </w:r>
      <w:r w:rsidR="00961797">
        <w:rPr>
          <w:rFonts w:ascii="Calibri" w:hAnsi="Calibri"/>
          <w:szCs w:val="22"/>
        </w:rPr>
        <w:t>Jihočeský</w:t>
      </w:r>
      <w:r w:rsidR="004A3CC2">
        <w:rPr>
          <w:rFonts w:ascii="Calibri" w:hAnsi="Calibri"/>
          <w:szCs w:val="22"/>
        </w:rPr>
        <w:t xml:space="preserve"> </w:t>
      </w:r>
      <w:r w:rsidRPr="00E531E8">
        <w:rPr>
          <w:rFonts w:ascii="Calibri" w:hAnsi="Calibri"/>
          <w:szCs w:val="22"/>
        </w:rPr>
        <w:t>kraj včetně kvalitativních a kvantitativních výstupů projektu</w:t>
      </w:r>
      <w:r>
        <w:rPr>
          <w:rFonts w:ascii="Calibri" w:hAnsi="Calibri"/>
          <w:szCs w:val="22"/>
        </w:rPr>
        <w:t xml:space="preserve">, </w:t>
      </w:r>
      <w:r w:rsidRPr="00E531E8">
        <w:rPr>
          <w:rFonts w:ascii="Calibri" w:hAnsi="Calibri"/>
          <w:szCs w:val="22"/>
        </w:rPr>
        <w:t xml:space="preserve">seznam účetních dokladů </w:t>
      </w:r>
      <w:r>
        <w:rPr>
          <w:rFonts w:ascii="Calibri" w:hAnsi="Calibri"/>
          <w:szCs w:val="22"/>
        </w:rPr>
        <w:t xml:space="preserve">prokazujících výdaje vynaložené na realizaci projektu </w:t>
      </w:r>
      <w:r w:rsidR="00B624E9">
        <w:rPr>
          <w:rFonts w:ascii="Calibri" w:hAnsi="Calibri"/>
          <w:szCs w:val="22"/>
        </w:rPr>
        <w:t>[</w:t>
      </w:r>
      <w:r w:rsidRPr="00E531E8">
        <w:rPr>
          <w:rFonts w:ascii="Calibri" w:hAnsi="Calibri"/>
          <w:szCs w:val="22"/>
        </w:rPr>
        <w:t xml:space="preserve">číslo účetního dokladu, </w:t>
      </w:r>
      <w:r>
        <w:rPr>
          <w:rFonts w:ascii="Calibri" w:hAnsi="Calibri"/>
          <w:szCs w:val="22"/>
        </w:rPr>
        <w:t xml:space="preserve">u účetních dokladů na výdaje hrazené z poskytnuté dotace i </w:t>
      </w:r>
      <w:r w:rsidRPr="00E531E8">
        <w:rPr>
          <w:rFonts w:ascii="Calibri" w:hAnsi="Calibri"/>
          <w:szCs w:val="22"/>
        </w:rPr>
        <w:t>účel použití dotace</w:t>
      </w:r>
      <w:r w:rsidR="00B51747">
        <w:rPr>
          <w:rFonts w:ascii="Calibri" w:hAnsi="Calibri"/>
          <w:szCs w:val="22"/>
        </w:rPr>
        <w:t xml:space="preserve"> a výši dotace použité na daný výdaj</w:t>
      </w:r>
      <w:r w:rsidRPr="00E531E8">
        <w:rPr>
          <w:rFonts w:ascii="Calibri" w:hAnsi="Calibri"/>
          <w:szCs w:val="22"/>
        </w:rPr>
        <w:t xml:space="preserve">, datum </w:t>
      </w:r>
      <w:r w:rsidR="00B51747">
        <w:rPr>
          <w:rFonts w:ascii="Calibri" w:hAnsi="Calibri"/>
          <w:szCs w:val="22"/>
        </w:rPr>
        <w:t>výdaje (v případě daňových dokladů vyst</w:t>
      </w:r>
      <w:r w:rsidR="002D004B">
        <w:rPr>
          <w:rFonts w:ascii="Calibri" w:hAnsi="Calibri"/>
          <w:szCs w:val="22"/>
        </w:rPr>
        <w:t>avených v souladu s</w:t>
      </w:r>
      <w:r w:rsidR="00B624E9">
        <w:rPr>
          <w:rFonts w:ascii="Calibri" w:hAnsi="Calibri"/>
          <w:szCs w:val="22"/>
        </w:rPr>
        <w:t>e</w:t>
      </w:r>
      <w:r w:rsidR="00B51747">
        <w:rPr>
          <w:rFonts w:ascii="Calibri" w:hAnsi="Calibri"/>
          <w:szCs w:val="22"/>
        </w:rPr>
        <w:t xml:space="preserve"> zákon</w:t>
      </w:r>
      <w:r w:rsidR="00B624E9">
        <w:rPr>
          <w:rFonts w:ascii="Calibri" w:hAnsi="Calibri"/>
          <w:szCs w:val="22"/>
        </w:rPr>
        <w:t>em</w:t>
      </w:r>
      <w:r w:rsidR="00B51747">
        <w:rPr>
          <w:rFonts w:ascii="Calibri" w:hAnsi="Calibri"/>
          <w:szCs w:val="22"/>
        </w:rPr>
        <w:t xml:space="preserve"> o DPH i datum </w:t>
      </w:r>
      <w:r w:rsidR="00B624E9">
        <w:rPr>
          <w:rFonts w:ascii="Calibri" w:hAnsi="Calibri"/>
          <w:szCs w:val="22"/>
        </w:rPr>
        <w:t>uskutečnění plnění)</w:t>
      </w:r>
      <w:r w:rsidRPr="00E531E8">
        <w:rPr>
          <w:rFonts w:ascii="Calibri" w:hAnsi="Calibri"/>
          <w:szCs w:val="22"/>
        </w:rPr>
        <w:t>, částka v Kč</w:t>
      </w:r>
      <w:r w:rsidR="00B624E9">
        <w:rPr>
          <w:rFonts w:ascii="Calibri" w:hAnsi="Calibri"/>
          <w:szCs w:val="22"/>
        </w:rPr>
        <w:t>]</w:t>
      </w:r>
      <w:r w:rsidR="00C5565D">
        <w:rPr>
          <w:rFonts w:ascii="Calibri" w:hAnsi="Calibri"/>
          <w:szCs w:val="22"/>
        </w:rPr>
        <w:t xml:space="preserve">, </w:t>
      </w:r>
      <w:r w:rsidRPr="00E531E8">
        <w:rPr>
          <w:rFonts w:ascii="Calibri" w:hAnsi="Calibri"/>
          <w:szCs w:val="22"/>
        </w:rPr>
        <w:t xml:space="preserve">a doklad o naplnění publicity </w:t>
      </w:r>
      <w:r>
        <w:rPr>
          <w:rFonts w:ascii="Calibri" w:hAnsi="Calibri"/>
          <w:szCs w:val="22"/>
        </w:rPr>
        <w:t>po</w:t>
      </w:r>
      <w:r w:rsidRPr="00E531E8">
        <w:rPr>
          <w:rFonts w:ascii="Calibri" w:hAnsi="Calibri"/>
          <w:szCs w:val="22"/>
        </w:rPr>
        <w:t>dle článku III</w:t>
      </w:r>
      <w:r>
        <w:rPr>
          <w:rFonts w:ascii="Calibri" w:hAnsi="Calibri"/>
          <w:szCs w:val="22"/>
        </w:rPr>
        <w:t>.</w:t>
      </w:r>
      <w:r w:rsidRPr="00E531E8">
        <w:rPr>
          <w:rFonts w:ascii="Calibri" w:hAnsi="Calibri"/>
          <w:szCs w:val="22"/>
        </w:rPr>
        <w:t xml:space="preserve"> </w:t>
      </w:r>
      <w:r w:rsidR="0054672C">
        <w:rPr>
          <w:rFonts w:ascii="Calibri" w:hAnsi="Calibri"/>
          <w:szCs w:val="22"/>
        </w:rPr>
        <w:t>odst.</w:t>
      </w:r>
      <w:r w:rsidRPr="00E531E8">
        <w:rPr>
          <w:rFonts w:ascii="Calibri" w:hAnsi="Calibri"/>
          <w:szCs w:val="22"/>
        </w:rPr>
        <w:t> 1</w:t>
      </w:r>
      <w:r w:rsidR="00B3717A">
        <w:rPr>
          <w:rFonts w:ascii="Calibri" w:hAnsi="Calibri"/>
          <w:szCs w:val="22"/>
        </w:rPr>
        <w:t>1</w:t>
      </w:r>
      <w:r>
        <w:rPr>
          <w:rFonts w:ascii="Calibri" w:hAnsi="Calibri"/>
          <w:szCs w:val="22"/>
        </w:rPr>
        <w:t>.</w:t>
      </w:r>
      <w:r w:rsidR="00C5565D">
        <w:rPr>
          <w:rFonts w:ascii="Calibri" w:hAnsi="Calibri"/>
          <w:szCs w:val="22"/>
        </w:rPr>
        <w:t xml:space="preserve"> této smlouvy.</w:t>
      </w:r>
      <w:r w:rsidR="0012220B">
        <w:rPr>
          <w:rFonts w:ascii="Calibri" w:hAnsi="Calibri"/>
          <w:szCs w:val="22"/>
        </w:rPr>
        <w:t xml:space="preserve"> </w:t>
      </w:r>
      <w:r w:rsidRPr="00A16E3D">
        <w:rPr>
          <w:rFonts w:ascii="Calibri" w:hAnsi="Calibri"/>
          <w:szCs w:val="22"/>
        </w:rPr>
        <w:t>Příjemce je povinen archivovat veškeré dokumenty související s poskytnutou dotací po dobu deseti let</w:t>
      </w:r>
      <w:r>
        <w:rPr>
          <w:rFonts w:ascii="Calibri" w:hAnsi="Calibri"/>
          <w:szCs w:val="22"/>
        </w:rPr>
        <w:t xml:space="preserve"> počínajících koncem účetního období, ve kterém byla ukončena realizace předmětného projektu</w:t>
      </w:r>
      <w:r w:rsidRPr="00A16E3D">
        <w:rPr>
          <w:rFonts w:ascii="Calibri" w:hAnsi="Calibri"/>
          <w:szCs w:val="22"/>
        </w:rPr>
        <w:t>.</w:t>
      </w:r>
      <w:r w:rsidR="00AB506C">
        <w:rPr>
          <w:rFonts w:ascii="Calibri" w:hAnsi="Calibri"/>
          <w:szCs w:val="22"/>
        </w:rPr>
        <w:t xml:space="preserve"> </w:t>
      </w:r>
    </w:p>
    <w:p w:rsidR="00B64A33" w:rsidRPr="009C3DC4" w:rsidRDefault="00D1788A" w:rsidP="009C3DC4">
      <w:pPr>
        <w:numPr>
          <w:ilvl w:val="0"/>
          <w:numId w:val="1"/>
        </w:numPr>
        <w:spacing w:after="120"/>
        <w:ind w:hanging="357"/>
        <w:jc w:val="both"/>
        <w:rPr>
          <w:rFonts w:ascii="Calibri" w:hAnsi="Calibri"/>
          <w:szCs w:val="22"/>
        </w:rPr>
      </w:pPr>
      <w:r w:rsidRPr="00F63D0E">
        <w:rPr>
          <w:rFonts w:ascii="Calibri" w:hAnsi="Calibri"/>
          <w:szCs w:val="22"/>
        </w:rPr>
        <w:t xml:space="preserve">Příjemce je povinen předat poskytovateli v souvislosti s ukončením projektu </w:t>
      </w:r>
      <w:r w:rsidR="00961797">
        <w:rPr>
          <w:rFonts w:ascii="Calibri" w:hAnsi="Calibri"/>
          <w:szCs w:val="22"/>
        </w:rPr>
        <w:t>1</w:t>
      </w:r>
      <w:r w:rsidR="00F90531">
        <w:rPr>
          <w:rFonts w:ascii="Calibri" w:hAnsi="Calibri"/>
          <w:szCs w:val="22"/>
        </w:rPr>
        <w:t>50</w:t>
      </w:r>
      <w:r w:rsidRPr="00F63D0E">
        <w:rPr>
          <w:rFonts w:ascii="Calibri" w:hAnsi="Calibri"/>
          <w:szCs w:val="22"/>
        </w:rPr>
        <w:t xml:space="preserve"> </w:t>
      </w:r>
      <w:r w:rsidR="00F63D0E">
        <w:rPr>
          <w:rFonts w:ascii="Calibri" w:hAnsi="Calibri"/>
          <w:szCs w:val="22"/>
        </w:rPr>
        <w:t xml:space="preserve">kusů </w:t>
      </w:r>
      <w:r w:rsidRPr="00F63D0E">
        <w:rPr>
          <w:rFonts w:ascii="Calibri" w:hAnsi="Calibri"/>
          <w:szCs w:val="22"/>
        </w:rPr>
        <w:t xml:space="preserve">výtisků publikace, které </w:t>
      </w:r>
      <w:r w:rsidR="004B236F" w:rsidRPr="00F90531">
        <w:rPr>
          <w:rFonts w:ascii="Calibri" w:hAnsi="Calibri"/>
          <w:szCs w:val="22"/>
        </w:rPr>
        <w:t xml:space="preserve">poskytovatel </w:t>
      </w:r>
      <w:r w:rsidRPr="00F63D0E">
        <w:rPr>
          <w:rFonts w:ascii="Calibri" w:hAnsi="Calibri"/>
          <w:szCs w:val="22"/>
        </w:rPr>
        <w:t>využije na reprezentativní účely.</w:t>
      </w:r>
      <w:r w:rsidR="00E11E31" w:rsidRPr="00F63D0E">
        <w:rPr>
          <w:rFonts w:ascii="Calibri" w:hAnsi="Calibri"/>
          <w:szCs w:val="22"/>
        </w:rPr>
        <w:t xml:space="preserve"> O předání bude sepsán předávací protokol.</w:t>
      </w:r>
      <w:r w:rsidR="00B64A33" w:rsidRPr="009C3DC4">
        <w:rPr>
          <w:rFonts w:ascii="Calibri" w:hAnsi="Calibri"/>
          <w:szCs w:val="22"/>
        </w:rPr>
        <w:t xml:space="preserve"> </w:t>
      </w:r>
    </w:p>
    <w:p w:rsidR="00B64A33" w:rsidRPr="00D06686" w:rsidRDefault="00B64A33" w:rsidP="00B64A33">
      <w:pPr>
        <w:numPr>
          <w:ilvl w:val="0"/>
          <w:numId w:val="1"/>
        </w:numPr>
        <w:jc w:val="both"/>
        <w:rPr>
          <w:rFonts w:ascii="Calibri" w:hAnsi="Calibri"/>
          <w:szCs w:val="22"/>
        </w:rPr>
      </w:pPr>
      <w:r w:rsidRPr="00BF79FD">
        <w:rPr>
          <w:rFonts w:ascii="Calibri" w:hAnsi="Calibri"/>
          <w:szCs w:val="22"/>
        </w:rPr>
        <w:t>Poskytovatel má právo využít případné informace a výstupy reali</w:t>
      </w:r>
      <w:r w:rsidRPr="00E531E8">
        <w:rPr>
          <w:rFonts w:ascii="Calibri" w:hAnsi="Calibri"/>
          <w:szCs w:val="22"/>
        </w:rPr>
        <w:t xml:space="preserve">zovaného </w:t>
      </w:r>
      <w:r>
        <w:rPr>
          <w:rFonts w:ascii="Calibri" w:hAnsi="Calibri"/>
          <w:szCs w:val="22"/>
        </w:rPr>
        <w:t>p</w:t>
      </w:r>
      <w:r w:rsidRPr="00E531E8">
        <w:rPr>
          <w:rFonts w:ascii="Calibri" w:hAnsi="Calibri"/>
          <w:szCs w:val="22"/>
        </w:rPr>
        <w:t>rojektu včetně digitální a tištěné prezentace k případnému poskytnutí třetí osobě</w:t>
      </w:r>
      <w:r>
        <w:rPr>
          <w:rFonts w:ascii="Calibri" w:hAnsi="Calibri"/>
          <w:szCs w:val="22"/>
        </w:rPr>
        <w:t>, a to bez souhlasu příjemce</w:t>
      </w:r>
      <w:r w:rsidRPr="00E531E8">
        <w:rPr>
          <w:rFonts w:ascii="Calibri" w:hAnsi="Calibri"/>
          <w:szCs w:val="22"/>
        </w:rPr>
        <w:t xml:space="preserve">. Příjemce je povinen toto právo </w:t>
      </w:r>
      <w:r>
        <w:rPr>
          <w:rFonts w:ascii="Calibri" w:hAnsi="Calibri"/>
          <w:szCs w:val="22"/>
        </w:rPr>
        <w:t>p</w:t>
      </w:r>
      <w:r w:rsidRPr="00E531E8">
        <w:rPr>
          <w:rFonts w:ascii="Calibri" w:hAnsi="Calibri"/>
          <w:szCs w:val="22"/>
        </w:rPr>
        <w:t>oskytovatele strpět a zavazuje se mu poskytnout k jeho realizaci veškerou součinnost</w:t>
      </w:r>
      <w:r w:rsidRPr="00D06686">
        <w:rPr>
          <w:rFonts w:ascii="Calibri" w:hAnsi="Calibri"/>
          <w:szCs w:val="22"/>
        </w:rPr>
        <w:t>.</w:t>
      </w:r>
    </w:p>
    <w:p w:rsidR="00B64A33" w:rsidRPr="00D06686" w:rsidRDefault="00B64A33" w:rsidP="00B64A33">
      <w:pPr>
        <w:jc w:val="both"/>
        <w:rPr>
          <w:rFonts w:ascii="Calibri" w:hAnsi="Calibri"/>
          <w:szCs w:val="22"/>
        </w:rPr>
      </w:pPr>
    </w:p>
    <w:p w:rsidR="00B64A33" w:rsidRDefault="00B64A33" w:rsidP="00B64A33">
      <w:pPr>
        <w:numPr>
          <w:ilvl w:val="0"/>
          <w:numId w:val="1"/>
        </w:numPr>
        <w:jc w:val="both"/>
        <w:rPr>
          <w:rFonts w:ascii="Calibri" w:hAnsi="Calibri"/>
          <w:szCs w:val="22"/>
        </w:rPr>
      </w:pPr>
      <w:r w:rsidRPr="00D06686">
        <w:rPr>
          <w:rFonts w:ascii="Calibri" w:hAnsi="Calibri"/>
          <w:szCs w:val="22"/>
        </w:rPr>
        <w:t>Příjemce se zavazuje spolupracovat s kontrolami zejména ze stran: poskytovatele, třetích osob pověřen</w:t>
      </w:r>
      <w:r w:rsidR="002D004B">
        <w:rPr>
          <w:rFonts w:ascii="Calibri" w:hAnsi="Calibri"/>
          <w:szCs w:val="22"/>
        </w:rPr>
        <w:t>ých poskytovatelem, věcně příslušného</w:t>
      </w:r>
      <w:r w:rsidRPr="00D06686">
        <w:rPr>
          <w:rFonts w:ascii="Calibri" w:hAnsi="Calibri"/>
          <w:szCs w:val="22"/>
        </w:rPr>
        <w:t xml:space="preserve"> ministerstva, Evropské komise, Evropského účetního dvora a Nejvyššího kontrolního</w:t>
      </w:r>
      <w:r w:rsidRPr="00E531E8">
        <w:rPr>
          <w:rFonts w:ascii="Calibri" w:hAnsi="Calibri"/>
          <w:szCs w:val="22"/>
        </w:rPr>
        <w:t xml:space="preserve"> úřadu ČR (dále </w:t>
      </w:r>
      <w:r>
        <w:rPr>
          <w:rFonts w:ascii="Calibri" w:hAnsi="Calibri"/>
          <w:szCs w:val="22"/>
        </w:rPr>
        <w:t>jen</w:t>
      </w:r>
      <w:r w:rsidRPr="00E531E8">
        <w:rPr>
          <w:rFonts w:ascii="Calibri" w:hAnsi="Calibri"/>
          <w:szCs w:val="22"/>
        </w:rPr>
        <w:t xml:space="preserve"> „kontrolní orgány“). Těmto subjektům je povinen zejména poskytovat informace, </w:t>
      </w:r>
      <w:r w:rsidRPr="00E531E8">
        <w:rPr>
          <w:rFonts w:ascii="Calibri" w:hAnsi="Calibri"/>
          <w:szCs w:val="22"/>
        </w:rPr>
        <w:lastRenderedPageBreak/>
        <w:t xml:space="preserve">zpřístupnit veškerou dokumentaci k </w:t>
      </w:r>
      <w:r>
        <w:rPr>
          <w:rFonts w:ascii="Calibri" w:hAnsi="Calibri"/>
          <w:szCs w:val="22"/>
        </w:rPr>
        <w:t>p</w:t>
      </w:r>
      <w:r w:rsidRPr="00E531E8">
        <w:rPr>
          <w:rFonts w:ascii="Calibri" w:hAnsi="Calibri"/>
          <w:szCs w:val="22"/>
        </w:rPr>
        <w:t xml:space="preserve">rojektu, včetně účetních dokladů, prokazovat sporné skutečnosti, umožnit přístup do prostor, ve kterých je </w:t>
      </w:r>
      <w:r>
        <w:rPr>
          <w:rFonts w:ascii="Calibri" w:hAnsi="Calibri"/>
          <w:szCs w:val="22"/>
        </w:rPr>
        <w:t>p</w:t>
      </w:r>
      <w:r w:rsidRPr="00E531E8">
        <w:rPr>
          <w:rFonts w:ascii="Calibri" w:hAnsi="Calibri"/>
          <w:szCs w:val="22"/>
        </w:rPr>
        <w:t xml:space="preserve">rojekt realizován, popř. dalších souvisejících prostor, a na žádost </w:t>
      </w:r>
      <w:r>
        <w:rPr>
          <w:rFonts w:ascii="Calibri" w:hAnsi="Calibri"/>
          <w:szCs w:val="22"/>
        </w:rPr>
        <w:t>p</w:t>
      </w:r>
      <w:r w:rsidRPr="00E531E8">
        <w:rPr>
          <w:rFonts w:ascii="Calibri" w:hAnsi="Calibri"/>
          <w:szCs w:val="22"/>
        </w:rPr>
        <w:t xml:space="preserve">oskytovatele se účastnit případných jednání a řízení, a to v termínu a na místě </w:t>
      </w:r>
      <w:r>
        <w:rPr>
          <w:rFonts w:ascii="Calibri" w:hAnsi="Calibri"/>
          <w:szCs w:val="22"/>
        </w:rPr>
        <w:t>p</w:t>
      </w:r>
      <w:r w:rsidRPr="00E531E8">
        <w:rPr>
          <w:rFonts w:ascii="Calibri" w:hAnsi="Calibri"/>
          <w:szCs w:val="22"/>
        </w:rPr>
        <w:t xml:space="preserve">oskytovatelem určeném. O průběhu a výsledcích kontroly a případných </w:t>
      </w:r>
      <w:r>
        <w:rPr>
          <w:rFonts w:ascii="Calibri" w:hAnsi="Calibri"/>
          <w:szCs w:val="22"/>
        </w:rPr>
        <w:t>p</w:t>
      </w:r>
      <w:r w:rsidRPr="00E531E8">
        <w:rPr>
          <w:rFonts w:ascii="Calibri" w:hAnsi="Calibri"/>
          <w:szCs w:val="22"/>
        </w:rPr>
        <w:t xml:space="preserve">říjemci uložených nápravných opatřeních ze strany některého kontrolního orgánu odlišného od </w:t>
      </w:r>
      <w:r>
        <w:rPr>
          <w:rFonts w:ascii="Calibri" w:hAnsi="Calibri"/>
          <w:szCs w:val="22"/>
        </w:rPr>
        <w:t>p</w:t>
      </w:r>
      <w:r w:rsidRPr="00E531E8">
        <w:rPr>
          <w:rFonts w:ascii="Calibri" w:hAnsi="Calibri"/>
          <w:szCs w:val="22"/>
        </w:rPr>
        <w:t>oskytovatele</w:t>
      </w:r>
      <w:r>
        <w:rPr>
          <w:rFonts w:ascii="Calibri" w:hAnsi="Calibri"/>
          <w:szCs w:val="22"/>
        </w:rPr>
        <w:t>,</w:t>
      </w:r>
      <w:r w:rsidRPr="00E531E8">
        <w:rPr>
          <w:rFonts w:ascii="Calibri" w:hAnsi="Calibri"/>
          <w:szCs w:val="22"/>
        </w:rPr>
        <w:t xml:space="preserve"> se </w:t>
      </w:r>
      <w:r>
        <w:rPr>
          <w:rFonts w:ascii="Calibri" w:hAnsi="Calibri"/>
          <w:szCs w:val="22"/>
        </w:rPr>
        <w:t>p</w:t>
      </w:r>
      <w:r w:rsidRPr="00E531E8">
        <w:rPr>
          <w:rFonts w:ascii="Calibri" w:hAnsi="Calibri"/>
          <w:szCs w:val="22"/>
        </w:rPr>
        <w:t xml:space="preserve">říjemce zavazuje ve lhůtě deseti pracovních dnů od této kontroly resp. uložení nápravného opatření </w:t>
      </w:r>
      <w:r>
        <w:rPr>
          <w:rFonts w:ascii="Calibri" w:hAnsi="Calibri"/>
          <w:szCs w:val="22"/>
        </w:rPr>
        <w:t>p</w:t>
      </w:r>
      <w:r w:rsidRPr="00E531E8">
        <w:rPr>
          <w:rFonts w:ascii="Calibri" w:hAnsi="Calibri"/>
          <w:szCs w:val="22"/>
        </w:rPr>
        <w:t xml:space="preserve">oskytovatele písemně informovat. Příjemce je povinen realizovat nápravná opatření, která mu byla uložena kontrolními orgány na základě  prováděných kontrol, a to v požadovaném termínu, rozsahu a kvalitě. Příjemce je dále povinen písemně informovat o splnění nápravných opatření ten kontrolní orgán, který tato nápravná opatření uložil, a </w:t>
      </w:r>
      <w:r>
        <w:rPr>
          <w:rFonts w:ascii="Calibri" w:hAnsi="Calibri"/>
          <w:szCs w:val="22"/>
        </w:rPr>
        <w:t>p</w:t>
      </w:r>
      <w:r w:rsidRPr="00E531E8">
        <w:rPr>
          <w:rFonts w:ascii="Calibri" w:hAnsi="Calibri"/>
          <w:szCs w:val="22"/>
        </w:rPr>
        <w:t>oskytovatele, a to ve lhůtě deseti pracovních dnů od splnění těchto opatření.</w:t>
      </w:r>
    </w:p>
    <w:p w:rsidR="00B64A33" w:rsidRPr="00E531E8" w:rsidRDefault="00B64A33" w:rsidP="00B64A33">
      <w:pPr>
        <w:ind w:left="360"/>
        <w:jc w:val="both"/>
        <w:rPr>
          <w:rFonts w:ascii="Calibri" w:hAnsi="Calibri"/>
          <w:szCs w:val="22"/>
        </w:rPr>
      </w:pPr>
    </w:p>
    <w:p w:rsidR="00B64A33" w:rsidRPr="00E531E8" w:rsidRDefault="00B64A33" w:rsidP="00B64A33">
      <w:pPr>
        <w:numPr>
          <w:ilvl w:val="0"/>
          <w:numId w:val="1"/>
        </w:numPr>
        <w:jc w:val="both"/>
        <w:rPr>
          <w:rFonts w:ascii="Calibri" w:hAnsi="Calibri"/>
          <w:szCs w:val="22"/>
        </w:rPr>
      </w:pPr>
      <w:r w:rsidRPr="00E531E8">
        <w:rPr>
          <w:rFonts w:ascii="Calibri" w:hAnsi="Calibri"/>
          <w:szCs w:val="22"/>
        </w:rPr>
        <w:t xml:space="preserve">Příjemce je při naplňování </w:t>
      </w:r>
      <w:r>
        <w:rPr>
          <w:rFonts w:ascii="Calibri" w:hAnsi="Calibri"/>
          <w:szCs w:val="22"/>
        </w:rPr>
        <w:t>p</w:t>
      </w:r>
      <w:r w:rsidRPr="00E531E8">
        <w:rPr>
          <w:rFonts w:ascii="Calibri" w:hAnsi="Calibri"/>
          <w:szCs w:val="22"/>
        </w:rPr>
        <w:t xml:space="preserve">rojektu povinen prosazovat princip rovných příležitostí, rovnosti mužů a žen a princip nediskriminace, zejména s ohledem na osoby se zdravotním postižením. </w:t>
      </w:r>
    </w:p>
    <w:p w:rsidR="00B64A33" w:rsidRPr="00E531E8" w:rsidRDefault="00B64A33" w:rsidP="00B64A33">
      <w:pPr>
        <w:spacing w:after="120"/>
        <w:ind w:left="360"/>
        <w:jc w:val="both"/>
        <w:rPr>
          <w:rFonts w:ascii="Calibri" w:hAnsi="Calibri"/>
          <w:szCs w:val="22"/>
        </w:rPr>
      </w:pPr>
    </w:p>
    <w:p w:rsidR="00B64A33" w:rsidRPr="00E531E8" w:rsidRDefault="00B64A33" w:rsidP="00B64A33">
      <w:pPr>
        <w:spacing w:before="240"/>
        <w:jc w:val="center"/>
        <w:rPr>
          <w:rFonts w:ascii="Calibri" w:hAnsi="Calibri"/>
          <w:b/>
          <w:szCs w:val="22"/>
        </w:rPr>
      </w:pPr>
      <w:r w:rsidRPr="00E531E8">
        <w:rPr>
          <w:rFonts w:ascii="Calibri" w:hAnsi="Calibri"/>
          <w:b/>
          <w:szCs w:val="22"/>
        </w:rPr>
        <w:t>IV.</w:t>
      </w:r>
    </w:p>
    <w:p w:rsidR="00B64A33" w:rsidRPr="00E531E8" w:rsidRDefault="00B64A33" w:rsidP="00B64A33">
      <w:pPr>
        <w:spacing w:after="120"/>
        <w:ind w:left="357"/>
        <w:jc w:val="center"/>
        <w:rPr>
          <w:rFonts w:ascii="Calibri" w:hAnsi="Calibri"/>
          <w:szCs w:val="22"/>
        </w:rPr>
      </w:pPr>
      <w:r w:rsidRPr="00E531E8">
        <w:rPr>
          <w:rFonts w:ascii="Calibri" w:hAnsi="Calibri"/>
          <w:b/>
          <w:szCs w:val="22"/>
        </w:rPr>
        <w:t>Změny v projektu, změny účelu dotace</w:t>
      </w:r>
    </w:p>
    <w:p w:rsidR="00030B23" w:rsidRDefault="00030B23" w:rsidP="00030B23">
      <w:pPr>
        <w:numPr>
          <w:ilvl w:val="0"/>
          <w:numId w:val="8"/>
        </w:numPr>
        <w:spacing w:after="120"/>
        <w:ind w:left="357" w:hanging="357"/>
        <w:jc w:val="both"/>
        <w:rPr>
          <w:rFonts w:ascii="Calibri" w:hAnsi="Calibri"/>
          <w:szCs w:val="22"/>
        </w:rPr>
      </w:pPr>
      <w:r w:rsidRPr="00E531E8">
        <w:rPr>
          <w:rFonts w:ascii="Calibri" w:hAnsi="Calibri"/>
          <w:szCs w:val="22"/>
        </w:rPr>
        <w:t xml:space="preserve">Příjemce je povinen průběžně a prokazatelným způsobem informovat </w:t>
      </w:r>
      <w:r>
        <w:rPr>
          <w:rFonts w:ascii="Calibri" w:hAnsi="Calibri"/>
          <w:szCs w:val="22"/>
        </w:rPr>
        <w:t>p</w:t>
      </w:r>
      <w:r w:rsidRPr="00E531E8">
        <w:rPr>
          <w:rFonts w:ascii="Calibri" w:hAnsi="Calibri"/>
          <w:szCs w:val="22"/>
        </w:rPr>
        <w:t xml:space="preserve">oskytovatele o všech </w:t>
      </w:r>
      <w:r>
        <w:rPr>
          <w:rFonts w:ascii="Calibri" w:hAnsi="Calibri"/>
          <w:szCs w:val="22"/>
        </w:rPr>
        <w:t xml:space="preserve">zásadních </w:t>
      </w:r>
      <w:r w:rsidRPr="00E531E8">
        <w:rPr>
          <w:rFonts w:ascii="Calibri" w:hAnsi="Calibri"/>
          <w:szCs w:val="22"/>
        </w:rPr>
        <w:t xml:space="preserve">změnách souvisejících </w:t>
      </w:r>
      <w:r w:rsidRPr="002F2FC0">
        <w:rPr>
          <w:rFonts w:ascii="Calibri" w:hAnsi="Calibri"/>
          <w:szCs w:val="22"/>
        </w:rPr>
        <w:t xml:space="preserve">s projektem (např. změna statutárního orgánu, zánik příjemce, sloučení s jiným příjemcem </w:t>
      </w:r>
      <w:r w:rsidR="00206EF6">
        <w:rPr>
          <w:rFonts w:ascii="Calibri" w:hAnsi="Calibri"/>
          <w:szCs w:val="22"/>
        </w:rPr>
        <w:t xml:space="preserve">či jiný druh přeměny </w:t>
      </w:r>
      <w:r w:rsidR="002D004B">
        <w:rPr>
          <w:rFonts w:ascii="Calibri" w:hAnsi="Calibri"/>
          <w:szCs w:val="22"/>
        </w:rPr>
        <w:t xml:space="preserve">právnické osoby </w:t>
      </w:r>
      <w:r w:rsidRPr="002F2FC0">
        <w:rPr>
          <w:rFonts w:ascii="Calibri" w:hAnsi="Calibri"/>
          <w:szCs w:val="22"/>
        </w:rPr>
        <w:t>apod.)</w:t>
      </w:r>
      <w:r>
        <w:rPr>
          <w:rFonts w:ascii="Calibri" w:hAnsi="Calibri"/>
          <w:szCs w:val="22"/>
        </w:rPr>
        <w:t>, vyjma změny účelu a charakteru dotace,</w:t>
      </w:r>
      <w:r w:rsidRPr="002F2FC0">
        <w:rPr>
          <w:rFonts w:ascii="Calibri" w:hAnsi="Calibri"/>
          <w:szCs w:val="22"/>
        </w:rPr>
        <w:t xml:space="preserve"> nejpozději do 7 dnů ode dne, kdy se o změnách dozvěděl.</w:t>
      </w:r>
      <w:r w:rsidR="00206EF6">
        <w:rPr>
          <w:rFonts w:ascii="Calibri" w:hAnsi="Calibri"/>
          <w:szCs w:val="22"/>
        </w:rPr>
        <w:t xml:space="preserve"> </w:t>
      </w:r>
    </w:p>
    <w:p w:rsidR="00F2360E" w:rsidRPr="002F2FC0" w:rsidRDefault="00F2360E" w:rsidP="00030B23">
      <w:pPr>
        <w:numPr>
          <w:ilvl w:val="0"/>
          <w:numId w:val="8"/>
        </w:numPr>
        <w:spacing w:after="120"/>
        <w:ind w:left="357" w:hanging="357"/>
        <w:jc w:val="both"/>
        <w:rPr>
          <w:rFonts w:ascii="Calibri" w:hAnsi="Calibri"/>
          <w:szCs w:val="22"/>
        </w:rPr>
      </w:pPr>
      <w:r>
        <w:rPr>
          <w:rFonts w:ascii="Calibri" w:hAnsi="Calibri"/>
          <w:szCs w:val="22"/>
        </w:rPr>
        <w:t xml:space="preserve">Dále je příjemce povinen informovat poskytovatele o průběhu projektu v následujících termínech: </w:t>
      </w:r>
      <w:r w:rsidR="00F715A4" w:rsidRPr="00F715A4">
        <w:rPr>
          <w:rFonts w:ascii="Calibri" w:hAnsi="Calibri"/>
          <w:b/>
          <w:szCs w:val="22"/>
        </w:rPr>
        <w:t>15. 1. 2017</w:t>
      </w:r>
      <w:r w:rsidR="00F715A4">
        <w:rPr>
          <w:rFonts w:ascii="Calibri" w:hAnsi="Calibri"/>
          <w:b/>
          <w:szCs w:val="22"/>
        </w:rPr>
        <w:t xml:space="preserve"> a </w:t>
      </w:r>
      <w:r w:rsidR="00F715A4">
        <w:rPr>
          <w:rFonts w:ascii="Calibri" w:hAnsi="Calibri"/>
          <w:b/>
          <w:szCs w:val="22"/>
        </w:rPr>
        <w:br/>
        <w:t>15. 12. 2017</w:t>
      </w:r>
      <w:r w:rsidR="00F715A4">
        <w:rPr>
          <w:rFonts w:ascii="Calibri" w:hAnsi="Calibri"/>
          <w:szCs w:val="22"/>
        </w:rPr>
        <w:t>.</w:t>
      </w:r>
      <w:r w:rsidR="001631A4">
        <w:rPr>
          <w:rFonts w:ascii="Calibri" w:hAnsi="Calibri"/>
          <w:szCs w:val="22"/>
        </w:rPr>
        <w:t xml:space="preserve"> </w:t>
      </w:r>
      <w:r w:rsidR="00374889">
        <w:rPr>
          <w:rFonts w:ascii="Calibri" w:hAnsi="Calibri"/>
          <w:szCs w:val="22"/>
        </w:rPr>
        <w:t xml:space="preserve">K </w:t>
      </w:r>
      <w:r>
        <w:rPr>
          <w:rFonts w:ascii="Calibri" w:hAnsi="Calibri"/>
          <w:szCs w:val="22"/>
        </w:rPr>
        <w:t>těmto datům předloží komplexní písemnou zprávu o průběhu projektu. Předložení zprávy je podmínkou pro průběžné čerpání dotace.</w:t>
      </w:r>
    </w:p>
    <w:p w:rsidR="00030B23" w:rsidRPr="002F2FC0" w:rsidRDefault="00AF0685" w:rsidP="00030B23">
      <w:pPr>
        <w:numPr>
          <w:ilvl w:val="0"/>
          <w:numId w:val="8"/>
        </w:numPr>
        <w:spacing w:after="120"/>
        <w:ind w:left="357" w:hanging="357"/>
        <w:jc w:val="both"/>
        <w:rPr>
          <w:rFonts w:ascii="Calibri" w:hAnsi="Calibri"/>
          <w:szCs w:val="22"/>
        </w:rPr>
      </w:pPr>
      <w:r>
        <w:rPr>
          <w:rFonts w:ascii="Calibri" w:hAnsi="Calibri"/>
          <w:szCs w:val="22"/>
        </w:rPr>
        <w:t>Pokud příjemce chce změnit podmínky čerpání přidělené dotace vyžadující změnu smlouvy (tj. zejména změna účelu, charakteru, doby realizace projektu apod.) je příjemce povinen oznámit tyto změny poskytovateli prokazatelným způsobem nejméně 90 dní před ukončením realizace projektu a uskutečnit je pouze s předchozím písemným souhlasem poskytovatele na základě dodatku k této smlouvě.</w:t>
      </w:r>
      <w:r w:rsidR="00030B23" w:rsidRPr="002F2FC0">
        <w:rPr>
          <w:rFonts w:ascii="Calibri" w:hAnsi="Calibri"/>
          <w:szCs w:val="22"/>
        </w:rPr>
        <w:t xml:space="preserve">  </w:t>
      </w:r>
    </w:p>
    <w:p w:rsidR="00030B23" w:rsidRPr="002F2FC0" w:rsidRDefault="00030B23" w:rsidP="00030B23">
      <w:pPr>
        <w:numPr>
          <w:ilvl w:val="0"/>
          <w:numId w:val="8"/>
        </w:numPr>
        <w:spacing w:after="120"/>
        <w:ind w:left="357" w:hanging="357"/>
        <w:jc w:val="both"/>
        <w:rPr>
          <w:rFonts w:ascii="Calibri" w:hAnsi="Calibri"/>
          <w:szCs w:val="22"/>
        </w:rPr>
      </w:pPr>
      <w:r w:rsidRPr="00E531E8">
        <w:rPr>
          <w:rFonts w:ascii="Calibri" w:hAnsi="Calibri"/>
          <w:szCs w:val="22"/>
        </w:rPr>
        <w:t>V případě, že realizace projektu byla ukončena před uzavřením smlouvy, musí příjemce tyto změny oznámit současně s podpisem smlouvy.</w:t>
      </w:r>
    </w:p>
    <w:p w:rsidR="00B64A33" w:rsidRPr="00E531E8" w:rsidRDefault="00B64A33" w:rsidP="00B64A33">
      <w:pPr>
        <w:keepNext/>
        <w:keepLines/>
        <w:spacing w:before="240"/>
        <w:jc w:val="center"/>
        <w:rPr>
          <w:rFonts w:ascii="Calibri" w:hAnsi="Calibri"/>
          <w:b/>
          <w:bCs/>
          <w:szCs w:val="22"/>
        </w:rPr>
      </w:pPr>
      <w:r w:rsidRPr="00E531E8">
        <w:rPr>
          <w:rFonts w:ascii="Calibri" w:hAnsi="Calibri"/>
          <w:b/>
          <w:bCs/>
          <w:szCs w:val="22"/>
        </w:rPr>
        <w:t>V.</w:t>
      </w:r>
    </w:p>
    <w:p w:rsidR="00B64A33" w:rsidRPr="00E531E8" w:rsidRDefault="00B64A33" w:rsidP="00B64A33">
      <w:pPr>
        <w:keepNext/>
        <w:keepLines/>
        <w:spacing w:after="120"/>
        <w:jc w:val="center"/>
        <w:rPr>
          <w:rFonts w:ascii="Calibri" w:hAnsi="Calibri"/>
          <w:b/>
          <w:bCs/>
          <w:szCs w:val="22"/>
        </w:rPr>
      </w:pPr>
      <w:r w:rsidRPr="00E531E8">
        <w:rPr>
          <w:rFonts w:ascii="Calibri" w:hAnsi="Calibri"/>
          <w:b/>
          <w:bCs/>
          <w:szCs w:val="22"/>
        </w:rPr>
        <w:t>Kontrola</w:t>
      </w:r>
    </w:p>
    <w:p w:rsidR="00B64A33" w:rsidRPr="00E531E8" w:rsidRDefault="00B64A33" w:rsidP="00B64A33">
      <w:pPr>
        <w:numPr>
          <w:ilvl w:val="0"/>
          <w:numId w:val="4"/>
        </w:numPr>
        <w:tabs>
          <w:tab w:val="clear" w:pos="720"/>
          <w:tab w:val="num" w:pos="360"/>
        </w:tabs>
        <w:spacing w:after="120"/>
        <w:ind w:left="357" w:hanging="357"/>
        <w:jc w:val="both"/>
        <w:rPr>
          <w:rFonts w:ascii="Calibri" w:hAnsi="Calibri"/>
          <w:szCs w:val="22"/>
        </w:rPr>
      </w:pPr>
      <w:r w:rsidRPr="00E531E8">
        <w:rPr>
          <w:rFonts w:ascii="Calibri" w:hAnsi="Calibri"/>
          <w:szCs w:val="22"/>
        </w:rPr>
        <w:t xml:space="preserve">Příslušné orgány </w:t>
      </w:r>
      <w:r>
        <w:rPr>
          <w:rFonts w:ascii="Calibri" w:hAnsi="Calibri"/>
          <w:szCs w:val="22"/>
        </w:rPr>
        <w:t>p</w:t>
      </w:r>
      <w:r w:rsidRPr="00E531E8">
        <w:rPr>
          <w:rFonts w:ascii="Calibri" w:hAnsi="Calibri"/>
          <w:szCs w:val="22"/>
        </w:rPr>
        <w:t xml:space="preserve">oskytovatele či osoby pověřené </w:t>
      </w:r>
      <w:r>
        <w:rPr>
          <w:rFonts w:ascii="Calibri" w:hAnsi="Calibri"/>
          <w:szCs w:val="22"/>
        </w:rPr>
        <w:t>p</w:t>
      </w:r>
      <w:r w:rsidRPr="00E531E8">
        <w:rPr>
          <w:rFonts w:ascii="Calibri" w:hAnsi="Calibri"/>
          <w:szCs w:val="22"/>
        </w:rPr>
        <w:t xml:space="preserve">oskytovatelem jsou oprávněny kdykoli kontrolovat dodržení podmínek, za kterých byla dotace poskytnuta, v souladu se zákonem </w:t>
      </w:r>
      <w:r>
        <w:rPr>
          <w:rFonts w:ascii="Calibri" w:hAnsi="Calibri"/>
          <w:szCs w:val="22"/>
        </w:rPr>
        <w:t xml:space="preserve">o finanční kontrole, </w:t>
      </w:r>
      <w:r w:rsidRPr="00E531E8">
        <w:rPr>
          <w:rFonts w:ascii="Calibri" w:hAnsi="Calibri"/>
          <w:szCs w:val="22"/>
        </w:rPr>
        <w:t xml:space="preserve">zákonem </w:t>
      </w:r>
      <w:r>
        <w:rPr>
          <w:rFonts w:ascii="Calibri" w:hAnsi="Calibri"/>
          <w:szCs w:val="22"/>
        </w:rPr>
        <w:t>o krajích a </w:t>
      </w:r>
      <w:r w:rsidRPr="00E531E8">
        <w:rPr>
          <w:rFonts w:ascii="Calibri" w:hAnsi="Calibri"/>
          <w:szCs w:val="22"/>
        </w:rPr>
        <w:t>zákonem č. 250/2000 Sb.</w:t>
      </w:r>
    </w:p>
    <w:p w:rsidR="00B64A33" w:rsidRPr="00E531E8" w:rsidRDefault="00B64A33" w:rsidP="00B64A33">
      <w:pPr>
        <w:numPr>
          <w:ilvl w:val="0"/>
          <w:numId w:val="4"/>
        </w:numPr>
        <w:tabs>
          <w:tab w:val="clear" w:pos="720"/>
          <w:tab w:val="num" w:pos="360"/>
        </w:tabs>
        <w:spacing w:after="120"/>
        <w:ind w:left="357" w:hanging="357"/>
        <w:jc w:val="both"/>
        <w:rPr>
          <w:rFonts w:ascii="Calibri" w:hAnsi="Calibri"/>
          <w:bCs/>
          <w:szCs w:val="22"/>
        </w:rPr>
      </w:pPr>
      <w:r w:rsidRPr="00E531E8">
        <w:rPr>
          <w:rFonts w:ascii="Calibri" w:hAnsi="Calibri"/>
          <w:bCs/>
          <w:szCs w:val="22"/>
        </w:rPr>
        <w:t xml:space="preserve">Příjemce je povinen poskytnout součinnost při výkonu kontrolní činnosti </w:t>
      </w:r>
      <w:r>
        <w:rPr>
          <w:rFonts w:ascii="Calibri" w:hAnsi="Calibri"/>
          <w:bCs/>
          <w:szCs w:val="22"/>
        </w:rPr>
        <w:t>po</w:t>
      </w:r>
      <w:r w:rsidRPr="00E531E8">
        <w:rPr>
          <w:rFonts w:ascii="Calibri" w:hAnsi="Calibri"/>
          <w:bCs/>
          <w:szCs w:val="22"/>
        </w:rPr>
        <w:t xml:space="preserve">dle </w:t>
      </w:r>
      <w:r w:rsidR="0054672C">
        <w:rPr>
          <w:rFonts w:ascii="Calibri" w:hAnsi="Calibri"/>
          <w:bCs/>
          <w:szCs w:val="22"/>
        </w:rPr>
        <w:t>odst.</w:t>
      </w:r>
      <w:r w:rsidR="0054672C" w:rsidRPr="00E531E8">
        <w:rPr>
          <w:rFonts w:ascii="Calibri" w:hAnsi="Calibri"/>
          <w:bCs/>
          <w:szCs w:val="22"/>
        </w:rPr>
        <w:t xml:space="preserve"> </w:t>
      </w:r>
      <w:r w:rsidRPr="00E531E8">
        <w:rPr>
          <w:rFonts w:ascii="Calibri" w:hAnsi="Calibri"/>
          <w:bCs/>
          <w:szCs w:val="22"/>
        </w:rPr>
        <w:t>1</w:t>
      </w:r>
      <w:r>
        <w:rPr>
          <w:rFonts w:ascii="Calibri" w:hAnsi="Calibri"/>
          <w:bCs/>
          <w:szCs w:val="22"/>
        </w:rPr>
        <w:t>.</w:t>
      </w:r>
      <w:r w:rsidRPr="00E531E8">
        <w:rPr>
          <w:rFonts w:ascii="Calibri" w:hAnsi="Calibri"/>
          <w:bCs/>
          <w:szCs w:val="22"/>
        </w:rPr>
        <w:t xml:space="preserve"> tohoto článku a předložit kdykoliv na vyžádání k nahlédnutí kontrolním orgánům </w:t>
      </w:r>
      <w:r>
        <w:rPr>
          <w:rFonts w:ascii="Calibri" w:hAnsi="Calibri"/>
          <w:bCs/>
          <w:szCs w:val="22"/>
        </w:rPr>
        <w:t>p</w:t>
      </w:r>
      <w:r w:rsidRPr="00E531E8">
        <w:rPr>
          <w:rFonts w:ascii="Calibri" w:hAnsi="Calibri"/>
          <w:bCs/>
          <w:szCs w:val="22"/>
        </w:rPr>
        <w:t xml:space="preserve">oskytovatele či osobám pověřeným </w:t>
      </w:r>
      <w:r>
        <w:rPr>
          <w:rFonts w:ascii="Calibri" w:hAnsi="Calibri"/>
          <w:bCs/>
          <w:szCs w:val="22"/>
        </w:rPr>
        <w:t>p</w:t>
      </w:r>
      <w:r w:rsidRPr="00E531E8">
        <w:rPr>
          <w:rFonts w:ascii="Calibri" w:hAnsi="Calibri"/>
          <w:bCs/>
          <w:szCs w:val="22"/>
        </w:rPr>
        <w:t xml:space="preserve">oskytovatelem originály účetních dokladů, prokazujících využití finančních prostředků v souladu s účelem </w:t>
      </w:r>
      <w:r w:rsidRPr="00E531E8">
        <w:rPr>
          <w:rFonts w:ascii="Calibri" w:hAnsi="Calibri"/>
          <w:szCs w:val="22"/>
        </w:rPr>
        <w:t>projektu</w:t>
      </w:r>
      <w:r w:rsidRPr="00E531E8">
        <w:rPr>
          <w:rFonts w:ascii="Calibri" w:hAnsi="Calibri"/>
          <w:bCs/>
          <w:szCs w:val="22"/>
        </w:rPr>
        <w:t xml:space="preserve">. Dále je příjemce povinen umožnit kontrolním orgánům kontrolu hospodaření s prostředky </w:t>
      </w:r>
      <w:r>
        <w:rPr>
          <w:rFonts w:ascii="Calibri" w:hAnsi="Calibri"/>
          <w:bCs/>
          <w:szCs w:val="22"/>
        </w:rPr>
        <w:t>p</w:t>
      </w:r>
      <w:r w:rsidRPr="00E531E8">
        <w:rPr>
          <w:rFonts w:ascii="Calibri" w:hAnsi="Calibri"/>
          <w:bCs/>
          <w:szCs w:val="22"/>
        </w:rPr>
        <w:t>oskytovatele a účetnictví celého projektu včetně vazby na své celkové účetnictví</w:t>
      </w:r>
      <w:r w:rsidR="00123E6A">
        <w:rPr>
          <w:rFonts w:ascii="Calibri" w:hAnsi="Calibri"/>
          <w:bCs/>
          <w:szCs w:val="22"/>
        </w:rPr>
        <w:t xml:space="preserve"> ve lhůtě uvedené ve</w:t>
      </w:r>
      <w:r>
        <w:rPr>
          <w:rFonts w:ascii="Calibri" w:hAnsi="Calibri"/>
          <w:bCs/>
          <w:szCs w:val="22"/>
        </w:rPr>
        <w:t xml:space="preserve"> článku III. </w:t>
      </w:r>
      <w:r w:rsidR="0054672C">
        <w:rPr>
          <w:rFonts w:ascii="Calibri" w:hAnsi="Calibri"/>
          <w:bCs/>
          <w:szCs w:val="22"/>
        </w:rPr>
        <w:t>odst.</w:t>
      </w:r>
      <w:r w:rsidR="00B3717A">
        <w:rPr>
          <w:rFonts w:ascii="Calibri" w:hAnsi="Calibri"/>
          <w:bCs/>
          <w:szCs w:val="22"/>
        </w:rPr>
        <w:t xml:space="preserve"> 15</w:t>
      </w:r>
      <w:r>
        <w:rPr>
          <w:rFonts w:ascii="Calibri" w:hAnsi="Calibri"/>
          <w:bCs/>
          <w:szCs w:val="22"/>
        </w:rPr>
        <w:t>. této smlouvy</w:t>
      </w:r>
      <w:r w:rsidRPr="00E531E8">
        <w:rPr>
          <w:rFonts w:ascii="Calibri" w:hAnsi="Calibri"/>
          <w:bCs/>
          <w:szCs w:val="22"/>
        </w:rPr>
        <w:t>.</w:t>
      </w:r>
    </w:p>
    <w:p w:rsidR="00B64A33" w:rsidRPr="00123E6A" w:rsidRDefault="00B64A33" w:rsidP="00B64A33">
      <w:pPr>
        <w:numPr>
          <w:ilvl w:val="0"/>
          <w:numId w:val="4"/>
        </w:numPr>
        <w:tabs>
          <w:tab w:val="clear" w:pos="720"/>
          <w:tab w:val="num" w:pos="360"/>
        </w:tabs>
        <w:spacing w:after="120"/>
        <w:ind w:left="357" w:hanging="357"/>
        <w:jc w:val="both"/>
        <w:rPr>
          <w:rFonts w:ascii="Calibri" w:hAnsi="Calibri"/>
          <w:szCs w:val="22"/>
        </w:rPr>
      </w:pPr>
      <w:r w:rsidRPr="00123E6A">
        <w:rPr>
          <w:rFonts w:ascii="Calibri" w:hAnsi="Calibri"/>
          <w:szCs w:val="22"/>
        </w:rPr>
        <w:t xml:space="preserve">Za pravdivost i správnost finančního vyúčtování dotace odpovídá osoba oprávněná jednat jménem příjemce, </w:t>
      </w:r>
      <w:r w:rsidRPr="00123E6A">
        <w:rPr>
          <w:rFonts w:ascii="Calibri" w:hAnsi="Calibri"/>
          <w:szCs w:val="22"/>
        </w:rPr>
        <w:br/>
        <w:t>která tuto skutečnost v závěrečné zprávě a ve finančním vyúčtování dotace písemně potvrdí.</w:t>
      </w:r>
    </w:p>
    <w:p w:rsidR="007D580A" w:rsidRDefault="007D580A" w:rsidP="007D580A">
      <w:pPr>
        <w:spacing w:after="120"/>
        <w:ind w:left="357"/>
        <w:jc w:val="both"/>
        <w:rPr>
          <w:rFonts w:ascii="Calibri" w:hAnsi="Calibri"/>
          <w:szCs w:val="22"/>
        </w:rPr>
      </w:pPr>
    </w:p>
    <w:p w:rsidR="00246A1D" w:rsidRPr="00E531E8" w:rsidRDefault="00246A1D" w:rsidP="007D580A">
      <w:pPr>
        <w:spacing w:after="120"/>
        <w:ind w:left="357"/>
        <w:jc w:val="both"/>
        <w:rPr>
          <w:rFonts w:ascii="Calibri" w:hAnsi="Calibri"/>
          <w:szCs w:val="22"/>
        </w:rPr>
      </w:pPr>
    </w:p>
    <w:p w:rsidR="00B64A33" w:rsidRPr="00E531E8" w:rsidRDefault="00B64A33" w:rsidP="00B64A33">
      <w:pPr>
        <w:keepNext/>
        <w:keepLines/>
        <w:spacing w:before="240"/>
        <w:jc w:val="center"/>
        <w:rPr>
          <w:rFonts w:ascii="Calibri" w:hAnsi="Calibri"/>
          <w:b/>
          <w:szCs w:val="22"/>
        </w:rPr>
      </w:pPr>
      <w:r w:rsidRPr="00E531E8">
        <w:rPr>
          <w:rFonts w:ascii="Calibri" w:hAnsi="Calibri"/>
          <w:b/>
          <w:szCs w:val="22"/>
        </w:rPr>
        <w:t>VI.</w:t>
      </w:r>
    </w:p>
    <w:p w:rsidR="00B64A33" w:rsidRPr="00E531E8" w:rsidRDefault="00B64A33" w:rsidP="00B64A33">
      <w:pPr>
        <w:spacing w:after="120"/>
        <w:jc w:val="center"/>
        <w:rPr>
          <w:rFonts w:ascii="Calibri" w:hAnsi="Calibri"/>
          <w:b/>
          <w:szCs w:val="22"/>
        </w:rPr>
      </w:pPr>
      <w:r w:rsidRPr="00E531E8">
        <w:rPr>
          <w:rFonts w:ascii="Calibri" w:hAnsi="Calibri"/>
          <w:b/>
          <w:szCs w:val="22"/>
        </w:rPr>
        <w:t xml:space="preserve">Důsledky porušení povinností </w:t>
      </w:r>
      <w:r>
        <w:rPr>
          <w:rFonts w:ascii="Calibri" w:hAnsi="Calibri"/>
          <w:b/>
          <w:szCs w:val="22"/>
        </w:rPr>
        <w:t>p</w:t>
      </w:r>
      <w:r w:rsidRPr="00E531E8">
        <w:rPr>
          <w:rFonts w:ascii="Calibri" w:hAnsi="Calibri"/>
          <w:b/>
          <w:szCs w:val="22"/>
        </w:rPr>
        <w:t>říjemce</w:t>
      </w:r>
    </w:p>
    <w:p w:rsidR="00B64A33" w:rsidRPr="00BF79FD" w:rsidRDefault="00B64A33" w:rsidP="00B64A33">
      <w:pPr>
        <w:numPr>
          <w:ilvl w:val="0"/>
          <w:numId w:val="6"/>
        </w:numPr>
        <w:spacing w:after="120"/>
        <w:ind w:left="357" w:hanging="357"/>
        <w:jc w:val="both"/>
        <w:rPr>
          <w:rFonts w:ascii="Calibri" w:hAnsi="Calibri"/>
          <w:szCs w:val="22"/>
        </w:rPr>
      </w:pPr>
      <w:r w:rsidRPr="00BF79FD">
        <w:rPr>
          <w:rFonts w:ascii="Calibri" w:hAnsi="Calibri"/>
          <w:szCs w:val="22"/>
        </w:rPr>
        <w:t>Dojde-li ze strany příjemce k porušení této smlouvy, souvisejících dokumentů či právních předpisů</w:t>
      </w:r>
      <w:r w:rsidR="00AF0685">
        <w:rPr>
          <w:rFonts w:ascii="Calibri" w:hAnsi="Calibri"/>
          <w:szCs w:val="22"/>
        </w:rPr>
        <w:t xml:space="preserve"> (zejména zákona o veřejných zakázkách)</w:t>
      </w:r>
      <w:r w:rsidRPr="00BF79FD">
        <w:rPr>
          <w:rFonts w:ascii="Calibri" w:hAnsi="Calibri"/>
          <w:szCs w:val="22"/>
        </w:rPr>
        <w:t xml:space="preserve">, jde o porušení rozpočtové kázně ve smyslu </w:t>
      </w:r>
      <w:r>
        <w:rPr>
          <w:rFonts w:ascii="Calibri" w:hAnsi="Calibri"/>
          <w:szCs w:val="22"/>
        </w:rPr>
        <w:t xml:space="preserve">ustanovení </w:t>
      </w:r>
      <w:r w:rsidRPr="00BF79FD">
        <w:rPr>
          <w:rFonts w:ascii="Calibri" w:hAnsi="Calibri"/>
          <w:szCs w:val="22"/>
        </w:rPr>
        <w:t>§ 22 zákona č. 250/2000 Sb.</w:t>
      </w:r>
      <w:r>
        <w:rPr>
          <w:rFonts w:ascii="Calibri" w:hAnsi="Calibri"/>
          <w:szCs w:val="22"/>
        </w:rPr>
        <w:t xml:space="preserve"> </w:t>
      </w:r>
      <w:r w:rsidRPr="00BF79FD">
        <w:rPr>
          <w:rFonts w:ascii="Calibri" w:hAnsi="Calibri"/>
          <w:szCs w:val="22"/>
        </w:rPr>
        <w:t>a poskytovatel je oprávněn tuto smlouvu vypovědět. Za porušení rozpočtové kázně se považuje též uvedení jakýchkoli nepravdivých informací, údajů či prohlášení ze strany příjemce souvisejících s</w:t>
      </w:r>
      <w:r>
        <w:rPr>
          <w:rFonts w:ascii="Calibri" w:hAnsi="Calibri"/>
          <w:szCs w:val="22"/>
        </w:rPr>
        <w:t> </w:t>
      </w:r>
      <w:r w:rsidRPr="00BF79FD">
        <w:rPr>
          <w:rFonts w:ascii="Calibri" w:hAnsi="Calibri"/>
          <w:szCs w:val="22"/>
        </w:rPr>
        <w:t>projektem</w:t>
      </w:r>
      <w:r>
        <w:rPr>
          <w:rFonts w:ascii="Calibri" w:hAnsi="Calibri"/>
          <w:szCs w:val="22"/>
        </w:rPr>
        <w:t xml:space="preserve"> </w:t>
      </w:r>
      <w:r w:rsidRPr="00E531E8">
        <w:rPr>
          <w:rFonts w:ascii="Calibri" w:hAnsi="Calibri"/>
          <w:szCs w:val="22"/>
        </w:rPr>
        <w:t>(zejména uvedených v čl</w:t>
      </w:r>
      <w:r>
        <w:rPr>
          <w:rFonts w:ascii="Calibri" w:hAnsi="Calibri"/>
          <w:szCs w:val="22"/>
        </w:rPr>
        <w:t>ánku</w:t>
      </w:r>
      <w:r w:rsidRPr="00E531E8">
        <w:rPr>
          <w:rFonts w:ascii="Calibri" w:hAnsi="Calibri"/>
          <w:szCs w:val="22"/>
        </w:rPr>
        <w:t xml:space="preserve"> VIII. </w:t>
      </w:r>
      <w:r w:rsidR="0054672C">
        <w:rPr>
          <w:rFonts w:ascii="Calibri" w:hAnsi="Calibri"/>
          <w:szCs w:val="22"/>
        </w:rPr>
        <w:t>odst.</w:t>
      </w:r>
      <w:r>
        <w:rPr>
          <w:rFonts w:ascii="Calibri" w:hAnsi="Calibri"/>
          <w:szCs w:val="22"/>
        </w:rPr>
        <w:t xml:space="preserve"> </w:t>
      </w:r>
      <w:r w:rsidRPr="00E531E8">
        <w:rPr>
          <w:rFonts w:ascii="Calibri" w:hAnsi="Calibri"/>
          <w:szCs w:val="22"/>
        </w:rPr>
        <w:t>4</w:t>
      </w:r>
      <w:r>
        <w:rPr>
          <w:rFonts w:ascii="Calibri" w:hAnsi="Calibri"/>
          <w:szCs w:val="22"/>
        </w:rPr>
        <w:t xml:space="preserve">. a </w:t>
      </w:r>
      <w:r w:rsidRPr="00E531E8">
        <w:rPr>
          <w:rFonts w:ascii="Calibri" w:hAnsi="Calibri"/>
          <w:szCs w:val="22"/>
        </w:rPr>
        <w:t>5</w:t>
      </w:r>
      <w:r>
        <w:rPr>
          <w:rFonts w:ascii="Calibri" w:hAnsi="Calibri"/>
          <w:szCs w:val="22"/>
        </w:rPr>
        <w:t>. této smlouvy</w:t>
      </w:r>
      <w:r w:rsidRPr="00E531E8">
        <w:rPr>
          <w:rFonts w:ascii="Calibri" w:hAnsi="Calibri"/>
          <w:szCs w:val="22"/>
        </w:rPr>
        <w:t>)</w:t>
      </w:r>
      <w:r w:rsidRPr="00BF79FD">
        <w:rPr>
          <w:rFonts w:ascii="Calibri" w:hAnsi="Calibri"/>
          <w:szCs w:val="22"/>
        </w:rPr>
        <w:t xml:space="preserve">. </w:t>
      </w:r>
    </w:p>
    <w:p w:rsidR="00B64A33" w:rsidRDefault="00B64A33" w:rsidP="00B64A33">
      <w:pPr>
        <w:numPr>
          <w:ilvl w:val="0"/>
          <w:numId w:val="6"/>
        </w:numPr>
        <w:spacing w:after="120"/>
        <w:ind w:left="357" w:hanging="357"/>
        <w:jc w:val="both"/>
        <w:rPr>
          <w:rFonts w:ascii="Calibri" w:hAnsi="Calibri"/>
          <w:szCs w:val="22"/>
        </w:rPr>
      </w:pPr>
      <w:r w:rsidRPr="00BF79FD">
        <w:rPr>
          <w:rFonts w:ascii="Calibri" w:hAnsi="Calibri"/>
          <w:szCs w:val="22"/>
        </w:rPr>
        <w:t xml:space="preserve">Pokud se příjemce dopustí porušení rozpočtové kázně </w:t>
      </w:r>
      <w:r>
        <w:rPr>
          <w:rFonts w:ascii="Calibri" w:hAnsi="Calibri"/>
          <w:szCs w:val="22"/>
        </w:rPr>
        <w:t>po</w:t>
      </w:r>
      <w:r w:rsidRPr="00BF79FD">
        <w:rPr>
          <w:rFonts w:ascii="Calibri" w:hAnsi="Calibri"/>
          <w:szCs w:val="22"/>
        </w:rPr>
        <w:t>dle odst. 1</w:t>
      </w:r>
      <w:r w:rsidR="00123E6A">
        <w:rPr>
          <w:rFonts w:ascii="Calibri" w:hAnsi="Calibri"/>
          <w:szCs w:val="22"/>
        </w:rPr>
        <w:t xml:space="preserve"> tohoto článku</w:t>
      </w:r>
      <w:r w:rsidRPr="00BF79FD">
        <w:rPr>
          <w:rFonts w:ascii="Calibri" w:hAnsi="Calibri"/>
          <w:szCs w:val="22"/>
        </w:rPr>
        <w:t xml:space="preserve">, je povinen provést poskytovateli odvod, který odpovídá částce neoprávněně použitých nebo zadržených prostředků včetně penále v souladu </w:t>
      </w:r>
      <w:r w:rsidRPr="00BF79FD">
        <w:rPr>
          <w:rFonts w:ascii="Calibri" w:hAnsi="Calibri"/>
          <w:szCs w:val="22"/>
        </w:rPr>
        <w:lastRenderedPageBreak/>
        <w:t>s</w:t>
      </w:r>
      <w:r>
        <w:rPr>
          <w:rFonts w:ascii="Calibri" w:hAnsi="Calibri"/>
          <w:szCs w:val="22"/>
        </w:rPr>
        <w:t xml:space="preserve"> ustanovením </w:t>
      </w:r>
      <w:r w:rsidR="00F5766E">
        <w:rPr>
          <w:rFonts w:ascii="Calibri" w:hAnsi="Calibri"/>
          <w:szCs w:val="22"/>
        </w:rPr>
        <w:t xml:space="preserve">§ 22 zákona č. 250/2000 Sb., pokud poskytovatel nebude postupovat ve smyslu § 22 odst. 5 a 6 zákona č. 250/2000 Sb. (tj. opatření k nápravě apod.). </w:t>
      </w:r>
      <w:r w:rsidRPr="00BF79FD">
        <w:rPr>
          <w:rFonts w:ascii="Calibri" w:hAnsi="Calibri"/>
          <w:szCs w:val="22"/>
        </w:rPr>
        <w:t>Porušením rozpočtové kázně je každé neoprávněné použití nebo zadržení peněžních prostředků poskytnutých z rozpočtu poskytovatele, definované v</w:t>
      </w:r>
      <w:r>
        <w:rPr>
          <w:rFonts w:ascii="Calibri" w:hAnsi="Calibri"/>
          <w:szCs w:val="22"/>
        </w:rPr>
        <w:t xml:space="preserve"> ustanovení </w:t>
      </w:r>
      <w:r w:rsidRPr="00BF79FD">
        <w:rPr>
          <w:rFonts w:ascii="Calibri" w:hAnsi="Calibri"/>
          <w:szCs w:val="22"/>
        </w:rPr>
        <w:t>§ 22 zákona č. 250/2000 Sb.</w:t>
      </w:r>
      <w:r w:rsidR="00AF0685">
        <w:rPr>
          <w:rFonts w:ascii="Calibri" w:hAnsi="Calibri"/>
          <w:szCs w:val="22"/>
        </w:rPr>
        <w:t>, v této smlouvě a souvisejících dokumentech.</w:t>
      </w:r>
      <w:r w:rsidRPr="00BF79FD">
        <w:rPr>
          <w:rFonts w:ascii="Calibri" w:hAnsi="Calibri"/>
          <w:szCs w:val="22"/>
        </w:rPr>
        <w:t xml:space="preserve"> Poskytovatel bude postupovat při ukládání odvodu včetně penále a jejich</w:t>
      </w:r>
      <w:r w:rsidRPr="00E531E8">
        <w:rPr>
          <w:rFonts w:ascii="Calibri" w:hAnsi="Calibri"/>
          <w:szCs w:val="22"/>
        </w:rPr>
        <w:t xml:space="preserve"> vymáhání </w:t>
      </w:r>
      <w:r>
        <w:rPr>
          <w:rFonts w:ascii="Calibri" w:hAnsi="Calibri"/>
          <w:szCs w:val="22"/>
        </w:rPr>
        <w:t>po</w:t>
      </w:r>
      <w:r w:rsidRPr="00E531E8">
        <w:rPr>
          <w:rFonts w:ascii="Calibri" w:hAnsi="Calibri"/>
          <w:szCs w:val="22"/>
        </w:rPr>
        <w:t>dle ustanovení § 22 a násl. zákona č. 250/2000 Sb.</w:t>
      </w:r>
      <w:r w:rsidR="00F5766E">
        <w:rPr>
          <w:rFonts w:ascii="Calibri" w:hAnsi="Calibri"/>
          <w:szCs w:val="22"/>
        </w:rPr>
        <w:t>, s výjimkami stanovenými touto smlouvou.</w:t>
      </w:r>
    </w:p>
    <w:p w:rsidR="00AF0685" w:rsidRPr="00E531E8" w:rsidRDefault="00AF0685" w:rsidP="00B64A33">
      <w:pPr>
        <w:numPr>
          <w:ilvl w:val="0"/>
          <w:numId w:val="6"/>
        </w:numPr>
        <w:spacing w:after="120"/>
        <w:ind w:left="357" w:hanging="357"/>
        <w:jc w:val="both"/>
        <w:rPr>
          <w:rFonts w:ascii="Calibri" w:hAnsi="Calibri"/>
          <w:szCs w:val="22"/>
        </w:rPr>
      </w:pPr>
      <w:r>
        <w:rPr>
          <w:rFonts w:ascii="Calibri" w:hAnsi="Calibri"/>
          <w:szCs w:val="22"/>
        </w:rPr>
        <w:t>Pokud příjemce použije dotaci v rozporu s účelem, který je stanoven touto smlouvou nebo dotačním programem je v souladu s § 22 odst. 5 zákon</w:t>
      </w:r>
      <w:r w:rsidR="00155AA1">
        <w:rPr>
          <w:rFonts w:ascii="Calibri" w:hAnsi="Calibri"/>
          <w:szCs w:val="22"/>
        </w:rPr>
        <w:t>a č. 250/2000 Sb., povinen provést poskytovateli odvod, který odpovídá částce neoprávněně použitých prostředků dotace, v souvislosti s jejichž použitím došlo k porušení rozpočtové kázně.</w:t>
      </w:r>
    </w:p>
    <w:p w:rsidR="00155AA1" w:rsidRPr="00155AA1" w:rsidRDefault="00B64A33" w:rsidP="00155AA1">
      <w:pPr>
        <w:numPr>
          <w:ilvl w:val="0"/>
          <w:numId w:val="6"/>
        </w:numPr>
        <w:spacing w:after="120"/>
        <w:jc w:val="both"/>
        <w:rPr>
          <w:rFonts w:ascii="Calibri" w:hAnsi="Calibri"/>
          <w:szCs w:val="22"/>
        </w:rPr>
      </w:pPr>
      <w:r w:rsidRPr="00E531E8">
        <w:rPr>
          <w:rFonts w:ascii="Calibri" w:hAnsi="Calibri"/>
          <w:szCs w:val="22"/>
        </w:rPr>
        <w:t xml:space="preserve">Výše odvodů </w:t>
      </w:r>
      <w:r w:rsidR="00155AA1">
        <w:rPr>
          <w:rFonts w:ascii="Calibri" w:hAnsi="Calibri"/>
          <w:szCs w:val="22"/>
        </w:rPr>
        <w:t>100% z poskytnuté dotace ve smyslu § 22 odst. 2 písm. a) a b) je stanovena v těchto případech:</w:t>
      </w:r>
    </w:p>
    <w:p w:rsidR="00B64A33" w:rsidRPr="00E531E8" w:rsidRDefault="00B64A33" w:rsidP="00B64A33">
      <w:pPr>
        <w:numPr>
          <w:ilvl w:val="1"/>
          <w:numId w:val="6"/>
        </w:numPr>
        <w:tabs>
          <w:tab w:val="clear" w:pos="720"/>
          <w:tab w:val="num" w:pos="567"/>
        </w:tabs>
        <w:ind w:left="567" w:hanging="283"/>
        <w:jc w:val="both"/>
        <w:rPr>
          <w:rFonts w:ascii="Calibri" w:hAnsi="Calibri"/>
          <w:szCs w:val="22"/>
        </w:rPr>
      </w:pPr>
      <w:r w:rsidRPr="00E531E8">
        <w:rPr>
          <w:rFonts w:ascii="Calibri" w:hAnsi="Calibri"/>
          <w:szCs w:val="22"/>
        </w:rPr>
        <w:t xml:space="preserve">neumožnění provedení kontroly </w:t>
      </w:r>
      <w:r>
        <w:rPr>
          <w:rFonts w:ascii="Calibri" w:hAnsi="Calibri"/>
          <w:szCs w:val="22"/>
        </w:rPr>
        <w:t>po</w:t>
      </w:r>
      <w:r w:rsidRPr="00E531E8">
        <w:rPr>
          <w:rFonts w:ascii="Calibri" w:hAnsi="Calibri"/>
          <w:szCs w:val="22"/>
        </w:rPr>
        <w:t>dle čl</w:t>
      </w:r>
      <w:r>
        <w:rPr>
          <w:rFonts w:ascii="Calibri" w:hAnsi="Calibri"/>
          <w:szCs w:val="22"/>
        </w:rPr>
        <w:t>ánku</w:t>
      </w:r>
      <w:r w:rsidRPr="00E531E8">
        <w:rPr>
          <w:rFonts w:ascii="Calibri" w:hAnsi="Calibri"/>
          <w:szCs w:val="22"/>
        </w:rPr>
        <w:t xml:space="preserve"> V. </w:t>
      </w:r>
      <w:r w:rsidR="00155AA1">
        <w:rPr>
          <w:rFonts w:ascii="Calibri" w:hAnsi="Calibri"/>
          <w:szCs w:val="22"/>
        </w:rPr>
        <w:t>této smlouvy</w:t>
      </w:r>
    </w:p>
    <w:p w:rsidR="00596F1F" w:rsidRPr="006D4E36" w:rsidRDefault="00596F1F" w:rsidP="00596F1F">
      <w:pPr>
        <w:numPr>
          <w:ilvl w:val="1"/>
          <w:numId w:val="6"/>
        </w:numPr>
        <w:tabs>
          <w:tab w:val="clear" w:pos="720"/>
          <w:tab w:val="num" w:pos="567"/>
        </w:tabs>
        <w:ind w:left="567" w:hanging="283"/>
        <w:jc w:val="both"/>
        <w:rPr>
          <w:rFonts w:ascii="Calibri" w:hAnsi="Calibri"/>
          <w:szCs w:val="22"/>
        </w:rPr>
      </w:pPr>
      <w:r w:rsidRPr="006D4E36">
        <w:rPr>
          <w:rFonts w:ascii="Calibri" w:hAnsi="Calibri"/>
          <w:szCs w:val="22"/>
        </w:rPr>
        <w:t xml:space="preserve">uvedení nepravdivého prohlášení </w:t>
      </w:r>
      <w:r>
        <w:rPr>
          <w:rFonts w:ascii="Calibri" w:hAnsi="Calibri"/>
          <w:szCs w:val="22"/>
        </w:rPr>
        <w:t>po</w:t>
      </w:r>
      <w:r w:rsidRPr="006D4E36">
        <w:rPr>
          <w:rFonts w:ascii="Calibri" w:hAnsi="Calibri"/>
          <w:szCs w:val="22"/>
        </w:rPr>
        <w:t>dle čl</w:t>
      </w:r>
      <w:r>
        <w:rPr>
          <w:rFonts w:ascii="Calibri" w:hAnsi="Calibri"/>
          <w:szCs w:val="22"/>
        </w:rPr>
        <w:t>ánku</w:t>
      </w:r>
      <w:r w:rsidRPr="006D4E36">
        <w:rPr>
          <w:rFonts w:ascii="Calibri" w:hAnsi="Calibri"/>
          <w:szCs w:val="22"/>
        </w:rPr>
        <w:t xml:space="preserve"> I</w:t>
      </w:r>
      <w:r>
        <w:rPr>
          <w:rFonts w:ascii="Calibri" w:hAnsi="Calibri"/>
          <w:szCs w:val="22"/>
        </w:rPr>
        <w:t>. odst.</w:t>
      </w:r>
      <w:r w:rsidRPr="006D4E36">
        <w:rPr>
          <w:rFonts w:ascii="Calibri" w:hAnsi="Calibri"/>
          <w:szCs w:val="22"/>
        </w:rPr>
        <w:t xml:space="preserve"> </w:t>
      </w:r>
      <w:r>
        <w:rPr>
          <w:rFonts w:ascii="Calibri" w:hAnsi="Calibri"/>
          <w:szCs w:val="22"/>
        </w:rPr>
        <w:t>7.</w:t>
      </w:r>
      <w:r w:rsidRPr="006D4E36">
        <w:rPr>
          <w:rFonts w:ascii="Calibri" w:hAnsi="Calibri"/>
          <w:szCs w:val="22"/>
        </w:rPr>
        <w:t xml:space="preserve"> </w:t>
      </w:r>
      <w:r w:rsidR="00155AA1">
        <w:rPr>
          <w:rFonts w:ascii="Calibri" w:hAnsi="Calibri"/>
          <w:szCs w:val="22"/>
        </w:rPr>
        <w:t>této smlouvy</w:t>
      </w:r>
    </w:p>
    <w:p w:rsidR="00596F1F" w:rsidRDefault="00C11F8E" w:rsidP="00596F1F">
      <w:pPr>
        <w:numPr>
          <w:ilvl w:val="1"/>
          <w:numId w:val="6"/>
        </w:numPr>
        <w:tabs>
          <w:tab w:val="clear" w:pos="720"/>
          <w:tab w:val="num" w:pos="567"/>
        </w:tabs>
        <w:ind w:left="567" w:hanging="283"/>
        <w:jc w:val="both"/>
        <w:rPr>
          <w:rFonts w:ascii="Calibri" w:hAnsi="Calibri"/>
          <w:szCs w:val="22"/>
        </w:rPr>
      </w:pPr>
      <w:r>
        <w:rPr>
          <w:rFonts w:ascii="Calibri" w:hAnsi="Calibri"/>
          <w:szCs w:val="22"/>
        </w:rPr>
        <w:t>porušení čl. IV. odst. 2 této smlouvy</w:t>
      </w:r>
    </w:p>
    <w:p w:rsidR="00C11F8E" w:rsidRDefault="00C11F8E" w:rsidP="00C11F8E">
      <w:pPr>
        <w:ind w:left="567"/>
        <w:jc w:val="both"/>
        <w:rPr>
          <w:rFonts w:ascii="Calibri" w:hAnsi="Calibri"/>
          <w:szCs w:val="22"/>
        </w:rPr>
      </w:pPr>
    </w:p>
    <w:p w:rsidR="00C11F8E" w:rsidRDefault="00C11F8E" w:rsidP="00C11F8E">
      <w:pPr>
        <w:numPr>
          <w:ilvl w:val="0"/>
          <w:numId w:val="6"/>
        </w:numPr>
        <w:jc w:val="both"/>
        <w:rPr>
          <w:rFonts w:ascii="Calibri" w:hAnsi="Calibri"/>
          <w:szCs w:val="22"/>
        </w:rPr>
      </w:pPr>
      <w:r>
        <w:rPr>
          <w:rFonts w:ascii="Calibri" w:hAnsi="Calibri"/>
          <w:szCs w:val="22"/>
        </w:rPr>
        <w:t>Výše nižších odvodů dle § 10a odst. 6 zákona č. 250/2000 Sb., je stanovena takto:</w:t>
      </w:r>
    </w:p>
    <w:p w:rsidR="00C11F8E" w:rsidRPr="00596F1F" w:rsidRDefault="00C11F8E" w:rsidP="00C11F8E">
      <w:pPr>
        <w:jc w:val="both"/>
        <w:rPr>
          <w:rFonts w:ascii="Calibri" w:hAnsi="Calibri"/>
          <w:szCs w:val="22"/>
        </w:rPr>
      </w:pPr>
    </w:p>
    <w:p w:rsidR="00C11F8E" w:rsidRDefault="00C11F8E" w:rsidP="00B64A33">
      <w:pPr>
        <w:numPr>
          <w:ilvl w:val="1"/>
          <w:numId w:val="6"/>
        </w:numPr>
        <w:tabs>
          <w:tab w:val="clear" w:pos="720"/>
          <w:tab w:val="num" w:pos="567"/>
        </w:tabs>
        <w:ind w:left="567" w:hanging="283"/>
        <w:jc w:val="both"/>
        <w:rPr>
          <w:rFonts w:ascii="Calibri" w:hAnsi="Calibri"/>
          <w:szCs w:val="22"/>
        </w:rPr>
      </w:pPr>
      <w:r>
        <w:rPr>
          <w:rFonts w:ascii="Calibri" w:hAnsi="Calibri"/>
          <w:szCs w:val="22"/>
        </w:rPr>
        <w:t>nepředání závěrečného vyúčtování v t</w:t>
      </w:r>
      <w:r w:rsidR="005A3754">
        <w:rPr>
          <w:rFonts w:ascii="Calibri" w:hAnsi="Calibri"/>
          <w:szCs w:val="22"/>
        </w:rPr>
        <w:t>ermínu (viz článek III. odst. 12</w:t>
      </w:r>
      <w:r>
        <w:rPr>
          <w:rFonts w:ascii="Calibri" w:hAnsi="Calibri"/>
          <w:szCs w:val="22"/>
        </w:rPr>
        <w:t>. a 15. této smlouvy):</w:t>
      </w:r>
    </w:p>
    <w:p w:rsidR="00C11F8E" w:rsidRDefault="00C11F8E" w:rsidP="00C11F8E">
      <w:pPr>
        <w:numPr>
          <w:ilvl w:val="2"/>
          <w:numId w:val="6"/>
        </w:numPr>
        <w:jc w:val="both"/>
        <w:rPr>
          <w:rFonts w:ascii="Calibri" w:hAnsi="Calibri"/>
          <w:szCs w:val="22"/>
        </w:rPr>
      </w:pPr>
      <w:r>
        <w:rPr>
          <w:rFonts w:ascii="Calibri" w:hAnsi="Calibri"/>
          <w:szCs w:val="22"/>
        </w:rPr>
        <w:t>Odvod ve výši 50% z dotace při překročení termínu do 5 pracovních dnů včetně,</w:t>
      </w:r>
    </w:p>
    <w:p w:rsidR="00C11F8E" w:rsidRDefault="00C11F8E" w:rsidP="00C11F8E">
      <w:pPr>
        <w:numPr>
          <w:ilvl w:val="2"/>
          <w:numId w:val="6"/>
        </w:numPr>
        <w:jc w:val="both"/>
        <w:rPr>
          <w:rFonts w:ascii="Calibri" w:hAnsi="Calibri"/>
          <w:szCs w:val="22"/>
        </w:rPr>
      </w:pPr>
      <w:r>
        <w:rPr>
          <w:rFonts w:ascii="Calibri" w:hAnsi="Calibri"/>
          <w:szCs w:val="22"/>
        </w:rPr>
        <w:t>Odvod ve výši 100% z dotace při překročení termínu o 5 a více pracovních dnů.</w:t>
      </w:r>
    </w:p>
    <w:p w:rsidR="00C11F8E" w:rsidRDefault="00C11F8E" w:rsidP="00C11F8E">
      <w:pPr>
        <w:ind w:left="907"/>
        <w:jc w:val="both"/>
        <w:rPr>
          <w:rFonts w:ascii="Calibri" w:hAnsi="Calibri"/>
          <w:szCs w:val="22"/>
        </w:rPr>
      </w:pPr>
      <w:r>
        <w:rPr>
          <w:rFonts w:ascii="Calibri" w:hAnsi="Calibri"/>
          <w:szCs w:val="22"/>
        </w:rPr>
        <w:t>O změně termínu doložení těchto dokumentů rozhoduje poskytovatel na žádost příjemce. Tuto žádost je nutné podat poskytovateli před uplynutím termínu, a to v listinné podobě poskytovateli poštovních služeb nebo na podatelnu poskytovatele. Za den podání žádosti o změnu termínu se považuje den, kdy byla žádost předána poskytovateli poštovních služeb nebo na podatelnu poskytovatele.</w:t>
      </w:r>
    </w:p>
    <w:p w:rsidR="00B64A33" w:rsidRPr="00E531E8" w:rsidRDefault="00C11F8E" w:rsidP="00B64A33">
      <w:pPr>
        <w:numPr>
          <w:ilvl w:val="1"/>
          <w:numId w:val="6"/>
        </w:numPr>
        <w:tabs>
          <w:tab w:val="clear" w:pos="720"/>
          <w:tab w:val="num" w:pos="567"/>
        </w:tabs>
        <w:ind w:left="567" w:hanging="283"/>
        <w:jc w:val="both"/>
        <w:rPr>
          <w:rFonts w:ascii="Calibri" w:hAnsi="Calibri"/>
          <w:szCs w:val="22"/>
        </w:rPr>
      </w:pPr>
      <w:r>
        <w:rPr>
          <w:rFonts w:ascii="Calibri" w:hAnsi="Calibri"/>
          <w:szCs w:val="22"/>
        </w:rPr>
        <w:t xml:space="preserve">uvedení </w:t>
      </w:r>
      <w:r w:rsidR="00B64A33" w:rsidRPr="00B64A33">
        <w:rPr>
          <w:rFonts w:ascii="Calibri" w:hAnsi="Calibri"/>
          <w:szCs w:val="22"/>
        </w:rPr>
        <w:t xml:space="preserve">nesprávných údajů v žádosti o dotaci či v této smlouvě – odvod ve výši 50 % z </w:t>
      </w:r>
      <w:r w:rsidR="00B64A33" w:rsidRPr="00E531E8">
        <w:rPr>
          <w:rFonts w:ascii="Calibri" w:hAnsi="Calibri"/>
          <w:szCs w:val="22"/>
        </w:rPr>
        <w:t>dotace,</w:t>
      </w:r>
    </w:p>
    <w:p w:rsidR="00B64A33" w:rsidRPr="00E531E8" w:rsidRDefault="00B64A33" w:rsidP="00B64A33">
      <w:pPr>
        <w:numPr>
          <w:ilvl w:val="1"/>
          <w:numId w:val="6"/>
        </w:numPr>
        <w:tabs>
          <w:tab w:val="clear" w:pos="720"/>
          <w:tab w:val="num" w:pos="567"/>
        </w:tabs>
        <w:ind w:left="567" w:hanging="283"/>
        <w:jc w:val="both"/>
        <w:rPr>
          <w:rFonts w:ascii="Calibri" w:hAnsi="Calibri"/>
          <w:szCs w:val="22"/>
        </w:rPr>
      </w:pPr>
      <w:r w:rsidRPr="00E531E8">
        <w:rPr>
          <w:rFonts w:ascii="Calibri" w:hAnsi="Calibri"/>
          <w:szCs w:val="22"/>
        </w:rPr>
        <w:t xml:space="preserve">nedodržení povinnosti publicity – odvod ve výši </w:t>
      </w:r>
      <w:r>
        <w:rPr>
          <w:rFonts w:ascii="Calibri" w:hAnsi="Calibri"/>
          <w:szCs w:val="22"/>
        </w:rPr>
        <w:t>1</w:t>
      </w:r>
      <w:r w:rsidRPr="00E531E8">
        <w:rPr>
          <w:rFonts w:ascii="Calibri" w:hAnsi="Calibri"/>
          <w:szCs w:val="22"/>
        </w:rPr>
        <w:t>0</w:t>
      </w:r>
      <w:r>
        <w:rPr>
          <w:rFonts w:ascii="Calibri" w:hAnsi="Calibri"/>
          <w:szCs w:val="22"/>
        </w:rPr>
        <w:t xml:space="preserve"> </w:t>
      </w:r>
      <w:r w:rsidRPr="00E531E8">
        <w:rPr>
          <w:rFonts w:ascii="Calibri" w:hAnsi="Calibri"/>
          <w:szCs w:val="22"/>
        </w:rPr>
        <w:t xml:space="preserve">% z dotace, </w:t>
      </w:r>
    </w:p>
    <w:p w:rsidR="00B64A33" w:rsidRPr="006D4E36" w:rsidRDefault="00B64A33" w:rsidP="00B64A33">
      <w:pPr>
        <w:numPr>
          <w:ilvl w:val="1"/>
          <w:numId w:val="6"/>
        </w:numPr>
        <w:tabs>
          <w:tab w:val="clear" w:pos="720"/>
          <w:tab w:val="num" w:pos="567"/>
        </w:tabs>
        <w:ind w:left="567" w:hanging="283"/>
        <w:jc w:val="both"/>
        <w:rPr>
          <w:rFonts w:ascii="Calibri" w:hAnsi="Calibri"/>
          <w:szCs w:val="22"/>
        </w:rPr>
      </w:pPr>
      <w:r w:rsidRPr="006D4E36">
        <w:rPr>
          <w:rFonts w:ascii="Calibri" w:hAnsi="Calibri"/>
          <w:szCs w:val="22"/>
        </w:rPr>
        <w:t>porušení čl</w:t>
      </w:r>
      <w:r>
        <w:rPr>
          <w:rFonts w:ascii="Calibri" w:hAnsi="Calibri"/>
          <w:szCs w:val="22"/>
        </w:rPr>
        <w:t>ánku</w:t>
      </w:r>
      <w:r w:rsidRPr="006D4E36">
        <w:rPr>
          <w:rFonts w:ascii="Calibri" w:hAnsi="Calibri"/>
          <w:szCs w:val="22"/>
        </w:rPr>
        <w:t xml:space="preserve"> III. </w:t>
      </w:r>
      <w:r w:rsidR="0054672C">
        <w:rPr>
          <w:rFonts w:ascii="Calibri" w:hAnsi="Calibri"/>
          <w:szCs w:val="22"/>
        </w:rPr>
        <w:t>odst.</w:t>
      </w:r>
      <w:r w:rsidR="005A3754">
        <w:rPr>
          <w:rFonts w:ascii="Calibri" w:hAnsi="Calibri"/>
          <w:szCs w:val="22"/>
        </w:rPr>
        <w:t xml:space="preserve"> 4</w:t>
      </w:r>
      <w:r>
        <w:rPr>
          <w:rFonts w:ascii="Calibri" w:hAnsi="Calibri"/>
          <w:szCs w:val="22"/>
        </w:rPr>
        <w:t>.</w:t>
      </w:r>
      <w:r w:rsidRPr="006D4E36">
        <w:rPr>
          <w:rFonts w:ascii="Calibri" w:hAnsi="Calibri"/>
          <w:szCs w:val="22"/>
        </w:rPr>
        <w:t xml:space="preserve"> a </w:t>
      </w:r>
      <w:r w:rsidR="0054672C">
        <w:rPr>
          <w:rFonts w:ascii="Calibri" w:hAnsi="Calibri"/>
          <w:szCs w:val="22"/>
        </w:rPr>
        <w:t>odst.</w:t>
      </w:r>
      <w:r w:rsidR="00D461AC">
        <w:rPr>
          <w:rFonts w:ascii="Calibri" w:hAnsi="Calibri"/>
          <w:szCs w:val="22"/>
        </w:rPr>
        <w:t xml:space="preserve"> 9</w:t>
      </w:r>
      <w:r>
        <w:rPr>
          <w:rFonts w:ascii="Calibri" w:hAnsi="Calibri"/>
          <w:szCs w:val="22"/>
        </w:rPr>
        <w:t>.</w:t>
      </w:r>
      <w:r w:rsidRPr="006D4E36">
        <w:rPr>
          <w:rFonts w:ascii="Calibri" w:hAnsi="Calibri"/>
          <w:szCs w:val="22"/>
        </w:rPr>
        <w:t xml:space="preserve"> této smlouvy – odvod ve výši 20</w:t>
      </w:r>
      <w:r>
        <w:rPr>
          <w:rFonts w:ascii="Calibri" w:hAnsi="Calibri"/>
          <w:szCs w:val="22"/>
        </w:rPr>
        <w:t xml:space="preserve"> </w:t>
      </w:r>
      <w:r w:rsidRPr="006D4E36">
        <w:rPr>
          <w:rFonts w:ascii="Calibri" w:hAnsi="Calibri"/>
          <w:szCs w:val="22"/>
        </w:rPr>
        <w:t>% z dotace,</w:t>
      </w:r>
    </w:p>
    <w:p w:rsidR="00B64A33" w:rsidRDefault="00B64A33" w:rsidP="00CA6392">
      <w:pPr>
        <w:numPr>
          <w:ilvl w:val="1"/>
          <w:numId w:val="6"/>
        </w:numPr>
        <w:tabs>
          <w:tab w:val="clear" w:pos="720"/>
          <w:tab w:val="num" w:pos="567"/>
        </w:tabs>
        <w:ind w:left="567" w:hanging="283"/>
        <w:jc w:val="both"/>
        <w:rPr>
          <w:rFonts w:ascii="Calibri" w:hAnsi="Calibri"/>
          <w:szCs w:val="22"/>
        </w:rPr>
      </w:pPr>
      <w:r>
        <w:rPr>
          <w:rFonts w:ascii="Calibri" w:hAnsi="Calibri"/>
          <w:szCs w:val="22"/>
        </w:rPr>
        <w:t>porušení článku</w:t>
      </w:r>
      <w:r w:rsidRPr="006D4E36">
        <w:rPr>
          <w:rFonts w:ascii="Calibri" w:hAnsi="Calibri"/>
          <w:szCs w:val="22"/>
        </w:rPr>
        <w:t xml:space="preserve"> IV. </w:t>
      </w:r>
      <w:r w:rsidR="0054672C">
        <w:rPr>
          <w:rFonts w:ascii="Calibri" w:hAnsi="Calibri"/>
          <w:szCs w:val="22"/>
        </w:rPr>
        <w:t>odst.</w:t>
      </w:r>
      <w:r w:rsidRPr="006D4E36">
        <w:rPr>
          <w:rFonts w:ascii="Calibri" w:hAnsi="Calibri"/>
          <w:szCs w:val="22"/>
        </w:rPr>
        <w:t xml:space="preserve"> 1</w:t>
      </w:r>
      <w:r>
        <w:rPr>
          <w:rFonts w:ascii="Calibri" w:hAnsi="Calibri"/>
          <w:szCs w:val="22"/>
        </w:rPr>
        <w:t>. této smlouvy</w:t>
      </w:r>
      <w:r w:rsidR="00C11F8E">
        <w:rPr>
          <w:rFonts w:ascii="Calibri" w:hAnsi="Calibri"/>
          <w:szCs w:val="22"/>
        </w:rPr>
        <w:t xml:space="preserve"> (kromě výše odvodu v tomto odstavci popsané</w:t>
      </w:r>
      <w:r w:rsidRPr="006D4E36">
        <w:rPr>
          <w:rFonts w:ascii="Calibri" w:hAnsi="Calibri"/>
          <w:szCs w:val="22"/>
        </w:rPr>
        <w:t>) – odvod ve výši 30</w:t>
      </w:r>
      <w:r>
        <w:rPr>
          <w:rFonts w:ascii="Calibri" w:hAnsi="Calibri"/>
          <w:szCs w:val="22"/>
        </w:rPr>
        <w:t xml:space="preserve"> </w:t>
      </w:r>
      <w:r w:rsidRPr="006D4E36">
        <w:rPr>
          <w:rFonts w:ascii="Calibri" w:hAnsi="Calibri"/>
          <w:szCs w:val="22"/>
        </w:rPr>
        <w:t xml:space="preserve">% z dotace, </w:t>
      </w:r>
    </w:p>
    <w:p w:rsidR="00B64A33" w:rsidRDefault="00B64A33" w:rsidP="00CA6392">
      <w:pPr>
        <w:numPr>
          <w:ilvl w:val="1"/>
          <w:numId w:val="6"/>
        </w:numPr>
        <w:tabs>
          <w:tab w:val="clear" w:pos="720"/>
          <w:tab w:val="num" w:pos="567"/>
        </w:tabs>
        <w:ind w:left="567" w:hanging="283"/>
        <w:jc w:val="both"/>
        <w:rPr>
          <w:rFonts w:ascii="Calibri" w:hAnsi="Calibri"/>
          <w:szCs w:val="22"/>
        </w:rPr>
      </w:pPr>
      <w:r w:rsidRPr="00CA6392">
        <w:rPr>
          <w:rFonts w:ascii="Calibri" w:hAnsi="Calibri"/>
          <w:szCs w:val="22"/>
        </w:rPr>
        <w:t>porušení dalších povi</w:t>
      </w:r>
      <w:r w:rsidR="00CA6392" w:rsidRPr="00CA6392">
        <w:rPr>
          <w:rFonts w:ascii="Calibri" w:hAnsi="Calibri"/>
          <w:szCs w:val="22"/>
        </w:rPr>
        <w:t>nností uvedených v této smlouvě či</w:t>
      </w:r>
      <w:r w:rsidRPr="00CA6392">
        <w:rPr>
          <w:rFonts w:ascii="Calibri" w:hAnsi="Calibri"/>
          <w:szCs w:val="22"/>
        </w:rPr>
        <w:t xml:space="preserve"> souvisejících do</w:t>
      </w:r>
      <w:r w:rsidR="00CA6392" w:rsidRPr="00CA6392">
        <w:rPr>
          <w:rFonts w:ascii="Calibri" w:hAnsi="Calibri"/>
          <w:szCs w:val="22"/>
        </w:rPr>
        <w:t>kumentech</w:t>
      </w:r>
      <w:r w:rsidRPr="00CA6392">
        <w:rPr>
          <w:rFonts w:ascii="Calibri" w:hAnsi="Calibri"/>
          <w:szCs w:val="22"/>
        </w:rPr>
        <w:t xml:space="preserve"> - odvod ve výši 50 </w:t>
      </w:r>
      <w:r w:rsidR="00163672" w:rsidRPr="00CA6392">
        <w:rPr>
          <w:rFonts w:ascii="Calibri" w:hAnsi="Calibri"/>
          <w:szCs w:val="22"/>
        </w:rPr>
        <w:t>% z </w:t>
      </w:r>
      <w:r w:rsidR="00CA6392">
        <w:rPr>
          <w:rFonts w:ascii="Calibri" w:hAnsi="Calibri"/>
          <w:szCs w:val="22"/>
        </w:rPr>
        <w:t>poskytnutých prostředků dotace.</w:t>
      </w:r>
    </w:p>
    <w:p w:rsidR="00CA6392" w:rsidRPr="00CA6392" w:rsidRDefault="00CA6392" w:rsidP="00CA6392">
      <w:pPr>
        <w:ind w:left="567"/>
        <w:jc w:val="both"/>
        <w:rPr>
          <w:rFonts w:ascii="Calibri" w:hAnsi="Calibri"/>
          <w:szCs w:val="22"/>
        </w:rPr>
      </w:pPr>
    </w:p>
    <w:p w:rsidR="00B64A33" w:rsidRPr="00E531E8" w:rsidRDefault="00B64A33" w:rsidP="00B64A33">
      <w:pPr>
        <w:numPr>
          <w:ilvl w:val="0"/>
          <w:numId w:val="6"/>
        </w:numPr>
        <w:spacing w:after="120"/>
        <w:ind w:left="357" w:hanging="357"/>
        <w:jc w:val="both"/>
        <w:rPr>
          <w:rFonts w:ascii="Calibri" w:hAnsi="Calibri"/>
          <w:szCs w:val="22"/>
        </w:rPr>
      </w:pPr>
      <w:r w:rsidRPr="00CA6392">
        <w:rPr>
          <w:rFonts w:ascii="Calibri" w:hAnsi="Calibri"/>
          <w:szCs w:val="22"/>
        </w:rPr>
        <w:t>Dotace či její části se považují za vrácené dnem, kdy byly připsány na účet poskytovatele.</w:t>
      </w:r>
    </w:p>
    <w:p w:rsidR="00B64A33" w:rsidRDefault="00B64A33" w:rsidP="00C138A1">
      <w:pPr>
        <w:numPr>
          <w:ilvl w:val="0"/>
          <w:numId w:val="6"/>
        </w:numPr>
        <w:spacing w:after="120"/>
        <w:jc w:val="both"/>
        <w:rPr>
          <w:rFonts w:ascii="Calibri" w:hAnsi="Calibri"/>
          <w:szCs w:val="22"/>
        </w:rPr>
      </w:pPr>
      <w:r w:rsidRPr="00E531E8">
        <w:rPr>
          <w:rFonts w:ascii="Calibri" w:hAnsi="Calibri"/>
          <w:szCs w:val="22"/>
        </w:rPr>
        <w:t xml:space="preserve">Veškeré platby, jako důsledky porušení závazků, provede </w:t>
      </w:r>
      <w:r>
        <w:rPr>
          <w:rFonts w:ascii="Calibri" w:hAnsi="Calibri"/>
          <w:szCs w:val="22"/>
        </w:rPr>
        <w:t>p</w:t>
      </w:r>
      <w:r w:rsidRPr="00E531E8">
        <w:rPr>
          <w:rFonts w:ascii="Calibri" w:hAnsi="Calibri"/>
          <w:szCs w:val="22"/>
        </w:rPr>
        <w:t>říjemce formou bezhotovostního převodu na účet poskyto</w:t>
      </w:r>
      <w:r w:rsidR="00CA17CB">
        <w:rPr>
          <w:rFonts w:ascii="Calibri" w:hAnsi="Calibri"/>
          <w:szCs w:val="22"/>
        </w:rPr>
        <w:t>vatele:</w:t>
      </w:r>
      <w:r w:rsidR="00C138A1" w:rsidRPr="00C138A1">
        <w:t xml:space="preserve"> </w:t>
      </w:r>
      <w:r w:rsidR="00961797">
        <w:t xml:space="preserve">č. </w:t>
      </w:r>
      <w:r w:rsidR="00961797" w:rsidRPr="00961797">
        <w:rPr>
          <w:rFonts w:ascii="Calibri" w:hAnsi="Calibri"/>
        </w:rPr>
        <w:t>27-0603140379/0800</w:t>
      </w:r>
      <w:r w:rsidR="00961797">
        <w:rPr>
          <w:rFonts w:ascii="Calibri" w:hAnsi="Calibri"/>
        </w:rPr>
        <w:t>.</w:t>
      </w:r>
    </w:p>
    <w:p w:rsidR="007D580A" w:rsidRPr="00E531E8" w:rsidRDefault="007D580A" w:rsidP="007D580A">
      <w:pPr>
        <w:spacing w:after="120"/>
        <w:ind w:left="357"/>
        <w:jc w:val="both"/>
        <w:rPr>
          <w:rFonts w:ascii="Calibri" w:hAnsi="Calibri"/>
          <w:szCs w:val="22"/>
        </w:rPr>
      </w:pPr>
    </w:p>
    <w:p w:rsidR="00B64A33" w:rsidRPr="00E531E8" w:rsidRDefault="00B64A33" w:rsidP="00B64A33">
      <w:pPr>
        <w:keepNext/>
        <w:spacing w:before="240"/>
        <w:jc w:val="center"/>
        <w:rPr>
          <w:rFonts w:ascii="Calibri" w:hAnsi="Calibri"/>
          <w:b/>
          <w:szCs w:val="22"/>
        </w:rPr>
      </w:pPr>
      <w:r w:rsidRPr="00E531E8">
        <w:rPr>
          <w:rFonts w:ascii="Calibri" w:hAnsi="Calibri"/>
          <w:b/>
          <w:szCs w:val="22"/>
        </w:rPr>
        <w:t>VII.</w:t>
      </w:r>
    </w:p>
    <w:p w:rsidR="008D3AB1" w:rsidRPr="00E531E8" w:rsidRDefault="008D3AB1" w:rsidP="008D3AB1">
      <w:pPr>
        <w:keepNext/>
        <w:spacing w:after="120"/>
        <w:jc w:val="center"/>
        <w:rPr>
          <w:rFonts w:ascii="Calibri" w:hAnsi="Calibri"/>
          <w:b/>
          <w:szCs w:val="22"/>
        </w:rPr>
      </w:pPr>
      <w:r w:rsidRPr="00E531E8">
        <w:rPr>
          <w:rFonts w:ascii="Calibri" w:hAnsi="Calibri"/>
          <w:b/>
          <w:szCs w:val="22"/>
        </w:rPr>
        <w:t>Ukončení smlouvy, výpověď smlouvy a sankce</w:t>
      </w:r>
    </w:p>
    <w:p w:rsidR="008D3AB1" w:rsidRPr="00E531E8" w:rsidRDefault="008D3AB1" w:rsidP="008D3AB1">
      <w:pPr>
        <w:numPr>
          <w:ilvl w:val="0"/>
          <w:numId w:val="5"/>
        </w:numPr>
        <w:spacing w:after="120"/>
        <w:ind w:hanging="357"/>
        <w:jc w:val="both"/>
        <w:rPr>
          <w:rFonts w:ascii="Calibri" w:hAnsi="Calibri"/>
          <w:szCs w:val="22"/>
        </w:rPr>
      </w:pPr>
      <w:r w:rsidRPr="00E531E8">
        <w:rPr>
          <w:rFonts w:ascii="Calibri" w:hAnsi="Calibri"/>
          <w:szCs w:val="22"/>
        </w:rPr>
        <w:t>Závazkový vztah založený touto smlouvou lze ukončit na základě dohody smluvních stran nebo výpovědí.</w:t>
      </w:r>
    </w:p>
    <w:p w:rsidR="008D3AB1" w:rsidRDefault="008D3AB1" w:rsidP="008D3AB1">
      <w:pPr>
        <w:numPr>
          <w:ilvl w:val="0"/>
          <w:numId w:val="5"/>
        </w:numPr>
        <w:spacing w:after="120"/>
        <w:ind w:hanging="357"/>
        <w:jc w:val="both"/>
        <w:rPr>
          <w:rFonts w:ascii="Calibri" w:hAnsi="Calibri"/>
          <w:szCs w:val="22"/>
        </w:rPr>
      </w:pPr>
      <w:r w:rsidRPr="00E531E8">
        <w:rPr>
          <w:rFonts w:ascii="Calibri" w:hAnsi="Calibri"/>
          <w:szCs w:val="22"/>
        </w:rPr>
        <w:t xml:space="preserve">V případě, že příjemce nebude projekt realizovat, je kterákoli ze smluvních stran oprávněna smlouvu vypovědět. </w:t>
      </w:r>
    </w:p>
    <w:p w:rsidR="008D3AB1" w:rsidRPr="00E531E8" w:rsidRDefault="008D3AB1" w:rsidP="008D3AB1">
      <w:pPr>
        <w:numPr>
          <w:ilvl w:val="0"/>
          <w:numId w:val="5"/>
        </w:numPr>
        <w:spacing w:after="120"/>
        <w:ind w:hanging="357"/>
        <w:jc w:val="both"/>
        <w:rPr>
          <w:rFonts w:ascii="Calibri" w:hAnsi="Calibri"/>
          <w:szCs w:val="22"/>
        </w:rPr>
      </w:pPr>
      <w:r>
        <w:rPr>
          <w:rFonts w:ascii="Calibri" w:hAnsi="Calibri"/>
          <w:szCs w:val="22"/>
        </w:rPr>
        <w:t>Výpovědní lhůta činí 15 dní ode dne doručení výpovědi druhé smluvní straně.</w:t>
      </w:r>
      <w:r w:rsidR="008B3A9A" w:rsidRPr="008B3A9A">
        <w:rPr>
          <w:rFonts w:ascii="Calibri" w:hAnsi="Calibri"/>
          <w:szCs w:val="22"/>
        </w:rPr>
        <w:t xml:space="preserve"> </w:t>
      </w:r>
      <w:r w:rsidR="008B3A9A" w:rsidRPr="00352AE6">
        <w:rPr>
          <w:rFonts w:ascii="Calibri" w:hAnsi="Calibri"/>
          <w:szCs w:val="22"/>
        </w:rPr>
        <w:t>V případě</w:t>
      </w:r>
      <w:r w:rsidR="008B3A9A" w:rsidRPr="00E531E8">
        <w:rPr>
          <w:rFonts w:ascii="Calibri" w:hAnsi="Calibri"/>
          <w:szCs w:val="22"/>
        </w:rPr>
        <w:t xml:space="preserve"> pochybností se má za to, že je doručena 10. den od jejího odeslání.</w:t>
      </w:r>
    </w:p>
    <w:p w:rsidR="008D3AB1" w:rsidRPr="00E531E8" w:rsidRDefault="008D3AB1" w:rsidP="008D3AB1">
      <w:pPr>
        <w:numPr>
          <w:ilvl w:val="0"/>
          <w:numId w:val="5"/>
        </w:numPr>
        <w:spacing w:after="120"/>
        <w:ind w:hanging="357"/>
        <w:jc w:val="both"/>
        <w:rPr>
          <w:rFonts w:ascii="Calibri" w:hAnsi="Calibri"/>
          <w:szCs w:val="22"/>
        </w:rPr>
      </w:pPr>
      <w:r w:rsidRPr="00E531E8">
        <w:rPr>
          <w:rFonts w:ascii="Calibri" w:hAnsi="Calibri"/>
          <w:szCs w:val="22"/>
        </w:rPr>
        <w:t xml:space="preserve">Smluvní strany se dohodly, že v případě výpovědi smlouvy kteroukoli ze smluvních stran, vrátí příjemce poskytovateli celkovou výši dotace do 15 dnů od </w:t>
      </w:r>
      <w:r>
        <w:rPr>
          <w:rFonts w:ascii="Calibri" w:hAnsi="Calibri"/>
          <w:szCs w:val="22"/>
        </w:rPr>
        <w:t>uplynutí výpovědní doby</w:t>
      </w:r>
      <w:r w:rsidRPr="00E531E8">
        <w:rPr>
          <w:rFonts w:ascii="Calibri" w:hAnsi="Calibri"/>
          <w:szCs w:val="22"/>
        </w:rPr>
        <w:t xml:space="preserve">. Tímto není dotčeno ustanovení čl. VI. </w:t>
      </w:r>
      <w:r>
        <w:rPr>
          <w:rFonts w:ascii="Calibri" w:hAnsi="Calibri"/>
          <w:szCs w:val="22"/>
        </w:rPr>
        <w:br/>
      </w:r>
      <w:r w:rsidRPr="00E531E8">
        <w:rPr>
          <w:rFonts w:ascii="Calibri" w:hAnsi="Calibri"/>
          <w:szCs w:val="22"/>
        </w:rPr>
        <w:t xml:space="preserve">a předchozích odstavců článku VII. Nevrátí-li </w:t>
      </w:r>
      <w:r>
        <w:rPr>
          <w:rFonts w:ascii="Calibri" w:hAnsi="Calibri"/>
          <w:szCs w:val="22"/>
        </w:rPr>
        <w:t>p</w:t>
      </w:r>
      <w:r w:rsidRPr="00E531E8">
        <w:rPr>
          <w:rFonts w:ascii="Calibri" w:hAnsi="Calibri"/>
          <w:szCs w:val="22"/>
        </w:rPr>
        <w:t xml:space="preserve">říjemce dotaci v tomto termínu, považují se tyto finanční prostředky za zadržené ve smyslu § 22 zákona č. 250/2000 Sb., a </w:t>
      </w:r>
      <w:r>
        <w:rPr>
          <w:rFonts w:ascii="Calibri" w:hAnsi="Calibri"/>
          <w:szCs w:val="22"/>
        </w:rPr>
        <w:t>p</w:t>
      </w:r>
      <w:r w:rsidRPr="00E531E8">
        <w:rPr>
          <w:rFonts w:ascii="Calibri" w:hAnsi="Calibri"/>
          <w:szCs w:val="22"/>
        </w:rPr>
        <w:t>oskytovatel bude postupovat v souladu s tímto ustanovením</w:t>
      </w:r>
      <w:r>
        <w:rPr>
          <w:rFonts w:ascii="Calibri" w:hAnsi="Calibri"/>
          <w:szCs w:val="22"/>
        </w:rPr>
        <w:t>.</w:t>
      </w:r>
    </w:p>
    <w:p w:rsidR="008D3AB1" w:rsidRPr="00E531E8" w:rsidRDefault="008D3AB1" w:rsidP="008D3AB1">
      <w:pPr>
        <w:numPr>
          <w:ilvl w:val="0"/>
          <w:numId w:val="5"/>
        </w:numPr>
        <w:spacing w:after="120"/>
        <w:ind w:hanging="357"/>
        <w:jc w:val="both"/>
        <w:rPr>
          <w:rFonts w:ascii="Calibri" w:hAnsi="Calibri"/>
          <w:szCs w:val="22"/>
        </w:rPr>
      </w:pPr>
      <w:r w:rsidRPr="00E531E8">
        <w:rPr>
          <w:rFonts w:ascii="Calibri" w:hAnsi="Calibri"/>
          <w:szCs w:val="22"/>
        </w:rPr>
        <w:t>Dnem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 po ukončení smlouvy.</w:t>
      </w:r>
    </w:p>
    <w:p w:rsidR="008D3AB1" w:rsidRPr="00E531E8" w:rsidRDefault="008D3AB1" w:rsidP="008D3AB1">
      <w:pPr>
        <w:numPr>
          <w:ilvl w:val="0"/>
          <w:numId w:val="5"/>
        </w:numPr>
        <w:spacing w:after="120"/>
        <w:ind w:hanging="357"/>
        <w:jc w:val="both"/>
        <w:rPr>
          <w:rFonts w:ascii="Calibri" w:hAnsi="Calibri"/>
          <w:szCs w:val="22"/>
        </w:rPr>
      </w:pPr>
      <w:r w:rsidRPr="00E531E8">
        <w:rPr>
          <w:rFonts w:ascii="Calibri" w:hAnsi="Calibri"/>
          <w:szCs w:val="22"/>
        </w:rPr>
        <w:t>Výpověď smlouvy se nedotýká nároku na náhradu škody</w:t>
      </w:r>
      <w:r>
        <w:rPr>
          <w:rFonts w:ascii="Calibri" w:hAnsi="Calibri"/>
          <w:szCs w:val="22"/>
        </w:rPr>
        <w:t>,</w:t>
      </w:r>
      <w:r w:rsidRPr="00E531E8">
        <w:rPr>
          <w:rFonts w:ascii="Calibri" w:hAnsi="Calibri"/>
          <w:szCs w:val="22"/>
        </w:rPr>
        <w:t xml:space="preserve"> vzniklé porušením smlouvy.</w:t>
      </w:r>
    </w:p>
    <w:p w:rsidR="00B64A33" w:rsidRPr="007D580A" w:rsidRDefault="008D3AB1" w:rsidP="00B64A33">
      <w:pPr>
        <w:numPr>
          <w:ilvl w:val="0"/>
          <w:numId w:val="5"/>
        </w:numPr>
        <w:spacing w:after="120"/>
        <w:ind w:hanging="357"/>
        <w:jc w:val="both"/>
        <w:rPr>
          <w:rFonts w:ascii="Calibri" w:hAnsi="Calibri"/>
        </w:rPr>
      </w:pPr>
      <w:r w:rsidRPr="00E531E8">
        <w:rPr>
          <w:rFonts w:ascii="Calibri" w:hAnsi="Calibri"/>
          <w:szCs w:val="22"/>
        </w:rPr>
        <w:t>Výpověď smlouvy musí být učiněna písemnou formou a musí v ní být uveden důvod výpovědi.</w:t>
      </w:r>
      <w:r w:rsidRPr="00352AE6">
        <w:rPr>
          <w:rFonts w:ascii="Calibri" w:hAnsi="Calibri"/>
          <w:szCs w:val="22"/>
        </w:rPr>
        <w:t xml:space="preserve"> </w:t>
      </w:r>
    </w:p>
    <w:p w:rsidR="007D580A" w:rsidRDefault="007D580A" w:rsidP="007D580A">
      <w:pPr>
        <w:spacing w:after="120"/>
        <w:ind w:left="360"/>
        <w:jc w:val="both"/>
        <w:rPr>
          <w:rFonts w:ascii="Calibri" w:hAnsi="Calibri"/>
        </w:rPr>
      </w:pPr>
    </w:p>
    <w:p w:rsidR="00374889" w:rsidRPr="004C464E" w:rsidRDefault="00374889" w:rsidP="007D580A">
      <w:pPr>
        <w:spacing w:after="120"/>
        <w:ind w:left="360"/>
        <w:jc w:val="both"/>
        <w:rPr>
          <w:rFonts w:ascii="Calibri" w:hAnsi="Calibri"/>
        </w:rPr>
      </w:pPr>
    </w:p>
    <w:p w:rsidR="00B64A33" w:rsidRDefault="00B64A33" w:rsidP="00B64A33">
      <w:pPr>
        <w:keepNext/>
        <w:keepLines/>
        <w:spacing w:before="240"/>
        <w:jc w:val="center"/>
        <w:rPr>
          <w:rFonts w:ascii="Calibri" w:hAnsi="Calibri"/>
          <w:b/>
          <w:szCs w:val="22"/>
        </w:rPr>
      </w:pPr>
      <w:r w:rsidRPr="00E531E8">
        <w:rPr>
          <w:rFonts w:ascii="Calibri" w:hAnsi="Calibri"/>
          <w:b/>
          <w:szCs w:val="22"/>
        </w:rPr>
        <w:t>VIII.</w:t>
      </w:r>
    </w:p>
    <w:p w:rsidR="008B3A9A" w:rsidRPr="007B6215" w:rsidRDefault="008B3A9A" w:rsidP="008B3A9A">
      <w:pPr>
        <w:spacing w:after="120"/>
        <w:ind w:left="-142" w:right="-142"/>
        <w:jc w:val="center"/>
        <w:rPr>
          <w:rFonts w:ascii="Calibri" w:hAnsi="Calibri" w:cs="Arial"/>
          <w:b/>
        </w:rPr>
      </w:pPr>
      <w:r w:rsidRPr="007B6215">
        <w:rPr>
          <w:rFonts w:ascii="Calibri" w:hAnsi="Calibri" w:cs="Arial"/>
          <w:b/>
        </w:rPr>
        <w:t>Povinnosti příjemce při přeměně právnické osoby, při prohlášení úpadku či zrušení s likvidací</w:t>
      </w:r>
    </w:p>
    <w:p w:rsidR="008B3A9A" w:rsidRPr="007B6215" w:rsidRDefault="008B3A9A" w:rsidP="008B3A9A">
      <w:pPr>
        <w:ind w:left="-142" w:right="-142"/>
        <w:rPr>
          <w:rFonts w:ascii="Calibri" w:hAnsi="Calibri" w:cs="Arial"/>
          <w:b/>
          <w:i/>
        </w:rPr>
      </w:pPr>
    </w:p>
    <w:p w:rsidR="008B3A9A" w:rsidRPr="007B6215" w:rsidRDefault="008B3A9A" w:rsidP="008B3A9A">
      <w:pPr>
        <w:pStyle w:val="Odstavecseseznamem"/>
        <w:numPr>
          <w:ilvl w:val="0"/>
          <w:numId w:val="12"/>
        </w:numPr>
        <w:spacing w:after="120"/>
        <w:ind w:left="425" w:hanging="425"/>
        <w:jc w:val="both"/>
        <w:rPr>
          <w:rFonts w:ascii="Calibri" w:hAnsi="Calibri" w:cs="Arial"/>
        </w:rPr>
      </w:pPr>
      <w:r w:rsidRPr="007B6215">
        <w:rPr>
          <w:rFonts w:ascii="Calibri" w:hAnsi="Calibri" w:cs="Arial"/>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w:t>
      </w:r>
    </w:p>
    <w:p w:rsidR="008B3A9A" w:rsidRPr="007B6215" w:rsidRDefault="008B3A9A" w:rsidP="008B3A9A">
      <w:pPr>
        <w:pStyle w:val="Odstavecseseznamem"/>
        <w:numPr>
          <w:ilvl w:val="0"/>
          <w:numId w:val="12"/>
        </w:numPr>
        <w:spacing w:after="120"/>
        <w:ind w:left="425" w:hanging="425"/>
        <w:jc w:val="both"/>
        <w:rPr>
          <w:rFonts w:ascii="Calibri" w:hAnsi="Calibri" w:cs="Arial"/>
        </w:rPr>
      </w:pPr>
      <w:r w:rsidRPr="007B6215">
        <w:rPr>
          <w:rFonts w:ascii="Calibri" w:hAnsi="Calibri" w:cs="Arial"/>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8B3A9A" w:rsidRPr="007B6215" w:rsidRDefault="008B3A9A" w:rsidP="008B3A9A">
      <w:pPr>
        <w:pStyle w:val="Odstavecseseznamem"/>
        <w:numPr>
          <w:ilvl w:val="0"/>
          <w:numId w:val="12"/>
        </w:numPr>
        <w:spacing w:after="120"/>
        <w:ind w:left="425" w:hanging="425"/>
        <w:jc w:val="both"/>
        <w:rPr>
          <w:rFonts w:ascii="Calibri" w:hAnsi="Calibri" w:cs="Arial"/>
        </w:rPr>
      </w:pPr>
      <w:r w:rsidRPr="007B6215">
        <w:rPr>
          <w:rFonts w:ascii="Calibri" w:hAnsi="Calibri" w:cs="Arial"/>
        </w:rPr>
        <w:t xml:space="preserve">V případě, že poskytovatel žádosti vyhoví, spraví o tom bez zbytečného odkladu příjemce </w:t>
      </w:r>
      <w:r w:rsidRPr="007B6215">
        <w:rPr>
          <w:rFonts w:ascii="Calibri" w:hAnsi="Calibri" w:cs="Arial"/>
        </w:rPr>
        <w:br/>
        <w:t>po projednání v příslušném orgánu poskytovatele a uzavře dodatek ke smlouvě, který bude obsahovat popis a důvod jeho uzavření s ohledem na přeměnu příjemce.</w:t>
      </w:r>
    </w:p>
    <w:p w:rsidR="008B3A9A" w:rsidRPr="007B6215" w:rsidRDefault="008B3A9A" w:rsidP="008B3A9A">
      <w:pPr>
        <w:pStyle w:val="Odstavecseseznamem"/>
        <w:numPr>
          <w:ilvl w:val="0"/>
          <w:numId w:val="12"/>
        </w:numPr>
        <w:spacing w:after="120"/>
        <w:ind w:left="425" w:hanging="425"/>
        <w:jc w:val="both"/>
        <w:rPr>
          <w:rFonts w:ascii="Calibri" w:hAnsi="Calibri" w:cs="Arial"/>
        </w:rPr>
      </w:pPr>
      <w:r w:rsidRPr="007B6215">
        <w:rPr>
          <w:rFonts w:ascii="Calibri" w:hAnsi="Calibri" w:cs="Arial"/>
        </w:rPr>
        <w:t xml:space="preserve">V případě, že žádosti poskytovatel nevyhoví, bezodkladně o tom spraví příjemce </w:t>
      </w:r>
      <w:r w:rsidRPr="007B6215">
        <w:rPr>
          <w:rFonts w:ascii="Calibri" w:hAnsi="Calibri" w:cs="Arial"/>
        </w:rPr>
        <w:br/>
        <w:t>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w:t>
      </w:r>
    </w:p>
    <w:p w:rsidR="008B3A9A" w:rsidRPr="007B6215" w:rsidRDefault="008B3A9A" w:rsidP="008B3A9A">
      <w:pPr>
        <w:pStyle w:val="Odstavecseseznamem"/>
        <w:numPr>
          <w:ilvl w:val="0"/>
          <w:numId w:val="12"/>
        </w:numPr>
        <w:spacing w:after="120"/>
        <w:ind w:left="425" w:hanging="425"/>
        <w:contextualSpacing/>
        <w:jc w:val="both"/>
        <w:rPr>
          <w:rFonts w:ascii="Calibri" w:hAnsi="Calibri" w:cs="Arial"/>
        </w:rPr>
      </w:pPr>
      <w:r w:rsidRPr="007B6215">
        <w:rPr>
          <w:rFonts w:ascii="Calibri" w:hAnsi="Calibri" w:cs="Arial"/>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Zároveň je povinen bezodkladně oznámit insolvenčnímu správci či likvidátorovi příjemce, že tento přijal dotaci z rozpočtu poskytovatele a váže ho povinnost vyplacenou dotaci vrátit zpět do rozpočtu poskytovatele.</w:t>
      </w:r>
    </w:p>
    <w:p w:rsidR="008B3A9A" w:rsidRPr="00E531E8" w:rsidRDefault="008B3A9A" w:rsidP="008B3A9A">
      <w:pPr>
        <w:keepNext/>
        <w:keepLines/>
        <w:spacing w:before="240"/>
        <w:rPr>
          <w:rFonts w:ascii="Calibri" w:hAnsi="Calibri"/>
          <w:b/>
          <w:szCs w:val="22"/>
        </w:rPr>
      </w:pPr>
    </w:p>
    <w:p w:rsidR="008B3A9A" w:rsidRDefault="008B3A9A" w:rsidP="00B64A33">
      <w:pPr>
        <w:keepNext/>
        <w:keepLines/>
        <w:spacing w:after="120"/>
        <w:jc w:val="center"/>
        <w:rPr>
          <w:rFonts w:ascii="Calibri" w:hAnsi="Calibri"/>
          <w:b/>
          <w:szCs w:val="22"/>
        </w:rPr>
      </w:pPr>
      <w:r>
        <w:rPr>
          <w:rFonts w:ascii="Calibri" w:hAnsi="Calibri"/>
          <w:b/>
          <w:szCs w:val="22"/>
        </w:rPr>
        <w:t>IX.</w:t>
      </w:r>
    </w:p>
    <w:p w:rsidR="00B64A33" w:rsidRPr="00E531E8" w:rsidRDefault="00B64A33" w:rsidP="00B64A33">
      <w:pPr>
        <w:keepNext/>
        <w:keepLines/>
        <w:spacing w:after="120"/>
        <w:jc w:val="center"/>
        <w:rPr>
          <w:rFonts w:ascii="Calibri" w:hAnsi="Calibri"/>
          <w:b/>
          <w:szCs w:val="22"/>
        </w:rPr>
      </w:pPr>
      <w:r w:rsidRPr="00E531E8">
        <w:rPr>
          <w:rFonts w:ascii="Calibri" w:hAnsi="Calibri"/>
          <w:b/>
          <w:szCs w:val="22"/>
        </w:rPr>
        <w:t>Závěrečná ustanovení</w:t>
      </w:r>
    </w:p>
    <w:p w:rsidR="00B64A33" w:rsidRPr="00E531E8" w:rsidRDefault="00B64A33" w:rsidP="00B64A33">
      <w:pPr>
        <w:numPr>
          <w:ilvl w:val="0"/>
          <w:numId w:val="3"/>
        </w:numPr>
        <w:spacing w:after="120"/>
        <w:ind w:left="357" w:hanging="357"/>
        <w:jc w:val="both"/>
        <w:rPr>
          <w:rFonts w:ascii="Calibri" w:hAnsi="Calibri"/>
          <w:szCs w:val="22"/>
        </w:rPr>
      </w:pPr>
      <w:r w:rsidRPr="00E531E8">
        <w:rPr>
          <w:rFonts w:ascii="Calibri" w:hAnsi="Calibri"/>
          <w:szCs w:val="22"/>
        </w:rPr>
        <w:t xml:space="preserve">Není-li v této smlouvě uvedeno jinak, je při úkonech </w:t>
      </w:r>
      <w:r>
        <w:rPr>
          <w:rFonts w:ascii="Calibri" w:hAnsi="Calibri"/>
          <w:szCs w:val="22"/>
        </w:rPr>
        <w:t>po</w:t>
      </w:r>
      <w:r w:rsidRPr="00E531E8">
        <w:rPr>
          <w:rFonts w:ascii="Calibri" w:hAnsi="Calibri"/>
          <w:szCs w:val="22"/>
        </w:rPr>
        <w:t xml:space="preserve">dle této smlouvy oprávněna jednat </w:t>
      </w:r>
      <w:r w:rsidR="00961797">
        <w:rPr>
          <w:rFonts w:ascii="Calibri" w:hAnsi="Calibri"/>
          <w:szCs w:val="22"/>
        </w:rPr>
        <w:t>za</w:t>
      </w:r>
      <w:r w:rsidRPr="00E531E8">
        <w:rPr>
          <w:rFonts w:ascii="Calibri" w:hAnsi="Calibri"/>
          <w:szCs w:val="22"/>
        </w:rPr>
        <w:t xml:space="preserve"> </w:t>
      </w:r>
      <w:r>
        <w:rPr>
          <w:rFonts w:ascii="Calibri" w:hAnsi="Calibri"/>
          <w:szCs w:val="22"/>
        </w:rPr>
        <w:t>p</w:t>
      </w:r>
      <w:r w:rsidRPr="00E531E8">
        <w:rPr>
          <w:rFonts w:ascii="Calibri" w:hAnsi="Calibri"/>
          <w:szCs w:val="22"/>
        </w:rPr>
        <w:t xml:space="preserve">oskytovatele osoba uvedená v záhlaví smlouvy, nebo jiný pověřený zaměstnanec </w:t>
      </w:r>
      <w:r>
        <w:rPr>
          <w:rFonts w:ascii="Calibri" w:hAnsi="Calibri"/>
          <w:szCs w:val="22"/>
        </w:rPr>
        <w:t>p</w:t>
      </w:r>
      <w:r w:rsidRPr="00E531E8">
        <w:rPr>
          <w:rFonts w:ascii="Calibri" w:hAnsi="Calibri"/>
          <w:szCs w:val="22"/>
        </w:rPr>
        <w:t xml:space="preserve">oskytovatele. </w:t>
      </w:r>
    </w:p>
    <w:p w:rsidR="00B64A33" w:rsidRDefault="00B64A33" w:rsidP="00B64A33">
      <w:pPr>
        <w:numPr>
          <w:ilvl w:val="0"/>
          <w:numId w:val="3"/>
        </w:numPr>
        <w:spacing w:after="120"/>
        <w:ind w:left="357" w:hanging="357"/>
        <w:jc w:val="both"/>
        <w:rPr>
          <w:rFonts w:ascii="Calibri" w:hAnsi="Calibri"/>
          <w:szCs w:val="22"/>
        </w:rPr>
      </w:pPr>
      <w:r w:rsidRPr="00E531E8">
        <w:rPr>
          <w:rFonts w:ascii="Calibri" w:hAnsi="Calibri"/>
          <w:szCs w:val="22"/>
        </w:rPr>
        <w:t xml:space="preserve">Příjemce souhlasí se zveřejněním všech údajů uvedených v této smlouvě a údajů týkajících se projektu podle zákona č. 106/1999 Sb., o svobodném přístupu k informacím, ve znění pozdějších předpisů, včetně celého textu této smlouvy. </w:t>
      </w:r>
    </w:p>
    <w:p w:rsidR="008311D2" w:rsidRPr="008311D2" w:rsidRDefault="008311D2" w:rsidP="00B64A33">
      <w:pPr>
        <w:numPr>
          <w:ilvl w:val="0"/>
          <w:numId w:val="3"/>
        </w:numPr>
        <w:spacing w:after="120"/>
        <w:ind w:left="357" w:hanging="357"/>
        <w:jc w:val="both"/>
        <w:rPr>
          <w:rFonts w:asciiTheme="minorHAnsi" w:hAnsiTheme="minorHAnsi"/>
        </w:rPr>
      </w:pPr>
      <w:r w:rsidRPr="008311D2">
        <w:rPr>
          <w:rFonts w:asciiTheme="minorHAnsi" w:hAnsiTheme="minorHAnsi"/>
        </w:rPr>
        <w:t>Příjemce souhlasí se zveřejněním této smlouvy v „Registru smluv“ na Portále veřejné správy (http://portal.gov.cz/). Příjemce prohlašuje, že skutečnosti uvedené v této smlouvě nepovažuje za obchodní tajemství ve smyslu ust. § 504 zákona č. 89/2012 Sb., občanský zákoník. Příjemce souhlasí se zpracováním jeho osobních údajů poskytovatelem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poskytovateli poskytován a udělován do budoucna na dobu neurčitou pro vnitřní potřeby poskytovatele a dále pro účely informování veřejnosti o jeho činnosti.</w:t>
      </w:r>
    </w:p>
    <w:p w:rsidR="00B64A33" w:rsidRPr="00E531E8" w:rsidRDefault="00B64A33" w:rsidP="00B64A33">
      <w:pPr>
        <w:numPr>
          <w:ilvl w:val="0"/>
          <w:numId w:val="3"/>
        </w:numPr>
        <w:spacing w:after="120"/>
        <w:ind w:left="357" w:hanging="357"/>
        <w:jc w:val="both"/>
        <w:rPr>
          <w:rFonts w:ascii="Calibri" w:hAnsi="Calibri"/>
          <w:szCs w:val="22"/>
        </w:rPr>
      </w:pPr>
      <w:r w:rsidRPr="00E531E8">
        <w:rPr>
          <w:rFonts w:ascii="Calibri" w:hAnsi="Calibri"/>
          <w:szCs w:val="22"/>
        </w:rPr>
        <w:t xml:space="preserve">V případě, že dotace je použita na vytvoření předmětu duševního vlastnictví (zejména autorského díla), poskytuje </w:t>
      </w:r>
      <w:r>
        <w:rPr>
          <w:rFonts w:ascii="Calibri" w:hAnsi="Calibri"/>
          <w:szCs w:val="22"/>
        </w:rPr>
        <w:t>p</w:t>
      </w:r>
      <w:r w:rsidRPr="00E531E8">
        <w:rPr>
          <w:rFonts w:ascii="Calibri" w:hAnsi="Calibri"/>
          <w:szCs w:val="22"/>
        </w:rPr>
        <w:t xml:space="preserve">říjemce </w:t>
      </w:r>
      <w:r>
        <w:rPr>
          <w:rFonts w:ascii="Calibri" w:hAnsi="Calibri"/>
          <w:szCs w:val="22"/>
        </w:rPr>
        <w:t>p</w:t>
      </w:r>
      <w:r w:rsidRPr="00E531E8">
        <w:rPr>
          <w:rFonts w:ascii="Calibri" w:hAnsi="Calibri"/>
          <w:szCs w:val="22"/>
        </w:rPr>
        <w:t>oskytovateli právo dílo užít pro své potřeby, a to bezplatně na území České republiky na dobu neurčitou.</w:t>
      </w:r>
    </w:p>
    <w:p w:rsidR="00961797" w:rsidRPr="00961797" w:rsidRDefault="00B64A33" w:rsidP="00961797">
      <w:pPr>
        <w:numPr>
          <w:ilvl w:val="0"/>
          <w:numId w:val="3"/>
        </w:numPr>
        <w:spacing w:after="120"/>
        <w:ind w:left="357" w:hanging="357"/>
        <w:jc w:val="both"/>
        <w:rPr>
          <w:rFonts w:ascii="Calibri" w:hAnsi="Calibri"/>
          <w:szCs w:val="22"/>
        </w:rPr>
      </w:pPr>
      <w:r w:rsidRPr="00E531E8">
        <w:rPr>
          <w:rFonts w:ascii="Calibri" w:hAnsi="Calibri"/>
          <w:szCs w:val="22"/>
        </w:rPr>
        <w:t xml:space="preserve">Příjemce prohlašuje, že se nenachází v úpadku či likvidaci, a pokud se tak stane, sdělí tuto informaci bez zbytečného odkladu </w:t>
      </w:r>
      <w:r>
        <w:rPr>
          <w:rFonts w:ascii="Calibri" w:hAnsi="Calibri"/>
          <w:szCs w:val="22"/>
        </w:rPr>
        <w:t>p</w:t>
      </w:r>
      <w:r w:rsidRPr="00E531E8">
        <w:rPr>
          <w:rFonts w:ascii="Calibri" w:hAnsi="Calibri"/>
          <w:szCs w:val="22"/>
        </w:rPr>
        <w:t xml:space="preserve">oskytovateli. Příjemce prohlašuje, že nemá v rejstříku trestů záznam o pravomocném odsouzení pro trestný čin; je-li příjemce právnickou osobou, týká se prohlášení podle tohoto ustanovení </w:t>
      </w:r>
      <w:r w:rsidR="00CA6392">
        <w:rPr>
          <w:rFonts w:ascii="Calibri" w:hAnsi="Calibri"/>
          <w:szCs w:val="22"/>
        </w:rPr>
        <w:t xml:space="preserve">této právnické osoby i </w:t>
      </w:r>
      <w:r w:rsidRPr="00E531E8">
        <w:rPr>
          <w:rFonts w:ascii="Calibri" w:hAnsi="Calibri"/>
          <w:szCs w:val="22"/>
        </w:rPr>
        <w:t xml:space="preserve">všech osob, které jsou jejím statutárním orgánem nebo osobami oprávněnými jménem </w:t>
      </w:r>
      <w:r>
        <w:rPr>
          <w:rFonts w:ascii="Calibri" w:hAnsi="Calibri"/>
          <w:szCs w:val="22"/>
        </w:rPr>
        <w:t>p</w:t>
      </w:r>
      <w:r w:rsidRPr="00E531E8">
        <w:rPr>
          <w:rFonts w:ascii="Calibri" w:hAnsi="Calibri"/>
          <w:szCs w:val="22"/>
        </w:rPr>
        <w:t xml:space="preserve">říjemce jednat z jiného titulu (plná moc, prokura apod.). </w:t>
      </w:r>
    </w:p>
    <w:p w:rsidR="00B64A33" w:rsidRPr="00E531E8" w:rsidRDefault="00B64A33" w:rsidP="00961797">
      <w:pPr>
        <w:numPr>
          <w:ilvl w:val="0"/>
          <w:numId w:val="3"/>
        </w:numPr>
        <w:spacing w:after="120"/>
        <w:ind w:left="357" w:hanging="357"/>
        <w:jc w:val="both"/>
        <w:rPr>
          <w:rFonts w:ascii="Calibri" w:hAnsi="Calibri"/>
          <w:szCs w:val="22"/>
        </w:rPr>
      </w:pPr>
      <w:r w:rsidRPr="00E531E8">
        <w:rPr>
          <w:rFonts w:ascii="Calibri" w:hAnsi="Calibri"/>
          <w:szCs w:val="22"/>
        </w:rPr>
        <w:t xml:space="preserve">Příjemce prohlašuje, že nemá žádné závazky vůči orgánům veřejné správy po lhůtě splatnosti (zejména se jedná </w:t>
      </w:r>
      <w:r>
        <w:rPr>
          <w:rFonts w:ascii="Calibri" w:hAnsi="Calibri"/>
          <w:szCs w:val="22"/>
        </w:rPr>
        <w:br/>
      </w:r>
      <w:r w:rsidRPr="00E531E8">
        <w:rPr>
          <w:rFonts w:ascii="Calibri" w:hAnsi="Calibri"/>
          <w:szCs w:val="22"/>
        </w:rPr>
        <w:t xml:space="preserve">o daňové nedoplatky a penále, nedoplatky na pojistném a na penále na veřejné zdravotní pojištění, na pojistném </w:t>
      </w:r>
      <w:r>
        <w:rPr>
          <w:rFonts w:ascii="Calibri" w:hAnsi="Calibri"/>
          <w:szCs w:val="22"/>
        </w:rPr>
        <w:br/>
      </w:r>
      <w:r w:rsidRPr="00E531E8">
        <w:rPr>
          <w:rFonts w:ascii="Calibri" w:hAnsi="Calibri"/>
          <w:szCs w:val="22"/>
        </w:rPr>
        <w:lastRenderedPageBreak/>
        <w:t>a penále na sociálním zabezpečení a příspěvku na státní politiku zaměstnanosti, odvody za porušení rozpočtové kázně).</w:t>
      </w:r>
    </w:p>
    <w:p w:rsidR="00B64A33" w:rsidRPr="00E531E8" w:rsidRDefault="00B64A33" w:rsidP="00B64A33">
      <w:pPr>
        <w:numPr>
          <w:ilvl w:val="0"/>
          <w:numId w:val="3"/>
        </w:numPr>
        <w:spacing w:after="120"/>
        <w:ind w:left="357" w:hanging="357"/>
        <w:jc w:val="both"/>
        <w:rPr>
          <w:rFonts w:ascii="Calibri" w:hAnsi="Calibri"/>
          <w:szCs w:val="22"/>
        </w:rPr>
      </w:pPr>
      <w:r w:rsidRPr="00E531E8">
        <w:rPr>
          <w:rFonts w:ascii="Calibri" w:hAnsi="Calibri"/>
          <w:szCs w:val="22"/>
        </w:rPr>
        <w:t xml:space="preserve">Tato smlouva nezaniká dnem finančního ukončení </w:t>
      </w:r>
      <w:r>
        <w:rPr>
          <w:rFonts w:ascii="Calibri" w:hAnsi="Calibri"/>
          <w:szCs w:val="22"/>
        </w:rPr>
        <w:t>p</w:t>
      </w:r>
      <w:r w:rsidRPr="00E531E8">
        <w:rPr>
          <w:rFonts w:ascii="Calibri" w:hAnsi="Calibri"/>
          <w:szCs w:val="22"/>
        </w:rPr>
        <w:t>rojektu, nýbrž dnem, kdy smluvní strany splní všechny povinnosti, které jim plynou z této smlouvy.</w:t>
      </w:r>
    </w:p>
    <w:p w:rsidR="00B64A33" w:rsidRPr="00E531E8" w:rsidRDefault="00B64A33" w:rsidP="00B64A33">
      <w:pPr>
        <w:numPr>
          <w:ilvl w:val="0"/>
          <w:numId w:val="3"/>
        </w:numPr>
        <w:spacing w:after="120"/>
        <w:ind w:left="357" w:hanging="357"/>
        <w:jc w:val="both"/>
        <w:rPr>
          <w:rFonts w:ascii="Calibri" w:hAnsi="Calibri"/>
          <w:szCs w:val="22"/>
        </w:rPr>
      </w:pPr>
      <w:r w:rsidRPr="00E531E8">
        <w:rPr>
          <w:rFonts w:ascii="Calibri" w:hAnsi="Calibri"/>
          <w:szCs w:val="22"/>
        </w:rPr>
        <w:t>Práva a povinnosti z této smlouvy vyplývající přecházejí na právní nástupce smluvních stran.</w:t>
      </w:r>
    </w:p>
    <w:p w:rsidR="00B64A33" w:rsidRPr="00E531E8" w:rsidRDefault="00B64A33" w:rsidP="00B64A33">
      <w:pPr>
        <w:numPr>
          <w:ilvl w:val="0"/>
          <w:numId w:val="3"/>
        </w:numPr>
        <w:spacing w:after="120"/>
        <w:jc w:val="both"/>
        <w:rPr>
          <w:rFonts w:ascii="Calibri" w:hAnsi="Calibri"/>
          <w:szCs w:val="22"/>
        </w:rPr>
      </w:pPr>
      <w:r w:rsidRPr="00E531E8">
        <w:rPr>
          <w:rFonts w:ascii="Calibri" w:hAnsi="Calibri"/>
          <w:szCs w:val="22"/>
        </w:rPr>
        <w:t xml:space="preserve">Tato smlouva nabývá platnosti a účinnosti dnem podpisu </w:t>
      </w:r>
      <w:r>
        <w:rPr>
          <w:rFonts w:ascii="Calibri" w:hAnsi="Calibri"/>
          <w:szCs w:val="22"/>
        </w:rPr>
        <w:t>poskytovatelem</w:t>
      </w:r>
      <w:r w:rsidRPr="00E531E8">
        <w:rPr>
          <w:rFonts w:ascii="Calibri" w:hAnsi="Calibri"/>
          <w:szCs w:val="22"/>
        </w:rPr>
        <w:t>.</w:t>
      </w:r>
    </w:p>
    <w:p w:rsidR="00B64A33" w:rsidRPr="00E531E8" w:rsidRDefault="00B64A33" w:rsidP="00B64A33">
      <w:pPr>
        <w:numPr>
          <w:ilvl w:val="0"/>
          <w:numId w:val="3"/>
        </w:numPr>
        <w:spacing w:after="120"/>
        <w:jc w:val="both"/>
        <w:rPr>
          <w:rFonts w:ascii="Calibri" w:hAnsi="Calibri"/>
          <w:szCs w:val="22"/>
        </w:rPr>
      </w:pPr>
      <w:r w:rsidRPr="00E531E8">
        <w:rPr>
          <w:rFonts w:ascii="Calibri" w:hAnsi="Calibri"/>
          <w:szCs w:val="22"/>
        </w:rPr>
        <w:t xml:space="preserve">Jakékoli změny této smlouvy lze provádět pouze formou písemných, postupně číslovaných dodatků na základě dohody obou smluvních stran. </w:t>
      </w:r>
    </w:p>
    <w:p w:rsidR="00B64A33" w:rsidRPr="00E531E8" w:rsidRDefault="00B64A33" w:rsidP="00B64A33">
      <w:pPr>
        <w:numPr>
          <w:ilvl w:val="0"/>
          <w:numId w:val="3"/>
        </w:numPr>
        <w:spacing w:after="120"/>
        <w:jc w:val="both"/>
        <w:rPr>
          <w:rFonts w:ascii="Calibri" w:hAnsi="Calibri"/>
          <w:szCs w:val="22"/>
        </w:rPr>
      </w:pPr>
      <w:r w:rsidRPr="00E531E8">
        <w:rPr>
          <w:rFonts w:ascii="Calibri" w:hAnsi="Calibri"/>
          <w:szCs w:val="22"/>
        </w:rPr>
        <w:t>Vztahy touto smlouvou neupravené se řídí právním řádem České republiky zejména ustanoveními § 159 a násl. zákona č. 500/2004 Sb., správní řád, ve znění pozdějších předpisů</w:t>
      </w:r>
      <w:r>
        <w:rPr>
          <w:rFonts w:ascii="Calibri" w:hAnsi="Calibri"/>
          <w:szCs w:val="22"/>
        </w:rPr>
        <w:t>,</w:t>
      </w:r>
      <w:r w:rsidRPr="00E531E8">
        <w:rPr>
          <w:rFonts w:ascii="Calibri" w:hAnsi="Calibri"/>
          <w:szCs w:val="22"/>
        </w:rPr>
        <w:t xml:space="preserve"> a příslušnými ustanoveními zákona </w:t>
      </w:r>
      <w:r w:rsidR="00852872">
        <w:rPr>
          <w:rFonts w:ascii="Calibri" w:hAnsi="Calibri"/>
          <w:szCs w:val="22"/>
        </w:rPr>
        <w:br/>
      </w:r>
      <w:r w:rsidRPr="00E531E8">
        <w:rPr>
          <w:rFonts w:ascii="Calibri" w:hAnsi="Calibri"/>
          <w:szCs w:val="22"/>
        </w:rPr>
        <w:t xml:space="preserve">č. </w:t>
      </w:r>
      <w:r>
        <w:rPr>
          <w:rFonts w:ascii="Calibri" w:hAnsi="Calibri"/>
          <w:szCs w:val="22"/>
        </w:rPr>
        <w:t>89/2012</w:t>
      </w:r>
      <w:r w:rsidRPr="00E531E8">
        <w:rPr>
          <w:rFonts w:ascii="Calibri" w:hAnsi="Calibri"/>
          <w:szCs w:val="22"/>
        </w:rPr>
        <w:t xml:space="preserve"> Sb., občanský zákoník.</w:t>
      </w:r>
    </w:p>
    <w:p w:rsidR="00B64A33" w:rsidRPr="00E531E8" w:rsidRDefault="00B64A33" w:rsidP="00B64A33">
      <w:pPr>
        <w:numPr>
          <w:ilvl w:val="0"/>
          <w:numId w:val="3"/>
        </w:numPr>
        <w:spacing w:after="120"/>
        <w:jc w:val="both"/>
        <w:rPr>
          <w:rFonts w:ascii="Calibri" w:hAnsi="Calibri"/>
          <w:szCs w:val="22"/>
        </w:rPr>
      </w:pPr>
      <w:r w:rsidRPr="00E531E8">
        <w:rPr>
          <w:rFonts w:ascii="Calibri" w:hAnsi="Calibri"/>
          <w:szCs w:val="22"/>
        </w:rPr>
        <w:t>Tato smlouva je sepsána ve třech vyhotoveních, z nichž dvě jsou určen</w:t>
      </w:r>
      <w:r w:rsidR="00362CD2">
        <w:rPr>
          <w:rFonts w:ascii="Calibri" w:hAnsi="Calibri"/>
          <w:szCs w:val="22"/>
        </w:rPr>
        <w:t>a</w:t>
      </w:r>
      <w:r w:rsidRPr="00E531E8">
        <w:rPr>
          <w:rFonts w:ascii="Calibri" w:hAnsi="Calibri"/>
          <w:szCs w:val="22"/>
        </w:rPr>
        <w:t xml:space="preserve"> pro poskytovatele a jedno pro příjemce.</w:t>
      </w:r>
    </w:p>
    <w:p w:rsidR="00B64A33" w:rsidRPr="00E531E8" w:rsidRDefault="00B64A33" w:rsidP="00B64A33">
      <w:pPr>
        <w:numPr>
          <w:ilvl w:val="0"/>
          <w:numId w:val="3"/>
        </w:numPr>
        <w:spacing w:after="120"/>
        <w:jc w:val="both"/>
        <w:rPr>
          <w:rFonts w:ascii="Calibri" w:hAnsi="Calibri"/>
          <w:szCs w:val="22"/>
        </w:rPr>
      </w:pPr>
      <w:r w:rsidRPr="00E531E8">
        <w:rPr>
          <w:rFonts w:ascii="Calibri" w:hAnsi="Calibri"/>
          <w:szCs w:val="22"/>
        </w:rPr>
        <w:t>Smluvní strany prohlašují, že tato smlouva byla sepsána na základě pravdivých údajů, podle jejich svobodné a vážné vůle a na důkaz toho připojují své vlastnoruční podpisy.</w:t>
      </w:r>
    </w:p>
    <w:p w:rsidR="00B64A33" w:rsidRDefault="00B64A33" w:rsidP="00B64A33">
      <w:pPr>
        <w:numPr>
          <w:ilvl w:val="0"/>
          <w:numId w:val="3"/>
        </w:numPr>
        <w:spacing w:after="120"/>
        <w:jc w:val="both"/>
        <w:rPr>
          <w:rFonts w:ascii="Calibri" w:hAnsi="Calibri"/>
          <w:szCs w:val="22"/>
        </w:rPr>
      </w:pPr>
      <w:r w:rsidRPr="00E531E8">
        <w:rPr>
          <w:rFonts w:ascii="Calibri" w:hAnsi="Calibri"/>
          <w:szCs w:val="22"/>
        </w:rPr>
        <w:t>Příjemce svým podpisem stvrzuje správnost veškerých údajů uvedených v této smlouvě.</w:t>
      </w:r>
    </w:p>
    <w:p w:rsidR="001843E2" w:rsidRPr="00E531E8" w:rsidRDefault="001843E2" w:rsidP="00B64A33">
      <w:pPr>
        <w:numPr>
          <w:ilvl w:val="0"/>
          <w:numId w:val="3"/>
        </w:numPr>
        <w:spacing w:after="120"/>
        <w:jc w:val="both"/>
        <w:rPr>
          <w:rFonts w:ascii="Calibri" w:hAnsi="Calibri"/>
          <w:szCs w:val="22"/>
        </w:rPr>
      </w:pPr>
      <w:r>
        <w:rPr>
          <w:rFonts w:ascii="Calibri" w:hAnsi="Calibri"/>
          <w:szCs w:val="22"/>
        </w:rPr>
        <w:t xml:space="preserve">Uzavření této smlouvy schválilo Zastupitelstvo města Jindřichův Hradec dne </w:t>
      </w:r>
      <w:r w:rsidR="00F715A4">
        <w:rPr>
          <w:rFonts w:ascii="Calibri" w:hAnsi="Calibri"/>
          <w:szCs w:val="22"/>
        </w:rPr>
        <w:t>27. 4. 2016</w:t>
      </w:r>
      <w:r>
        <w:rPr>
          <w:rFonts w:ascii="Calibri" w:hAnsi="Calibri"/>
          <w:szCs w:val="22"/>
        </w:rPr>
        <w:t xml:space="preserve"> usnesením č.</w:t>
      </w:r>
      <w:r w:rsidR="00F715A4">
        <w:rPr>
          <w:rFonts w:ascii="Calibri" w:hAnsi="Calibri"/>
          <w:szCs w:val="22"/>
        </w:rPr>
        <w:t xml:space="preserve"> 379/18Z/2016.</w:t>
      </w:r>
    </w:p>
    <w:p w:rsidR="00B64A33" w:rsidRPr="00E531E8" w:rsidRDefault="00B64A33" w:rsidP="00B64A33">
      <w:pPr>
        <w:keepNext/>
        <w:spacing w:after="120"/>
        <w:ind w:left="360"/>
        <w:jc w:val="both"/>
        <w:rPr>
          <w:rFonts w:ascii="Calibri" w:hAnsi="Calibri"/>
          <w:b/>
          <w:iCs/>
          <w:szCs w:val="22"/>
        </w:rPr>
      </w:pPr>
    </w:p>
    <w:p w:rsidR="00B64A33" w:rsidRDefault="00B64A33" w:rsidP="00B64A33">
      <w:pPr>
        <w:rPr>
          <w:rFonts w:ascii="Calibri" w:hAnsi="Calibri"/>
          <w:szCs w:val="22"/>
        </w:rPr>
      </w:pPr>
    </w:p>
    <w:p w:rsidR="00B64A33" w:rsidRPr="00E531E8" w:rsidRDefault="00B64A33" w:rsidP="00B64A33">
      <w:pPr>
        <w:rPr>
          <w:rFonts w:ascii="Calibri" w:hAnsi="Calibri"/>
          <w:szCs w:val="22"/>
        </w:rPr>
      </w:pPr>
    </w:p>
    <w:p w:rsidR="00B64A33" w:rsidRDefault="00B64A33" w:rsidP="00B64A33">
      <w:pPr>
        <w:tabs>
          <w:tab w:val="left" w:pos="284"/>
          <w:tab w:val="center" w:pos="2160"/>
          <w:tab w:val="center" w:pos="7020"/>
        </w:tabs>
        <w:rPr>
          <w:rFonts w:ascii="Calibri" w:hAnsi="Calibri"/>
          <w:szCs w:val="22"/>
        </w:rPr>
      </w:pPr>
      <w:r w:rsidRPr="00E531E8">
        <w:rPr>
          <w:rFonts w:ascii="Calibri" w:hAnsi="Calibri"/>
          <w:szCs w:val="22"/>
        </w:rPr>
        <w:tab/>
      </w:r>
    </w:p>
    <w:p w:rsidR="00B64A33" w:rsidRPr="00E531E8" w:rsidRDefault="00B64A33" w:rsidP="00B64A33">
      <w:pPr>
        <w:tabs>
          <w:tab w:val="left" w:pos="284"/>
          <w:tab w:val="center" w:pos="2160"/>
          <w:tab w:val="center" w:pos="7020"/>
        </w:tabs>
        <w:rPr>
          <w:rFonts w:ascii="Calibri" w:hAnsi="Calibri"/>
          <w:szCs w:val="22"/>
        </w:rPr>
      </w:pPr>
      <w:r w:rsidRPr="00E531E8">
        <w:rPr>
          <w:rFonts w:ascii="Calibri" w:hAnsi="Calibri"/>
          <w:szCs w:val="22"/>
        </w:rPr>
        <w:t>V</w:t>
      </w:r>
      <w:r w:rsidR="00A92EDB">
        <w:rPr>
          <w:rFonts w:ascii="Calibri" w:hAnsi="Calibri"/>
          <w:szCs w:val="22"/>
        </w:rPr>
        <w:t xml:space="preserve"> Praze </w:t>
      </w:r>
      <w:r w:rsidRPr="00E531E8">
        <w:rPr>
          <w:rFonts w:ascii="Calibri" w:hAnsi="Calibri"/>
          <w:szCs w:val="22"/>
        </w:rPr>
        <w:t xml:space="preserve"> dne</w:t>
      </w:r>
      <w:r w:rsidR="00573932">
        <w:rPr>
          <w:rFonts w:ascii="Calibri" w:hAnsi="Calibri"/>
          <w:szCs w:val="22"/>
        </w:rPr>
        <w:t xml:space="preserve"> ………………</w:t>
      </w:r>
      <w:r w:rsidRPr="00E531E8">
        <w:rPr>
          <w:rFonts w:ascii="Calibri" w:hAnsi="Calibri"/>
          <w:szCs w:val="22"/>
        </w:rPr>
        <w:t>......</w:t>
      </w:r>
      <w:r w:rsidR="00A92EDB">
        <w:rPr>
          <w:rFonts w:ascii="Calibri" w:hAnsi="Calibri"/>
          <w:szCs w:val="22"/>
        </w:rPr>
        <w:t>...................</w:t>
      </w:r>
      <w:r w:rsidRPr="00E531E8">
        <w:rPr>
          <w:rFonts w:ascii="Calibri" w:hAnsi="Calibri"/>
          <w:szCs w:val="22"/>
        </w:rPr>
        <w:t xml:space="preserve">. </w:t>
      </w:r>
      <w:r w:rsidR="00DB0D86">
        <w:rPr>
          <w:rFonts w:ascii="Calibri" w:hAnsi="Calibri"/>
          <w:szCs w:val="22"/>
        </w:rPr>
        <w:t xml:space="preserve"> </w:t>
      </w:r>
      <w:r w:rsidRPr="00E531E8">
        <w:rPr>
          <w:rFonts w:ascii="Calibri" w:hAnsi="Calibri"/>
          <w:szCs w:val="22"/>
        </w:rPr>
        <w:t xml:space="preserve">                  </w:t>
      </w:r>
      <w:r w:rsidR="008415C6">
        <w:rPr>
          <w:rFonts w:ascii="Calibri" w:hAnsi="Calibri"/>
          <w:szCs w:val="22"/>
        </w:rPr>
        <w:t xml:space="preserve">           </w:t>
      </w:r>
      <w:r w:rsidR="00A92EDB">
        <w:rPr>
          <w:rFonts w:ascii="Calibri" w:hAnsi="Calibri"/>
          <w:szCs w:val="22"/>
        </w:rPr>
        <w:tab/>
      </w:r>
      <w:r w:rsidR="008415C6">
        <w:rPr>
          <w:rFonts w:ascii="Calibri" w:hAnsi="Calibri"/>
          <w:szCs w:val="22"/>
        </w:rPr>
        <w:t xml:space="preserve">  </w:t>
      </w:r>
      <w:r w:rsidR="00F2360E">
        <w:rPr>
          <w:rFonts w:ascii="Calibri" w:hAnsi="Calibri"/>
          <w:szCs w:val="22"/>
        </w:rPr>
        <w:t>V</w:t>
      </w:r>
      <w:r w:rsidR="00961797">
        <w:rPr>
          <w:rFonts w:ascii="Calibri" w:hAnsi="Calibri"/>
          <w:szCs w:val="22"/>
        </w:rPr>
        <w:t xml:space="preserve"> Jindřichově Hradci</w:t>
      </w:r>
      <w:r w:rsidR="00F2360E">
        <w:rPr>
          <w:rFonts w:ascii="Calibri" w:hAnsi="Calibri"/>
          <w:szCs w:val="22"/>
        </w:rPr>
        <w:t xml:space="preserve"> </w:t>
      </w:r>
      <w:r w:rsidRPr="00E531E8">
        <w:rPr>
          <w:rFonts w:ascii="Calibri" w:hAnsi="Calibri"/>
          <w:szCs w:val="22"/>
        </w:rPr>
        <w:t>dne ............</w:t>
      </w:r>
      <w:r w:rsidR="00A92EDB">
        <w:rPr>
          <w:rFonts w:ascii="Calibri" w:hAnsi="Calibri"/>
          <w:szCs w:val="22"/>
        </w:rPr>
        <w:t>................................</w:t>
      </w:r>
    </w:p>
    <w:p w:rsidR="00B64A33" w:rsidRPr="00E531E8" w:rsidRDefault="00B64A33" w:rsidP="00B64A33">
      <w:pPr>
        <w:tabs>
          <w:tab w:val="center" w:pos="2160"/>
          <w:tab w:val="center" w:pos="7020"/>
        </w:tabs>
        <w:rPr>
          <w:rFonts w:ascii="Calibri" w:hAnsi="Calibri"/>
          <w:szCs w:val="22"/>
        </w:rPr>
      </w:pPr>
    </w:p>
    <w:p w:rsidR="00B64A33" w:rsidRDefault="00B64A33" w:rsidP="00B64A33">
      <w:pPr>
        <w:tabs>
          <w:tab w:val="center" w:pos="2160"/>
          <w:tab w:val="center" w:pos="7020"/>
        </w:tabs>
        <w:rPr>
          <w:rFonts w:ascii="Calibri" w:hAnsi="Calibri"/>
          <w:szCs w:val="22"/>
        </w:rPr>
      </w:pPr>
    </w:p>
    <w:p w:rsidR="00B64A33" w:rsidRPr="00E531E8" w:rsidRDefault="00B64A33" w:rsidP="00B64A33">
      <w:pPr>
        <w:tabs>
          <w:tab w:val="left" w:pos="284"/>
          <w:tab w:val="center" w:pos="2160"/>
          <w:tab w:val="center" w:pos="7020"/>
        </w:tabs>
        <w:rPr>
          <w:rFonts w:ascii="Calibri" w:hAnsi="Calibri"/>
          <w:szCs w:val="22"/>
        </w:rPr>
      </w:pPr>
      <w:r w:rsidRPr="00E531E8">
        <w:rPr>
          <w:rFonts w:ascii="Calibri" w:hAnsi="Calibri"/>
          <w:szCs w:val="22"/>
        </w:rPr>
        <w:t>………..……………………...…………......................</w:t>
      </w:r>
      <w:r w:rsidR="00DB0D86">
        <w:rPr>
          <w:rFonts w:ascii="Calibri" w:hAnsi="Calibri"/>
          <w:szCs w:val="22"/>
        </w:rPr>
        <w:t xml:space="preserve">    </w:t>
      </w:r>
      <w:r w:rsidRPr="00E531E8">
        <w:rPr>
          <w:rFonts w:ascii="Calibri" w:hAnsi="Calibri"/>
          <w:szCs w:val="22"/>
        </w:rPr>
        <w:tab/>
      </w:r>
      <w:r w:rsidR="00FC3670">
        <w:rPr>
          <w:rFonts w:ascii="Calibri" w:hAnsi="Calibri"/>
          <w:szCs w:val="22"/>
        </w:rPr>
        <w:t xml:space="preserve">          </w:t>
      </w:r>
      <w:r w:rsidR="00030B23">
        <w:rPr>
          <w:rFonts w:ascii="Calibri" w:hAnsi="Calibri"/>
          <w:szCs w:val="22"/>
        </w:rPr>
        <w:t xml:space="preserve">   </w:t>
      </w:r>
      <w:r w:rsidR="00FC3670">
        <w:rPr>
          <w:rFonts w:ascii="Calibri" w:hAnsi="Calibri"/>
          <w:szCs w:val="22"/>
        </w:rPr>
        <w:t xml:space="preserve"> </w:t>
      </w:r>
      <w:r w:rsidRPr="00E531E8">
        <w:rPr>
          <w:rFonts w:ascii="Calibri" w:hAnsi="Calibri"/>
          <w:szCs w:val="22"/>
        </w:rPr>
        <w:t>..................................……………………………………….</w:t>
      </w:r>
    </w:p>
    <w:p w:rsidR="0023366E" w:rsidRDefault="008415C6" w:rsidP="0023366E">
      <w:pPr>
        <w:tabs>
          <w:tab w:val="center" w:pos="1980"/>
          <w:tab w:val="left" w:pos="6237"/>
        </w:tabs>
        <w:ind w:left="5812" w:hanging="5812"/>
        <w:rPr>
          <w:rFonts w:ascii="Calibri" w:hAnsi="Calibri"/>
          <w:szCs w:val="22"/>
        </w:rPr>
      </w:pPr>
      <w:r>
        <w:rPr>
          <w:rFonts w:ascii="Calibri" w:hAnsi="Calibri"/>
          <w:szCs w:val="22"/>
        </w:rPr>
        <w:t xml:space="preserve">  </w:t>
      </w:r>
      <w:r w:rsidR="0023366E">
        <w:rPr>
          <w:rFonts w:ascii="Calibri" w:hAnsi="Calibri"/>
          <w:szCs w:val="22"/>
        </w:rPr>
        <w:t xml:space="preserve">         </w:t>
      </w:r>
      <w:r w:rsidR="003346B2">
        <w:rPr>
          <w:rFonts w:ascii="Calibri" w:hAnsi="Calibri"/>
        </w:rPr>
        <w:t>RNDr. Eva Plešková, jednatelka</w:t>
      </w:r>
      <w:r>
        <w:rPr>
          <w:rFonts w:ascii="Calibri" w:hAnsi="Calibri"/>
          <w:szCs w:val="22"/>
        </w:rPr>
        <w:t xml:space="preserve">                      </w:t>
      </w:r>
      <w:r w:rsidR="00B64A33">
        <w:rPr>
          <w:rFonts w:ascii="Calibri" w:hAnsi="Calibri"/>
          <w:szCs w:val="22"/>
        </w:rPr>
        <w:t xml:space="preserve"> </w:t>
      </w:r>
      <w:r>
        <w:rPr>
          <w:rFonts w:ascii="Calibri" w:hAnsi="Calibri"/>
          <w:szCs w:val="22"/>
        </w:rPr>
        <w:t xml:space="preserve">    </w:t>
      </w:r>
      <w:r w:rsidR="0023366E">
        <w:rPr>
          <w:rFonts w:ascii="Calibri" w:hAnsi="Calibri"/>
          <w:szCs w:val="22"/>
        </w:rPr>
        <w:tab/>
      </w:r>
      <w:r w:rsidR="00555FA1">
        <w:rPr>
          <w:rFonts w:ascii="Calibri" w:hAnsi="Calibri"/>
          <w:szCs w:val="22"/>
        </w:rPr>
        <w:tab/>
      </w:r>
      <w:r w:rsidR="00555FA1">
        <w:rPr>
          <w:rFonts w:ascii="Calibri" w:hAnsi="Calibri"/>
          <w:szCs w:val="22"/>
        </w:rPr>
        <w:tab/>
      </w:r>
      <w:r w:rsidR="008B3A9A">
        <w:rPr>
          <w:rFonts w:ascii="Calibri" w:hAnsi="Calibri"/>
          <w:szCs w:val="22"/>
        </w:rPr>
        <w:t>Ing. Stanislav Mrvka, starosta města</w:t>
      </w:r>
    </w:p>
    <w:p w:rsidR="00B07AEC" w:rsidRDefault="003346B2" w:rsidP="00246A1D">
      <w:pPr>
        <w:tabs>
          <w:tab w:val="center" w:pos="1980"/>
          <w:tab w:val="left" w:pos="6237"/>
        </w:tabs>
        <w:ind w:left="5812" w:hanging="5812"/>
      </w:pPr>
      <w:r>
        <w:rPr>
          <w:rFonts w:ascii="Calibri" w:hAnsi="Calibri"/>
          <w:szCs w:val="22"/>
        </w:rPr>
        <w:t xml:space="preserve">                   </w:t>
      </w:r>
      <w:r w:rsidR="0023366E">
        <w:rPr>
          <w:rFonts w:ascii="Calibri" w:hAnsi="Calibri"/>
          <w:szCs w:val="22"/>
        </w:rPr>
        <w:t xml:space="preserve">             </w:t>
      </w:r>
      <w:r w:rsidR="00B64A33" w:rsidRPr="00E531E8">
        <w:rPr>
          <w:rFonts w:ascii="Calibri" w:hAnsi="Calibri"/>
          <w:szCs w:val="22"/>
        </w:rPr>
        <w:t>za příjemce</w:t>
      </w:r>
      <w:r w:rsidR="00B64A33">
        <w:rPr>
          <w:rFonts w:ascii="Calibri" w:hAnsi="Calibri"/>
          <w:szCs w:val="22"/>
        </w:rPr>
        <w:tab/>
      </w:r>
      <w:r w:rsidR="00DB0D86">
        <w:rPr>
          <w:rFonts w:ascii="Calibri" w:hAnsi="Calibri"/>
          <w:szCs w:val="22"/>
        </w:rPr>
        <w:t xml:space="preserve">  </w:t>
      </w:r>
      <w:r w:rsidR="00030B23">
        <w:rPr>
          <w:rFonts w:ascii="Calibri" w:hAnsi="Calibri"/>
          <w:szCs w:val="22"/>
        </w:rPr>
        <w:t xml:space="preserve">  </w:t>
      </w:r>
      <w:r w:rsidR="00DB0D86">
        <w:rPr>
          <w:rFonts w:ascii="Calibri" w:hAnsi="Calibri"/>
          <w:szCs w:val="22"/>
        </w:rPr>
        <w:t xml:space="preserve"> </w:t>
      </w:r>
      <w:r w:rsidR="00A06CE7">
        <w:rPr>
          <w:rFonts w:ascii="Calibri" w:hAnsi="Calibri"/>
          <w:szCs w:val="22"/>
        </w:rPr>
        <w:t xml:space="preserve">     </w:t>
      </w:r>
      <w:r w:rsidR="00DB0D86">
        <w:rPr>
          <w:rFonts w:ascii="Calibri" w:hAnsi="Calibri"/>
          <w:szCs w:val="22"/>
        </w:rPr>
        <w:t xml:space="preserve"> </w:t>
      </w:r>
      <w:r w:rsidR="0023366E">
        <w:rPr>
          <w:rFonts w:ascii="Calibri" w:hAnsi="Calibri"/>
          <w:szCs w:val="22"/>
        </w:rPr>
        <w:t xml:space="preserve">          za poskytovatele</w:t>
      </w:r>
      <w:r w:rsidR="006D5261">
        <w:rPr>
          <w:rFonts w:ascii="Calibri" w:hAnsi="Calibri"/>
          <w:szCs w:val="22"/>
        </w:rPr>
        <w:br/>
      </w:r>
    </w:p>
    <w:sectPr w:rsidR="00B07AEC" w:rsidSect="009467D0">
      <w:footerReference w:type="even" r:id="rId8"/>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EA9" w:rsidRDefault="00DC6EA9">
      <w:r>
        <w:separator/>
      </w:r>
    </w:p>
  </w:endnote>
  <w:endnote w:type="continuationSeparator" w:id="0">
    <w:p w:rsidR="00DC6EA9" w:rsidRDefault="00DC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898" w:rsidRDefault="005E11DC" w:rsidP="009467D0">
    <w:pPr>
      <w:pStyle w:val="Zpat"/>
      <w:framePr w:wrap="around" w:vAnchor="text" w:hAnchor="margin" w:xAlign="center" w:y="1"/>
      <w:rPr>
        <w:rStyle w:val="slostrnky"/>
      </w:rPr>
    </w:pPr>
    <w:r>
      <w:rPr>
        <w:rStyle w:val="slostrnky"/>
      </w:rPr>
      <w:fldChar w:fldCharType="begin"/>
    </w:r>
    <w:r w:rsidR="008A3898">
      <w:rPr>
        <w:rStyle w:val="slostrnky"/>
      </w:rPr>
      <w:instrText xml:space="preserve">PAGE  </w:instrText>
    </w:r>
    <w:r>
      <w:rPr>
        <w:rStyle w:val="slostrnky"/>
      </w:rPr>
      <w:fldChar w:fldCharType="end"/>
    </w:r>
  </w:p>
  <w:p w:rsidR="008A3898" w:rsidRDefault="008A389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EA9" w:rsidRDefault="00DC6EA9">
      <w:r>
        <w:separator/>
      </w:r>
    </w:p>
  </w:footnote>
  <w:footnote w:type="continuationSeparator" w:id="0">
    <w:p w:rsidR="00DC6EA9" w:rsidRDefault="00DC6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4EA"/>
    <w:multiLevelType w:val="multilevel"/>
    <w:tmpl w:val="E424F22E"/>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34D272C"/>
    <w:multiLevelType w:val="hybridMultilevel"/>
    <w:tmpl w:val="DA4AFE76"/>
    <w:lvl w:ilvl="0" w:tplc="7F6CE53C">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4B762C5"/>
    <w:multiLevelType w:val="multilevel"/>
    <w:tmpl w:val="6DD62122"/>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AD7645E"/>
    <w:multiLevelType w:val="multilevel"/>
    <w:tmpl w:val="675EE0A6"/>
    <w:lvl w:ilvl="0">
      <w:start w:val="1"/>
      <w:numFmt w:val="decimal"/>
      <w:lvlText w:val="%1."/>
      <w:lvlJc w:val="left"/>
      <w:pPr>
        <w:tabs>
          <w:tab w:val="num" w:pos="360"/>
        </w:tabs>
        <w:ind w:left="360" w:hanging="360"/>
      </w:pPr>
      <w:rPr>
        <w:rFonts w:ascii="Calibri" w:hAnsi="Calibri" w:hint="default"/>
        <w:b w:val="0"/>
        <w:i w:val="0"/>
        <w:sz w:val="20"/>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7AF1852"/>
    <w:multiLevelType w:val="multilevel"/>
    <w:tmpl w:val="6AA83348"/>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9E91B98"/>
    <w:multiLevelType w:val="hybridMultilevel"/>
    <w:tmpl w:val="8970187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42044BF6"/>
    <w:multiLevelType w:val="multilevel"/>
    <w:tmpl w:val="B4907DAA"/>
    <w:lvl w:ilvl="0">
      <w:start w:val="1"/>
      <w:numFmt w:val="decimal"/>
      <w:lvlText w:val="%1."/>
      <w:lvlJc w:val="left"/>
      <w:pPr>
        <w:tabs>
          <w:tab w:val="num" w:pos="360"/>
        </w:tabs>
        <w:ind w:left="360" w:hanging="360"/>
      </w:pPr>
      <w:rPr>
        <w:rFonts w:hint="default"/>
        <w:b w:val="0"/>
        <w:i w:val="0"/>
        <w:sz w:val="20"/>
        <w:szCs w:val="20"/>
        <w:u w:val="none"/>
      </w:rPr>
    </w:lvl>
    <w:lvl w:ilvl="1">
      <w:start w:val="1"/>
      <w:numFmt w:val="decimal"/>
      <w:lvlText w:val="%2."/>
      <w:lvlJc w:val="left"/>
      <w:pPr>
        <w:tabs>
          <w:tab w:val="num" w:pos="720"/>
        </w:tabs>
        <w:ind w:left="720" w:hanging="360"/>
      </w:pPr>
      <w:rPr>
        <w:rFonts w:hint="default"/>
        <w:b w:val="0"/>
        <w:i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4551058"/>
    <w:multiLevelType w:val="hybridMultilevel"/>
    <w:tmpl w:val="7EC4B8C0"/>
    <w:lvl w:ilvl="0" w:tplc="501E2018">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12053C2"/>
    <w:multiLevelType w:val="hybridMultilevel"/>
    <w:tmpl w:val="578619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8183A17"/>
    <w:multiLevelType w:val="hybridMultilevel"/>
    <w:tmpl w:val="318657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96E34F0"/>
    <w:multiLevelType w:val="multilevel"/>
    <w:tmpl w:val="790C4A44"/>
    <w:lvl w:ilvl="0">
      <w:start w:val="1"/>
      <w:numFmt w:val="decimal"/>
      <w:lvlText w:val="%1."/>
      <w:lvlJc w:val="left"/>
      <w:pPr>
        <w:tabs>
          <w:tab w:val="num" w:pos="360"/>
        </w:tabs>
        <w:ind w:left="360" w:hanging="360"/>
      </w:pPr>
      <w:rPr>
        <w:rFonts w:ascii="Calibri" w:hAnsi="Calibri" w:hint="default"/>
        <w:b w:val="0"/>
        <w:i w:val="0"/>
        <w:sz w:val="20"/>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9"/>
  </w:num>
  <w:num w:numId="3">
    <w:abstractNumId w:val="10"/>
  </w:num>
  <w:num w:numId="4">
    <w:abstractNumId w:val="7"/>
  </w:num>
  <w:num w:numId="5">
    <w:abstractNumId w:val="3"/>
  </w:num>
  <w:num w:numId="6">
    <w:abstractNumId w:val="0"/>
  </w:num>
  <w:num w:numId="7">
    <w:abstractNumId w:val="5"/>
  </w:num>
  <w:num w:numId="8">
    <w:abstractNumId w:val="2"/>
  </w:num>
  <w:num w:numId="9">
    <w:abstractNumId w:val="4"/>
  </w:num>
  <w:num w:numId="10">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A33"/>
    <w:rsid w:val="00003F49"/>
    <w:rsid w:val="00006CBA"/>
    <w:rsid w:val="00024627"/>
    <w:rsid w:val="00025F42"/>
    <w:rsid w:val="00030B23"/>
    <w:rsid w:val="00036F1A"/>
    <w:rsid w:val="00043503"/>
    <w:rsid w:val="00054877"/>
    <w:rsid w:val="00070816"/>
    <w:rsid w:val="00080C35"/>
    <w:rsid w:val="000A3B28"/>
    <w:rsid w:val="000E1999"/>
    <w:rsid w:val="000E4692"/>
    <w:rsid w:val="000E7969"/>
    <w:rsid w:val="00100CC9"/>
    <w:rsid w:val="00115BF7"/>
    <w:rsid w:val="0012220B"/>
    <w:rsid w:val="00123E6A"/>
    <w:rsid w:val="00125B9F"/>
    <w:rsid w:val="00136D4A"/>
    <w:rsid w:val="00142BBB"/>
    <w:rsid w:val="00153951"/>
    <w:rsid w:val="00155AA1"/>
    <w:rsid w:val="00157B47"/>
    <w:rsid w:val="00157F62"/>
    <w:rsid w:val="00160CA7"/>
    <w:rsid w:val="001631A4"/>
    <w:rsid w:val="00163672"/>
    <w:rsid w:val="00166C81"/>
    <w:rsid w:val="00170712"/>
    <w:rsid w:val="00181DF6"/>
    <w:rsid w:val="001843E2"/>
    <w:rsid w:val="001968D0"/>
    <w:rsid w:val="001A5D10"/>
    <w:rsid w:val="001D11FD"/>
    <w:rsid w:val="001F37F1"/>
    <w:rsid w:val="001F7D58"/>
    <w:rsid w:val="00206EF6"/>
    <w:rsid w:val="00210558"/>
    <w:rsid w:val="00210D91"/>
    <w:rsid w:val="00216341"/>
    <w:rsid w:val="00220F97"/>
    <w:rsid w:val="002327A4"/>
    <w:rsid w:val="0023366E"/>
    <w:rsid w:val="00246A1D"/>
    <w:rsid w:val="00261838"/>
    <w:rsid w:val="002673F9"/>
    <w:rsid w:val="00291346"/>
    <w:rsid w:val="002A0BAB"/>
    <w:rsid w:val="002B3B8C"/>
    <w:rsid w:val="002C4DDB"/>
    <w:rsid w:val="002C7D6A"/>
    <w:rsid w:val="002D004B"/>
    <w:rsid w:val="002D5F05"/>
    <w:rsid w:val="002D6C00"/>
    <w:rsid w:val="00320CC4"/>
    <w:rsid w:val="00326149"/>
    <w:rsid w:val="003334D3"/>
    <w:rsid w:val="003346B2"/>
    <w:rsid w:val="0033752C"/>
    <w:rsid w:val="003434D0"/>
    <w:rsid w:val="00362CD2"/>
    <w:rsid w:val="003653D1"/>
    <w:rsid w:val="00372646"/>
    <w:rsid w:val="00374889"/>
    <w:rsid w:val="00377332"/>
    <w:rsid w:val="003945D1"/>
    <w:rsid w:val="003A4FEA"/>
    <w:rsid w:val="003B34A7"/>
    <w:rsid w:val="003E386B"/>
    <w:rsid w:val="003F04D8"/>
    <w:rsid w:val="003F3B7C"/>
    <w:rsid w:val="004026AF"/>
    <w:rsid w:val="00407744"/>
    <w:rsid w:val="00411F44"/>
    <w:rsid w:val="0042724D"/>
    <w:rsid w:val="00440B7A"/>
    <w:rsid w:val="00440E84"/>
    <w:rsid w:val="00467105"/>
    <w:rsid w:val="004753B6"/>
    <w:rsid w:val="0048271F"/>
    <w:rsid w:val="004844F7"/>
    <w:rsid w:val="004A3CC2"/>
    <w:rsid w:val="004B236F"/>
    <w:rsid w:val="004C1EB3"/>
    <w:rsid w:val="004C4365"/>
    <w:rsid w:val="004D5295"/>
    <w:rsid w:val="004F0BDB"/>
    <w:rsid w:val="00503167"/>
    <w:rsid w:val="00506B9A"/>
    <w:rsid w:val="00507FD0"/>
    <w:rsid w:val="005119E7"/>
    <w:rsid w:val="00540882"/>
    <w:rsid w:val="0054174A"/>
    <w:rsid w:val="0054672C"/>
    <w:rsid w:val="00555FA1"/>
    <w:rsid w:val="00562671"/>
    <w:rsid w:val="00573932"/>
    <w:rsid w:val="00596F1F"/>
    <w:rsid w:val="005A06D1"/>
    <w:rsid w:val="005A3754"/>
    <w:rsid w:val="005B47DF"/>
    <w:rsid w:val="005E11DC"/>
    <w:rsid w:val="005E2CD2"/>
    <w:rsid w:val="005F4FC5"/>
    <w:rsid w:val="00600AE6"/>
    <w:rsid w:val="00604FEE"/>
    <w:rsid w:val="006065AB"/>
    <w:rsid w:val="00612C91"/>
    <w:rsid w:val="00612FB3"/>
    <w:rsid w:val="00636DD5"/>
    <w:rsid w:val="00640C41"/>
    <w:rsid w:val="006935ED"/>
    <w:rsid w:val="006C3D5C"/>
    <w:rsid w:val="006C4C35"/>
    <w:rsid w:val="006C4FA0"/>
    <w:rsid w:val="006D5261"/>
    <w:rsid w:val="006E2D10"/>
    <w:rsid w:val="006F1D1F"/>
    <w:rsid w:val="0071636B"/>
    <w:rsid w:val="00720409"/>
    <w:rsid w:val="007216AC"/>
    <w:rsid w:val="007409E1"/>
    <w:rsid w:val="00743DAC"/>
    <w:rsid w:val="00744A34"/>
    <w:rsid w:val="007530D8"/>
    <w:rsid w:val="007635A5"/>
    <w:rsid w:val="0078382A"/>
    <w:rsid w:val="00786B3B"/>
    <w:rsid w:val="007A2F51"/>
    <w:rsid w:val="007B2164"/>
    <w:rsid w:val="007B6215"/>
    <w:rsid w:val="007C1D37"/>
    <w:rsid w:val="007C377D"/>
    <w:rsid w:val="007D580A"/>
    <w:rsid w:val="007D6EDA"/>
    <w:rsid w:val="007E48BE"/>
    <w:rsid w:val="007F1A91"/>
    <w:rsid w:val="00803B61"/>
    <w:rsid w:val="00825209"/>
    <w:rsid w:val="008311D2"/>
    <w:rsid w:val="00836702"/>
    <w:rsid w:val="008415C6"/>
    <w:rsid w:val="008426A5"/>
    <w:rsid w:val="00852872"/>
    <w:rsid w:val="00865A87"/>
    <w:rsid w:val="008712CC"/>
    <w:rsid w:val="008868B7"/>
    <w:rsid w:val="00886B41"/>
    <w:rsid w:val="00887D96"/>
    <w:rsid w:val="008A2C59"/>
    <w:rsid w:val="008A3898"/>
    <w:rsid w:val="008B3A9A"/>
    <w:rsid w:val="008C1EBC"/>
    <w:rsid w:val="008D3AB1"/>
    <w:rsid w:val="008E36AB"/>
    <w:rsid w:val="008E3F95"/>
    <w:rsid w:val="009031CE"/>
    <w:rsid w:val="009126CE"/>
    <w:rsid w:val="00917FE6"/>
    <w:rsid w:val="0092270D"/>
    <w:rsid w:val="00935BC1"/>
    <w:rsid w:val="00937B40"/>
    <w:rsid w:val="00943599"/>
    <w:rsid w:val="009467D0"/>
    <w:rsid w:val="009508B9"/>
    <w:rsid w:val="00961797"/>
    <w:rsid w:val="00964761"/>
    <w:rsid w:val="009668E0"/>
    <w:rsid w:val="0098141F"/>
    <w:rsid w:val="00995AC2"/>
    <w:rsid w:val="00995DC5"/>
    <w:rsid w:val="0099643B"/>
    <w:rsid w:val="009B56D3"/>
    <w:rsid w:val="009C3DC4"/>
    <w:rsid w:val="009C6CD5"/>
    <w:rsid w:val="009F081C"/>
    <w:rsid w:val="009F3A8C"/>
    <w:rsid w:val="009F3CEB"/>
    <w:rsid w:val="009F6B73"/>
    <w:rsid w:val="00A03234"/>
    <w:rsid w:val="00A06CE7"/>
    <w:rsid w:val="00A34F7D"/>
    <w:rsid w:val="00A635D3"/>
    <w:rsid w:val="00A6722C"/>
    <w:rsid w:val="00A67FB2"/>
    <w:rsid w:val="00A81668"/>
    <w:rsid w:val="00A92EDB"/>
    <w:rsid w:val="00A9630E"/>
    <w:rsid w:val="00AA4F85"/>
    <w:rsid w:val="00AA55E2"/>
    <w:rsid w:val="00AA5F20"/>
    <w:rsid w:val="00AB4C0E"/>
    <w:rsid w:val="00AB506C"/>
    <w:rsid w:val="00AC5B62"/>
    <w:rsid w:val="00AF0685"/>
    <w:rsid w:val="00AF4C0E"/>
    <w:rsid w:val="00B00954"/>
    <w:rsid w:val="00B07AEC"/>
    <w:rsid w:val="00B235E6"/>
    <w:rsid w:val="00B30077"/>
    <w:rsid w:val="00B33BB5"/>
    <w:rsid w:val="00B3717A"/>
    <w:rsid w:val="00B42148"/>
    <w:rsid w:val="00B51747"/>
    <w:rsid w:val="00B5276A"/>
    <w:rsid w:val="00B624E9"/>
    <w:rsid w:val="00B64A33"/>
    <w:rsid w:val="00B76817"/>
    <w:rsid w:val="00B86C84"/>
    <w:rsid w:val="00B92BDA"/>
    <w:rsid w:val="00B973D4"/>
    <w:rsid w:val="00BA5181"/>
    <w:rsid w:val="00BC5C63"/>
    <w:rsid w:val="00BC78CD"/>
    <w:rsid w:val="00BE064F"/>
    <w:rsid w:val="00BF43DB"/>
    <w:rsid w:val="00C0335B"/>
    <w:rsid w:val="00C062A0"/>
    <w:rsid w:val="00C11F8E"/>
    <w:rsid w:val="00C138A1"/>
    <w:rsid w:val="00C16773"/>
    <w:rsid w:val="00C203BC"/>
    <w:rsid w:val="00C31A46"/>
    <w:rsid w:val="00C5565D"/>
    <w:rsid w:val="00C61DD9"/>
    <w:rsid w:val="00C65880"/>
    <w:rsid w:val="00C80598"/>
    <w:rsid w:val="00C95323"/>
    <w:rsid w:val="00CA17CB"/>
    <w:rsid w:val="00CA4D53"/>
    <w:rsid w:val="00CA6392"/>
    <w:rsid w:val="00CB4442"/>
    <w:rsid w:val="00CD2C04"/>
    <w:rsid w:val="00CF43C3"/>
    <w:rsid w:val="00D00089"/>
    <w:rsid w:val="00D039A9"/>
    <w:rsid w:val="00D0791A"/>
    <w:rsid w:val="00D1788A"/>
    <w:rsid w:val="00D25CE4"/>
    <w:rsid w:val="00D40DB9"/>
    <w:rsid w:val="00D461AC"/>
    <w:rsid w:val="00D77FD2"/>
    <w:rsid w:val="00D97F97"/>
    <w:rsid w:val="00DB0D86"/>
    <w:rsid w:val="00DC30E7"/>
    <w:rsid w:val="00DC3C56"/>
    <w:rsid w:val="00DC6EA9"/>
    <w:rsid w:val="00DE2A0A"/>
    <w:rsid w:val="00DF3F7F"/>
    <w:rsid w:val="00E015BD"/>
    <w:rsid w:val="00E02C67"/>
    <w:rsid w:val="00E11E31"/>
    <w:rsid w:val="00E14892"/>
    <w:rsid w:val="00E17130"/>
    <w:rsid w:val="00E234E3"/>
    <w:rsid w:val="00E349C0"/>
    <w:rsid w:val="00E34B93"/>
    <w:rsid w:val="00E44D4B"/>
    <w:rsid w:val="00E84119"/>
    <w:rsid w:val="00EC7485"/>
    <w:rsid w:val="00ED14B4"/>
    <w:rsid w:val="00ED453F"/>
    <w:rsid w:val="00EE7095"/>
    <w:rsid w:val="00EF0E81"/>
    <w:rsid w:val="00EF204D"/>
    <w:rsid w:val="00F1361B"/>
    <w:rsid w:val="00F14BED"/>
    <w:rsid w:val="00F210E5"/>
    <w:rsid w:val="00F21FBA"/>
    <w:rsid w:val="00F2360E"/>
    <w:rsid w:val="00F26718"/>
    <w:rsid w:val="00F271EC"/>
    <w:rsid w:val="00F45992"/>
    <w:rsid w:val="00F5766E"/>
    <w:rsid w:val="00F63D0E"/>
    <w:rsid w:val="00F65DDF"/>
    <w:rsid w:val="00F715A4"/>
    <w:rsid w:val="00F90531"/>
    <w:rsid w:val="00FA4585"/>
    <w:rsid w:val="00FB0906"/>
    <w:rsid w:val="00FB1CF0"/>
    <w:rsid w:val="00FB298A"/>
    <w:rsid w:val="00FB6DD8"/>
    <w:rsid w:val="00FC3670"/>
    <w:rsid w:val="00FD3337"/>
    <w:rsid w:val="00FD6CEE"/>
    <w:rsid w:val="00FE35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F14B5-C560-4F9D-945D-C848568E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4A33"/>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B64A33"/>
    <w:pPr>
      <w:tabs>
        <w:tab w:val="center" w:pos="4536"/>
        <w:tab w:val="right" w:pos="9072"/>
      </w:tabs>
    </w:pPr>
  </w:style>
  <w:style w:type="character" w:customStyle="1" w:styleId="ZpatChar">
    <w:name w:val="Zápatí Char"/>
    <w:link w:val="Zpat"/>
    <w:uiPriority w:val="99"/>
    <w:rsid w:val="00B64A33"/>
    <w:rPr>
      <w:rFonts w:ascii="Times New Roman" w:eastAsia="Times New Roman" w:hAnsi="Times New Roman" w:cs="Times New Roman"/>
      <w:sz w:val="20"/>
      <w:szCs w:val="20"/>
      <w:lang w:eastAsia="cs-CZ"/>
    </w:rPr>
  </w:style>
  <w:style w:type="character" w:styleId="slostrnky">
    <w:name w:val="page number"/>
    <w:basedOn w:val="Standardnpsmoodstavce"/>
    <w:rsid w:val="00B64A33"/>
  </w:style>
  <w:style w:type="paragraph" w:styleId="Odstavecseseznamem">
    <w:name w:val="List Paragraph"/>
    <w:basedOn w:val="Normln"/>
    <w:uiPriority w:val="34"/>
    <w:qFormat/>
    <w:rsid w:val="00B64A33"/>
    <w:pPr>
      <w:ind w:left="708"/>
    </w:pPr>
  </w:style>
  <w:style w:type="character" w:styleId="Odkaznakoment">
    <w:name w:val="annotation reference"/>
    <w:semiHidden/>
    <w:rsid w:val="00B64A33"/>
    <w:rPr>
      <w:sz w:val="16"/>
      <w:szCs w:val="16"/>
    </w:rPr>
  </w:style>
  <w:style w:type="paragraph" w:styleId="Textkomente">
    <w:name w:val="annotation text"/>
    <w:basedOn w:val="Normln"/>
    <w:link w:val="TextkomenteChar"/>
    <w:rsid w:val="00B64A33"/>
  </w:style>
  <w:style w:type="character" w:customStyle="1" w:styleId="TextkomenteChar">
    <w:name w:val="Text komentáře Char"/>
    <w:link w:val="Textkomente"/>
    <w:rsid w:val="00B64A33"/>
    <w:rPr>
      <w:rFonts w:ascii="Times New Roman" w:eastAsia="Times New Roman" w:hAnsi="Times New Roman" w:cs="Times New Roman"/>
      <w:sz w:val="20"/>
      <w:szCs w:val="20"/>
      <w:lang w:eastAsia="cs-CZ"/>
    </w:rPr>
  </w:style>
  <w:style w:type="character" w:styleId="Hypertextovodkaz">
    <w:name w:val="Hyperlink"/>
    <w:rsid w:val="00B64A33"/>
    <w:rPr>
      <w:color w:val="0000FF"/>
      <w:u w:val="single"/>
    </w:rPr>
  </w:style>
  <w:style w:type="paragraph" w:styleId="Textbubliny">
    <w:name w:val="Balloon Text"/>
    <w:basedOn w:val="Normln"/>
    <w:link w:val="TextbublinyChar"/>
    <w:uiPriority w:val="99"/>
    <w:semiHidden/>
    <w:unhideWhenUsed/>
    <w:rsid w:val="00B64A33"/>
    <w:rPr>
      <w:rFonts w:ascii="Tahoma" w:hAnsi="Tahoma" w:cs="Tahoma"/>
      <w:sz w:val="16"/>
      <w:szCs w:val="16"/>
    </w:rPr>
  </w:style>
  <w:style w:type="character" w:customStyle="1" w:styleId="TextbublinyChar">
    <w:name w:val="Text bubliny Char"/>
    <w:link w:val="Textbubliny"/>
    <w:uiPriority w:val="99"/>
    <w:semiHidden/>
    <w:rsid w:val="00B64A33"/>
    <w:rPr>
      <w:rFonts w:ascii="Tahoma" w:eastAsia="Times New Roman" w:hAnsi="Tahoma" w:cs="Tahoma"/>
      <w:sz w:val="16"/>
      <w:szCs w:val="16"/>
      <w:lang w:eastAsia="cs-CZ"/>
    </w:rPr>
  </w:style>
  <w:style w:type="paragraph" w:styleId="Zhlav">
    <w:name w:val="header"/>
    <w:basedOn w:val="Normln"/>
    <w:link w:val="ZhlavChar"/>
    <w:uiPriority w:val="99"/>
    <w:unhideWhenUsed/>
    <w:rsid w:val="007A2F51"/>
    <w:pPr>
      <w:tabs>
        <w:tab w:val="center" w:pos="4536"/>
        <w:tab w:val="right" w:pos="9072"/>
      </w:tabs>
    </w:pPr>
  </w:style>
  <w:style w:type="character" w:customStyle="1" w:styleId="ZhlavChar">
    <w:name w:val="Záhlaví Char"/>
    <w:link w:val="Zhlav"/>
    <w:uiPriority w:val="99"/>
    <w:rsid w:val="007A2F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A2F51"/>
    <w:rPr>
      <w:b/>
      <w:bCs/>
    </w:rPr>
  </w:style>
  <w:style w:type="character" w:customStyle="1" w:styleId="PedmtkomenteChar">
    <w:name w:val="Předmět komentáře Char"/>
    <w:link w:val="Pedmtkomente"/>
    <w:uiPriority w:val="99"/>
    <w:semiHidden/>
    <w:rsid w:val="007A2F51"/>
    <w:rPr>
      <w:rFonts w:ascii="Times New Roman" w:eastAsia="Times New Roman" w:hAnsi="Times New Roman" w:cs="Times New Roman"/>
      <w:b/>
      <w:bCs/>
      <w:sz w:val="20"/>
      <w:szCs w:val="20"/>
      <w:lang w:eastAsia="cs-CZ"/>
    </w:rPr>
  </w:style>
  <w:style w:type="paragraph" w:customStyle="1" w:styleId="Zkladntext">
    <w:name w:val="Základní text~~"/>
    <w:basedOn w:val="Normln"/>
    <w:rsid w:val="00555FA1"/>
    <w:pPr>
      <w:suppressAutoHyphens/>
      <w:overflowPunct w:val="0"/>
      <w:autoSpaceDE w:val="0"/>
      <w:autoSpaceDN w:val="0"/>
      <w:adjustRightInd w:val="0"/>
      <w:spacing w:line="276" w:lineRule="auto"/>
    </w:pPr>
    <w:rPr>
      <w:sz w:val="24"/>
    </w:rPr>
  </w:style>
  <w:style w:type="paragraph" w:styleId="Nzev">
    <w:name w:val="Title"/>
    <w:basedOn w:val="Normln"/>
    <w:link w:val="NzevChar"/>
    <w:qFormat/>
    <w:rsid w:val="00467105"/>
    <w:pPr>
      <w:jc w:val="center"/>
    </w:pPr>
    <w:rPr>
      <w:b/>
      <w:bCs/>
      <w:sz w:val="28"/>
      <w:szCs w:val="24"/>
    </w:rPr>
  </w:style>
  <w:style w:type="character" w:customStyle="1" w:styleId="NzevChar">
    <w:name w:val="Název Char"/>
    <w:basedOn w:val="Standardnpsmoodstavce"/>
    <w:link w:val="Nzev"/>
    <w:rsid w:val="00467105"/>
    <w:rPr>
      <w:rFonts w:ascii="Times New Roman" w:eastAsia="Times New Roman" w:hAnsi="Times New Roman"/>
      <w:b/>
      <w:bCs/>
      <w:sz w:val="28"/>
      <w:szCs w:val="24"/>
    </w:rPr>
  </w:style>
  <w:style w:type="character" w:customStyle="1" w:styleId="st1">
    <w:name w:val="st1"/>
    <w:basedOn w:val="Standardnpsmoodstavce"/>
    <w:rsid w:val="00F71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25150">
      <w:bodyDiv w:val="1"/>
      <w:marLeft w:val="0"/>
      <w:marRight w:val="0"/>
      <w:marTop w:val="0"/>
      <w:marBottom w:val="0"/>
      <w:divBdr>
        <w:top w:val="none" w:sz="0" w:space="0" w:color="auto"/>
        <w:left w:val="none" w:sz="0" w:space="0" w:color="auto"/>
        <w:bottom w:val="none" w:sz="0" w:space="0" w:color="auto"/>
        <w:right w:val="none" w:sz="0" w:space="0" w:color="auto"/>
      </w:divBdr>
    </w:div>
    <w:div w:id="570819016">
      <w:bodyDiv w:val="1"/>
      <w:marLeft w:val="0"/>
      <w:marRight w:val="0"/>
      <w:marTop w:val="0"/>
      <w:marBottom w:val="0"/>
      <w:divBdr>
        <w:top w:val="none" w:sz="0" w:space="0" w:color="auto"/>
        <w:left w:val="none" w:sz="0" w:space="0" w:color="auto"/>
        <w:bottom w:val="none" w:sz="0" w:space="0" w:color="auto"/>
        <w:right w:val="none" w:sz="0" w:space="0" w:color="auto"/>
      </w:divBdr>
    </w:div>
    <w:div w:id="83441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93EB9-8991-4AF0-87DB-2431329D1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3732</Words>
  <Characters>22022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Mejstřík</dc:creator>
  <cp:lastModifiedBy>Korandová, Iva</cp:lastModifiedBy>
  <cp:revision>2</cp:revision>
  <cp:lastPrinted>2016-05-02T12:16:00Z</cp:lastPrinted>
  <dcterms:created xsi:type="dcterms:W3CDTF">2018-09-18T08:17:00Z</dcterms:created>
  <dcterms:modified xsi:type="dcterms:W3CDTF">2018-09-18T08:17:00Z</dcterms:modified>
</cp:coreProperties>
</file>