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4EC4B" w14:textId="1DDDCB15" w:rsidR="00155A5B" w:rsidRPr="00AE78B2" w:rsidRDefault="00155A5B" w:rsidP="00AE78B2">
      <w:pPr>
        <w:spacing w:after="240"/>
        <w:jc w:val="center"/>
        <w:rPr>
          <w:rFonts w:ascii="Arial" w:hAnsi="Arial" w:cs="Arial"/>
          <w:b/>
          <w:sz w:val="28"/>
          <w:szCs w:val="28"/>
        </w:rPr>
      </w:pPr>
      <w:r w:rsidRPr="00AE78B2">
        <w:rPr>
          <w:rFonts w:ascii="Arial" w:hAnsi="Arial" w:cs="Arial"/>
          <w:b/>
          <w:sz w:val="28"/>
          <w:szCs w:val="28"/>
        </w:rPr>
        <w:t xml:space="preserve">Příloha č. 1 – Specifikace plnění </w:t>
      </w:r>
    </w:p>
    <w:p w14:paraId="45C99EEF" w14:textId="77777777" w:rsidR="00155A5B" w:rsidRPr="003871B3" w:rsidRDefault="00155A5B" w:rsidP="00BB10E8">
      <w:pPr>
        <w:spacing w:after="240"/>
        <w:jc w:val="center"/>
        <w:rPr>
          <w:rFonts w:ascii="Arial" w:hAnsi="Arial" w:cs="Arial"/>
          <w:b/>
          <w:sz w:val="28"/>
          <w:szCs w:val="28"/>
        </w:rPr>
      </w:pPr>
      <w:r w:rsidRPr="003871B3">
        <w:rPr>
          <w:rFonts w:ascii="Arial" w:hAnsi="Arial" w:cs="Arial"/>
          <w:b/>
          <w:sz w:val="28"/>
          <w:szCs w:val="28"/>
        </w:rPr>
        <w:t>Aktiv</w:t>
      </w:r>
      <w:bookmarkStart w:id="0" w:name="_GoBack"/>
      <w:bookmarkEnd w:id="0"/>
      <w:r w:rsidRPr="003871B3">
        <w:rPr>
          <w:rFonts w:ascii="Arial" w:hAnsi="Arial" w:cs="Arial"/>
          <w:b/>
          <w:sz w:val="28"/>
          <w:szCs w:val="28"/>
        </w:rPr>
        <w:t>ity v oblasti rozvoje a aktualizace MIS</w:t>
      </w:r>
    </w:p>
    <w:p w14:paraId="53A50791" w14:textId="759F4FAB" w:rsidR="006C394D" w:rsidRPr="003871B3" w:rsidRDefault="00D64242" w:rsidP="003C1080">
      <w:pPr>
        <w:pStyle w:val="GSOdstavec"/>
        <w:spacing w:before="60" w:after="120"/>
        <w:jc w:val="both"/>
        <w:rPr>
          <w:rFonts w:cs="Arial"/>
          <w:b/>
          <w:szCs w:val="22"/>
        </w:rPr>
      </w:pPr>
      <w:r w:rsidRPr="003871B3">
        <w:rPr>
          <w:rFonts w:cs="Arial"/>
          <w:szCs w:val="22"/>
        </w:rPr>
        <w:t>Tato příloha doplňuje Přílohu č. 1 Příloha č.1 Obchodní Smlouvy č. 09/2017</w:t>
      </w:r>
      <w:r w:rsidR="008C1B0C" w:rsidRPr="003871B3">
        <w:rPr>
          <w:rFonts w:cs="Arial"/>
          <w:szCs w:val="22"/>
        </w:rPr>
        <w:t xml:space="preserve"> a aktualizuje termíny milníků dle stávajících potřeb JISPSV</w:t>
      </w:r>
      <w:r w:rsidRPr="003871B3">
        <w:rPr>
          <w:rFonts w:cs="Arial"/>
          <w:szCs w:val="22"/>
        </w:rPr>
        <w:t>.</w:t>
      </w:r>
    </w:p>
    <w:p w14:paraId="7D2022BC" w14:textId="77777777" w:rsidR="00600CCF" w:rsidRDefault="00600CCF" w:rsidP="003C1080">
      <w:pPr>
        <w:pStyle w:val="GSOdstavec"/>
        <w:spacing w:before="60" w:after="120"/>
        <w:jc w:val="both"/>
        <w:rPr>
          <w:rFonts w:cs="Arial"/>
          <w:b/>
          <w:szCs w:val="22"/>
        </w:rPr>
      </w:pPr>
      <w:r w:rsidRPr="003871B3">
        <w:rPr>
          <w:rFonts w:cs="Arial"/>
          <w:b/>
          <w:szCs w:val="22"/>
        </w:rPr>
        <w:t>Obsah</w:t>
      </w:r>
      <w:r w:rsidR="006C394D" w:rsidRPr="003871B3">
        <w:rPr>
          <w:rFonts w:cs="Arial"/>
          <w:b/>
          <w:szCs w:val="22"/>
        </w:rPr>
        <w:t xml:space="preserve"> Přílohy č. 1</w:t>
      </w:r>
    </w:p>
    <w:p w14:paraId="270B7A44" w14:textId="77777777" w:rsidR="00926F6B" w:rsidRPr="00926F6B" w:rsidRDefault="00926F6B" w:rsidP="00116422">
      <w:pPr>
        <w:pStyle w:val="GSOdstavec"/>
        <w:spacing w:before="0" w:after="20"/>
        <w:jc w:val="both"/>
        <w:rPr>
          <w:rFonts w:cs="Arial"/>
          <w:szCs w:val="22"/>
        </w:rPr>
      </w:pPr>
    </w:p>
    <w:sdt>
      <w:sdtPr>
        <w:rPr>
          <w:b/>
          <w:bCs/>
        </w:rPr>
        <w:id w:val="782386596"/>
        <w:docPartObj>
          <w:docPartGallery w:val="Table of Contents"/>
          <w:docPartUnique/>
        </w:docPartObj>
      </w:sdtPr>
      <w:sdtEndPr>
        <w:rPr>
          <w:b w:val="0"/>
          <w:bCs w:val="0"/>
        </w:rPr>
      </w:sdtEndPr>
      <w:sdtContent>
        <w:p w14:paraId="3990D117" w14:textId="77777777" w:rsidR="00AE78B2" w:rsidRPr="00AE78B2" w:rsidRDefault="00B7266F">
          <w:pPr>
            <w:pStyle w:val="TOC1"/>
            <w:rPr>
              <w:rFonts w:asciiTheme="minorHAnsi" w:eastAsiaTheme="minorEastAsia" w:hAnsiTheme="minorHAnsi" w:cstheme="minorBidi"/>
              <w:noProof/>
              <w:color w:val="auto"/>
              <w:sz w:val="20"/>
              <w:szCs w:val="20"/>
              <w:lang w:eastAsia="cs-CZ"/>
            </w:rPr>
          </w:pPr>
          <w:r w:rsidRPr="00AE78B2">
            <w:rPr>
              <w:rFonts w:ascii="Arial" w:hAnsi="Arial" w:cs="Arial"/>
              <w:b/>
              <w:bCs/>
            </w:rPr>
            <w:fldChar w:fldCharType="begin"/>
          </w:r>
          <w:r w:rsidRPr="00AE78B2">
            <w:rPr>
              <w:rFonts w:ascii="Arial" w:hAnsi="Arial" w:cs="Arial"/>
              <w:b/>
              <w:bCs/>
            </w:rPr>
            <w:instrText xml:space="preserve"> TOC \o "1-3" \h \z \u </w:instrText>
          </w:r>
          <w:r w:rsidRPr="00AE78B2">
            <w:rPr>
              <w:rFonts w:ascii="Arial" w:hAnsi="Arial" w:cs="Arial"/>
              <w:b/>
              <w:bCs/>
            </w:rPr>
            <w:fldChar w:fldCharType="separate"/>
          </w:r>
          <w:hyperlink w:anchor="_Toc522884689" w:history="1">
            <w:r w:rsidR="00AE78B2" w:rsidRPr="00AE78B2">
              <w:rPr>
                <w:rStyle w:val="Hyperlink"/>
                <w:noProof/>
                <w:sz w:val="20"/>
                <w:szCs w:val="20"/>
              </w:rPr>
              <w:t>1</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(tato kapitola je záměrně ponechána prázdná)</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_Toc522884689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w:t>
            </w:r>
            <w:r w:rsidR="00AE78B2" w:rsidRPr="00AE78B2">
              <w:rPr>
                <w:noProof/>
                <w:webHidden/>
                <w:sz w:val="20"/>
                <w:szCs w:val="20"/>
              </w:rPr>
              <w:fldChar w:fldCharType="end"/>
            </w:r>
          </w:hyperlink>
        </w:p>
        <w:p w14:paraId="03B2233F" w14:textId="77777777" w:rsidR="00AE78B2" w:rsidRPr="00AE78B2" w:rsidRDefault="002F7FB6">
          <w:pPr>
            <w:pStyle w:val="TOC1"/>
            <w:rPr>
              <w:rFonts w:asciiTheme="minorHAnsi" w:eastAsiaTheme="minorEastAsia" w:hAnsiTheme="minorHAnsi" w:cstheme="minorBidi"/>
              <w:noProof/>
              <w:color w:val="auto"/>
              <w:sz w:val="20"/>
              <w:szCs w:val="20"/>
              <w:lang w:eastAsia="cs-CZ"/>
            </w:rPr>
          </w:pPr>
          <w:hyperlink w:anchor="_Toc522884690" w:history="1">
            <w:r w:rsidR="00AE78B2" w:rsidRPr="00AE78B2">
              <w:rPr>
                <w:rStyle w:val="Hyperlink"/>
                <w:noProof/>
                <w:sz w:val="20"/>
                <w:szCs w:val="20"/>
              </w:rPr>
              <w:t>2</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Specifikace plnění</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_Toc522884690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w:t>
            </w:r>
            <w:r w:rsidR="00AE78B2" w:rsidRPr="00AE78B2">
              <w:rPr>
                <w:noProof/>
                <w:webHidden/>
                <w:sz w:val="20"/>
                <w:szCs w:val="20"/>
              </w:rPr>
              <w:fldChar w:fldCharType="end"/>
            </w:r>
          </w:hyperlink>
        </w:p>
        <w:p w14:paraId="63FECABA"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691" w:history="1">
            <w:r w:rsidR="00AE78B2" w:rsidRPr="00AE78B2">
              <w:rPr>
                <w:rStyle w:val="Hyperlink"/>
                <w:noProof/>
                <w:sz w:val="20"/>
                <w:szCs w:val="20"/>
              </w:rPr>
              <w:t>2.1</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Další činnosti LIS pro IS ZAM</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_Toc522884691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w:t>
            </w:r>
            <w:r w:rsidR="00AE78B2" w:rsidRPr="00AE78B2">
              <w:rPr>
                <w:noProof/>
                <w:webHidden/>
                <w:sz w:val="20"/>
                <w:szCs w:val="20"/>
              </w:rPr>
              <w:fldChar w:fldCharType="end"/>
            </w:r>
          </w:hyperlink>
        </w:p>
        <w:p w14:paraId="40B42D2B"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2" w:history="1">
            <w:r w:rsidR="00AE78B2" w:rsidRPr="00AE78B2">
              <w:rPr>
                <w:rStyle w:val="Hyperlink"/>
                <w:noProof/>
                <w:sz w:val="20"/>
                <w:szCs w:val="20"/>
              </w:rPr>
              <w:t>2.1.1</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Průběžné činnosti</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_Toc522884692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w:t>
            </w:r>
            <w:r w:rsidR="00AE78B2" w:rsidRPr="00AE78B2">
              <w:rPr>
                <w:noProof/>
                <w:webHidden/>
                <w:sz w:val="20"/>
                <w:szCs w:val="20"/>
              </w:rPr>
              <w:fldChar w:fldCharType="end"/>
            </w:r>
          </w:hyperlink>
        </w:p>
        <w:p w14:paraId="5B359E2A"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3" w:history="1">
            <w:r w:rsidR="00AE78B2" w:rsidRPr="00AE78B2">
              <w:rPr>
                <w:rStyle w:val="Hyperlink"/>
                <w:noProof/>
                <w:sz w:val="20"/>
                <w:szCs w:val="20"/>
              </w:rPr>
              <w:t>2.1.2</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Přizpůsobení stávajícího zpracování dat aktuálnímu stavu</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_Toc522884693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14</w:t>
            </w:r>
            <w:r w:rsidR="00AE78B2" w:rsidRPr="00AE78B2">
              <w:rPr>
                <w:noProof/>
                <w:webHidden/>
                <w:sz w:val="20"/>
                <w:szCs w:val="20"/>
              </w:rPr>
              <w:fldChar w:fldCharType="end"/>
            </w:r>
          </w:hyperlink>
        </w:p>
        <w:p w14:paraId="33019F67"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4" w:history="1">
            <w:r w:rsidR="00AE78B2" w:rsidRPr="00AE78B2">
              <w:rPr>
                <w:rStyle w:val="Hyperlink"/>
                <w:noProof/>
                <w:sz w:val="20"/>
                <w:szCs w:val="20"/>
              </w:rPr>
              <w:t>2.1.3</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Vytvoření GAP analýzy</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_Toc522884694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14</w:t>
            </w:r>
            <w:r w:rsidR="00AE78B2" w:rsidRPr="00AE78B2">
              <w:rPr>
                <w:noProof/>
                <w:webHidden/>
                <w:sz w:val="20"/>
                <w:szCs w:val="20"/>
              </w:rPr>
              <w:fldChar w:fldCharType="end"/>
            </w:r>
          </w:hyperlink>
        </w:p>
        <w:p w14:paraId="604D0CB4"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5" w:history="1">
            <w:r w:rsidR="00AE78B2" w:rsidRPr="00AE78B2">
              <w:rPr>
                <w:rStyle w:val="Hyperlink"/>
                <w:noProof/>
                <w:sz w:val="20"/>
                <w:szCs w:val="20"/>
              </w:rPr>
              <w:t>2.1.4</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Analýza a návrh řešení rozdělení živá a archivní dat</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_Toc522884695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15</w:t>
            </w:r>
            <w:r w:rsidR="00AE78B2" w:rsidRPr="00AE78B2">
              <w:rPr>
                <w:noProof/>
                <w:webHidden/>
                <w:sz w:val="20"/>
                <w:szCs w:val="20"/>
              </w:rPr>
              <w:fldChar w:fldCharType="end"/>
            </w:r>
          </w:hyperlink>
        </w:p>
        <w:p w14:paraId="06ED50E0"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6" w:history="1">
            <w:r w:rsidR="00AE78B2" w:rsidRPr="00AE78B2">
              <w:rPr>
                <w:rStyle w:val="Hyperlink"/>
                <w:noProof/>
                <w:sz w:val="20"/>
                <w:szCs w:val="20"/>
              </w:rPr>
              <w:t>2.1.5</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Analýza a návrh řešení vedení dokumentace dle nové metodiky MPSV</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_Toc522884696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16</w:t>
            </w:r>
            <w:r w:rsidR="00AE78B2" w:rsidRPr="00AE78B2">
              <w:rPr>
                <w:noProof/>
                <w:webHidden/>
                <w:sz w:val="20"/>
                <w:szCs w:val="20"/>
              </w:rPr>
              <w:fldChar w:fldCharType="end"/>
            </w:r>
          </w:hyperlink>
        </w:p>
        <w:p w14:paraId="59446209" w14:textId="7B981EDE"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7" w:history="1">
            <w:r w:rsidR="00AE78B2" w:rsidRPr="00BA6408">
              <w:rPr>
                <w:rStyle w:val="Hyperlink"/>
                <w:noProof/>
                <w:sz w:val="20"/>
                <w:szCs w:val="20"/>
                <w:highlight w:val="black"/>
              </w:rPr>
              <w:t>2.1.6</w:t>
            </w:r>
            <w:r w:rsidR="00AE78B2" w:rsidRPr="00E008F8">
              <w:rPr>
                <w:rFonts w:asciiTheme="minorHAnsi" w:eastAsiaTheme="minorEastAsia" w:hAnsiTheme="minorHAnsi" w:cstheme="minorBidi"/>
                <w:noProof/>
                <w:color w:val="auto"/>
                <w:sz w:val="20"/>
                <w:szCs w:val="20"/>
                <w:highlight w:val="black"/>
                <w:lang w:eastAsia="cs-CZ"/>
              </w:rPr>
              <w:tab/>
            </w:r>
            <w:r w:rsidR="00F84639" w:rsidRPr="00E008F8">
              <w:rPr>
                <w:rStyle w:val="Hyperlink"/>
                <w:noProof/>
                <w:sz w:val="20"/>
                <w:szCs w:val="20"/>
                <w:highlight w:val="black"/>
              </w:rPr>
              <w:t>xxxxxxxxxxxxxxxxxxxxxxxxxxxxxxxxxxxxxxxxxxxxxxxxxxxxxxxxxxxxxxxxxxxxx</w:t>
            </w:r>
            <w:r w:rsidR="00AE78B2" w:rsidRPr="00E008F8">
              <w:rPr>
                <w:noProof/>
                <w:webHidden/>
                <w:sz w:val="20"/>
                <w:szCs w:val="20"/>
                <w:highlight w:val="black"/>
              </w:rPr>
              <w:tab/>
            </w:r>
            <w:r w:rsidR="00AE78B2" w:rsidRPr="00E008F8">
              <w:rPr>
                <w:noProof/>
                <w:webHidden/>
                <w:sz w:val="20"/>
                <w:szCs w:val="20"/>
                <w:highlight w:val="black"/>
              </w:rPr>
              <w:fldChar w:fldCharType="begin"/>
            </w:r>
            <w:r w:rsidR="00AE78B2" w:rsidRPr="00E008F8">
              <w:rPr>
                <w:noProof/>
                <w:webHidden/>
                <w:sz w:val="20"/>
                <w:szCs w:val="20"/>
                <w:highlight w:val="black"/>
              </w:rPr>
              <w:instrText xml:space="preserve"> PAGEREF _Toc522884697 \h </w:instrText>
            </w:r>
            <w:r w:rsidR="00AE78B2" w:rsidRPr="00E008F8">
              <w:rPr>
                <w:noProof/>
                <w:webHidden/>
                <w:sz w:val="20"/>
                <w:szCs w:val="20"/>
                <w:highlight w:val="black"/>
              </w:rPr>
            </w:r>
            <w:r w:rsidR="00AE78B2" w:rsidRPr="00E008F8">
              <w:rPr>
                <w:noProof/>
                <w:webHidden/>
                <w:sz w:val="20"/>
                <w:szCs w:val="20"/>
                <w:highlight w:val="black"/>
              </w:rPr>
              <w:fldChar w:fldCharType="separate"/>
            </w:r>
            <w:r w:rsidR="00B3394C" w:rsidRPr="00E008F8">
              <w:rPr>
                <w:noProof/>
                <w:webHidden/>
                <w:sz w:val="20"/>
                <w:szCs w:val="20"/>
                <w:highlight w:val="black"/>
              </w:rPr>
              <w:t>16</w:t>
            </w:r>
            <w:r w:rsidR="00AE78B2" w:rsidRPr="00E008F8">
              <w:rPr>
                <w:noProof/>
                <w:webHidden/>
                <w:sz w:val="20"/>
                <w:szCs w:val="20"/>
                <w:highlight w:val="black"/>
              </w:rPr>
              <w:fldChar w:fldCharType="end"/>
            </w:r>
          </w:hyperlink>
        </w:p>
        <w:p w14:paraId="2F71EA1B"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8" w:history="1">
            <w:r w:rsidR="00AE78B2" w:rsidRPr="00AE78B2">
              <w:rPr>
                <w:rStyle w:val="Hyperlink"/>
                <w:noProof/>
                <w:sz w:val="20"/>
                <w:szCs w:val="20"/>
              </w:rPr>
              <w:t>2.1.7</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Rozšíření kontrol načítaných dat do L0</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_Toc522884698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17</w:t>
            </w:r>
            <w:r w:rsidR="00AE78B2" w:rsidRPr="00AE78B2">
              <w:rPr>
                <w:noProof/>
                <w:webHidden/>
                <w:sz w:val="20"/>
                <w:szCs w:val="20"/>
              </w:rPr>
              <w:fldChar w:fldCharType="end"/>
            </w:r>
          </w:hyperlink>
        </w:p>
        <w:p w14:paraId="402EEACB"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699" w:history="1">
            <w:r w:rsidR="00AE78B2" w:rsidRPr="00AE78B2">
              <w:rPr>
                <w:rStyle w:val="Hyperlink"/>
                <w:noProof/>
                <w:sz w:val="20"/>
                <w:szCs w:val="20"/>
              </w:rPr>
              <w:t>2.1.8</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Optimalizace stahování dat ze zdrojových systémů do L0</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_Toc522884699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17</w:t>
            </w:r>
            <w:r w:rsidR="00AE78B2" w:rsidRPr="00AE78B2">
              <w:rPr>
                <w:noProof/>
                <w:webHidden/>
                <w:sz w:val="20"/>
                <w:szCs w:val="20"/>
              </w:rPr>
              <w:fldChar w:fldCharType="end"/>
            </w:r>
          </w:hyperlink>
        </w:p>
        <w:p w14:paraId="62F2578B"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0" w:history="1">
            <w:r w:rsidR="00AE78B2" w:rsidRPr="00AE78B2">
              <w:rPr>
                <w:rStyle w:val="Hyperlink"/>
                <w:noProof/>
                <w:sz w:val="20"/>
                <w:szCs w:val="20"/>
              </w:rPr>
              <w:t>2.1.9</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Příprava testovacích scénářů</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_Toc522884700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17</w:t>
            </w:r>
            <w:r w:rsidR="00AE78B2" w:rsidRPr="00AE78B2">
              <w:rPr>
                <w:noProof/>
                <w:webHidden/>
                <w:sz w:val="20"/>
                <w:szCs w:val="20"/>
              </w:rPr>
              <w:fldChar w:fldCharType="end"/>
            </w:r>
          </w:hyperlink>
        </w:p>
        <w:p w14:paraId="06155B9F"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1" w:history="1">
            <w:r w:rsidR="00AE78B2" w:rsidRPr="00AE78B2">
              <w:rPr>
                <w:rStyle w:val="Hyperlink"/>
                <w:noProof/>
                <w:sz w:val="20"/>
                <w:szCs w:val="20"/>
              </w:rPr>
              <w:t>2.1.10</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Aktualizace bezpečnostního modelu</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_Toc522884701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18</w:t>
            </w:r>
            <w:r w:rsidR="00AE78B2" w:rsidRPr="00AE78B2">
              <w:rPr>
                <w:noProof/>
                <w:webHidden/>
                <w:sz w:val="20"/>
                <w:szCs w:val="20"/>
              </w:rPr>
              <w:fldChar w:fldCharType="end"/>
            </w:r>
          </w:hyperlink>
        </w:p>
        <w:p w14:paraId="7C689A5B"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2" w:history="1">
            <w:r w:rsidR="00AE78B2" w:rsidRPr="00AE78B2">
              <w:rPr>
                <w:rStyle w:val="Hyperlink"/>
                <w:noProof/>
                <w:sz w:val="20"/>
                <w:szCs w:val="20"/>
              </w:rPr>
              <w:t>2.1.11</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Vytvoření bezpečnostní dokumentace</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_Toc522884702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20</w:t>
            </w:r>
            <w:r w:rsidR="00AE78B2" w:rsidRPr="00AE78B2">
              <w:rPr>
                <w:noProof/>
                <w:webHidden/>
                <w:sz w:val="20"/>
                <w:szCs w:val="20"/>
              </w:rPr>
              <w:fldChar w:fldCharType="end"/>
            </w:r>
          </w:hyperlink>
        </w:p>
        <w:p w14:paraId="53F68CB8"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3" w:history="1">
            <w:r w:rsidR="00AE78B2" w:rsidRPr="00AE78B2">
              <w:rPr>
                <w:rStyle w:val="Hyperlink"/>
                <w:noProof/>
                <w:sz w:val="20"/>
                <w:szCs w:val="20"/>
              </w:rPr>
              <w:t>2.1.12</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Vystavení čistých dat IS ZAM pro ověřovací provoz</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_Toc522884703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22</w:t>
            </w:r>
            <w:r w:rsidR="00AE78B2" w:rsidRPr="00AE78B2">
              <w:rPr>
                <w:noProof/>
                <w:webHidden/>
                <w:sz w:val="20"/>
                <w:szCs w:val="20"/>
              </w:rPr>
              <w:fldChar w:fldCharType="end"/>
            </w:r>
          </w:hyperlink>
        </w:p>
        <w:p w14:paraId="34814BD5"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4" w:history="1">
            <w:r w:rsidR="00AE78B2" w:rsidRPr="00AE78B2">
              <w:rPr>
                <w:rStyle w:val="Hyperlink"/>
                <w:noProof/>
                <w:sz w:val="20"/>
                <w:szCs w:val="20"/>
              </w:rPr>
              <w:t>2.1.13</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Vytvoření rozšířené dokumentace projektu</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_Toc522884704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22</w:t>
            </w:r>
            <w:r w:rsidR="00AE78B2" w:rsidRPr="00AE78B2">
              <w:rPr>
                <w:noProof/>
                <w:webHidden/>
                <w:sz w:val="20"/>
                <w:szCs w:val="20"/>
              </w:rPr>
              <w:fldChar w:fldCharType="end"/>
            </w:r>
          </w:hyperlink>
        </w:p>
        <w:p w14:paraId="5F46EDD0"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5" w:history="1">
            <w:r w:rsidR="00AE78B2" w:rsidRPr="00AE78B2">
              <w:rPr>
                <w:rStyle w:val="Hyperlink"/>
                <w:noProof/>
                <w:sz w:val="20"/>
                <w:szCs w:val="20"/>
              </w:rPr>
              <w:t>2.1.14</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Exitové práce</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_Toc522884705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24</w:t>
            </w:r>
            <w:r w:rsidR="00AE78B2" w:rsidRPr="00AE78B2">
              <w:rPr>
                <w:noProof/>
                <w:webHidden/>
                <w:sz w:val="20"/>
                <w:szCs w:val="20"/>
              </w:rPr>
              <w:fldChar w:fldCharType="end"/>
            </w:r>
          </w:hyperlink>
        </w:p>
        <w:p w14:paraId="3F1E30AF"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6" w:history="1">
            <w:r w:rsidR="00AE78B2" w:rsidRPr="00AE78B2">
              <w:rPr>
                <w:rStyle w:val="Hyperlink"/>
                <w:noProof/>
                <w:sz w:val="20"/>
                <w:szCs w:val="20"/>
              </w:rPr>
              <w:t>2.1.15</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Další rozvojové práce</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_Toc522884706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26</w:t>
            </w:r>
            <w:r w:rsidR="00AE78B2" w:rsidRPr="00AE78B2">
              <w:rPr>
                <w:noProof/>
                <w:webHidden/>
                <w:sz w:val="20"/>
                <w:szCs w:val="20"/>
              </w:rPr>
              <w:fldChar w:fldCharType="end"/>
            </w:r>
          </w:hyperlink>
        </w:p>
        <w:p w14:paraId="043E878A" w14:textId="77777777" w:rsidR="00AE78B2" w:rsidRPr="00AE78B2" w:rsidRDefault="002F7FB6">
          <w:pPr>
            <w:pStyle w:val="TOC3"/>
            <w:rPr>
              <w:rFonts w:asciiTheme="minorHAnsi" w:eastAsiaTheme="minorEastAsia" w:hAnsiTheme="minorHAnsi" w:cstheme="minorBidi"/>
              <w:noProof/>
              <w:color w:val="auto"/>
              <w:sz w:val="20"/>
              <w:szCs w:val="20"/>
              <w:lang w:eastAsia="cs-CZ"/>
            </w:rPr>
          </w:pPr>
          <w:hyperlink w:anchor="_Toc522884707" w:history="1">
            <w:r w:rsidR="00AE78B2" w:rsidRPr="00AE78B2">
              <w:rPr>
                <w:rStyle w:val="Hyperlink"/>
                <w:noProof/>
                <w:sz w:val="20"/>
                <w:szCs w:val="20"/>
              </w:rPr>
              <w:t>2.1.16</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Ostatní</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_Toc522884707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31</w:t>
            </w:r>
            <w:r w:rsidR="00AE78B2" w:rsidRPr="00AE78B2">
              <w:rPr>
                <w:noProof/>
                <w:webHidden/>
                <w:sz w:val="20"/>
                <w:szCs w:val="20"/>
              </w:rPr>
              <w:fldChar w:fldCharType="end"/>
            </w:r>
          </w:hyperlink>
        </w:p>
        <w:p w14:paraId="6DE26410" w14:textId="77777777" w:rsidR="00AE78B2" w:rsidRPr="00AE78B2" w:rsidRDefault="002F7FB6">
          <w:pPr>
            <w:pStyle w:val="TOC1"/>
            <w:rPr>
              <w:rFonts w:asciiTheme="minorHAnsi" w:eastAsiaTheme="minorEastAsia" w:hAnsiTheme="minorHAnsi" w:cstheme="minorBidi"/>
              <w:noProof/>
              <w:color w:val="auto"/>
              <w:sz w:val="20"/>
              <w:szCs w:val="20"/>
              <w:lang w:eastAsia="cs-CZ"/>
            </w:rPr>
          </w:pPr>
          <w:hyperlink w:anchor="_Toc522884708" w:history="1">
            <w:r w:rsidR="00AE78B2" w:rsidRPr="00AE78B2">
              <w:rPr>
                <w:rStyle w:val="Hyperlink"/>
                <w:noProof/>
                <w:sz w:val="20"/>
                <w:szCs w:val="20"/>
              </w:rPr>
              <w:t>3</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Společné prvky plnění</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_Toc522884708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37</w:t>
            </w:r>
            <w:r w:rsidR="00AE78B2" w:rsidRPr="00AE78B2">
              <w:rPr>
                <w:noProof/>
                <w:webHidden/>
                <w:sz w:val="20"/>
                <w:szCs w:val="20"/>
              </w:rPr>
              <w:fldChar w:fldCharType="end"/>
            </w:r>
          </w:hyperlink>
        </w:p>
        <w:p w14:paraId="2125BD17" w14:textId="77777777" w:rsidR="00AE78B2" w:rsidRPr="00AE78B2" w:rsidRDefault="002F7FB6">
          <w:pPr>
            <w:pStyle w:val="TOC1"/>
            <w:rPr>
              <w:rFonts w:asciiTheme="minorHAnsi" w:eastAsiaTheme="minorEastAsia" w:hAnsiTheme="minorHAnsi" w:cstheme="minorBidi"/>
              <w:noProof/>
              <w:color w:val="auto"/>
              <w:sz w:val="20"/>
              <w:szCs w:val="20"/>
              <w:lang w:eastAsia="cs-CZ"/>
            </w:rPr>
          </w:pPr>
          <w:hyperlink w:anchor="_Toc522884709" w:history="1">
            <w:r w:rsidR="00AE78B2" w:rsidRPr="00AE78B2">
              <w:rPr>
                <w:rStyle w:val="Hyperlink"/>
                <w:noProof/>
                <w:sz w:val="20"/>
                <w:szCs w:val="20"/>
              </w:rPr>
              <w:t>4</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Součinnost Objednatele</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_Toc522884709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37</w:t>
            </w:r>
            <w:r w:rsidR="00AE78B2" w:rsidRPr="00AE78B2">
              <w:rPr>
                <w:noProof/>
                <w:webHidden/>
                <w:sz w:val="20"/>
                <w:szCs w:val="20"/>
              </w:rPr>
              <w:fldChar w:fldCharType="end"/>
            </w:r>
          </w:hyperlink>
        </w:p>
        <w:p w14:paraId="3FD3D7D3" w14:textId="77777777" w:rsidR="00AE78B2" w:rsidRPr="00AE78B2" w:rsidRDefault="002F7FB6">
          <w:pPr>
            <w:pStyle w:val="TOC1"/>
            <w:rPr>
              <w:rFonts w:asciiTheme="minorHAnsi" w:eastAsiaTheme="minorEastAsia" w:hAnsiTheme="minorHAnsi" w:cstheme="minorBidi"/>
              <w:noProof/>
              <w:color w:val="auto"/>
              <w:sz w:val="20"/>
              <w:szCs w:val="20"/>
              <w:lang w:eastAsia="cs-CZ"/>
            </w:rPr>
          </w:pPr>
          <w:hyperlink w:anchor="_Toc522884710" w:history="1">
            <w:r w:rsidR="00AE78B2" w:rsidRPr="00AE78B2">
              <w:rPr>
                <w:rStyle w:val="Hyperlink"/>
                <w:noProof/>
                <w:sz w:val="20"/>
                <w:szCs w:val="20"/>
              </w:rPr>
              <w:t>5</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Projektový plán a platební milníky</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_Toc522884710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41</w:t>
            </w:r>
            <w:r w:rsidR="00AE78B2" w:rsidRPr="00AE78B2">
              <w:rPr>
                <w:noProof/>
                <w:webHidden/>
                <w:sz w:val="20"/>
                <w:szCs w:val="20"/>
              </w:rPr>
              <w:fldChar w:fldCharType="end"/>
            </w:r>
          </w:hyperlink>
        </w:p>
        <w:p w14:paraId="3D0B8388"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1" w:history="1">
            <w:r w:rsidR="00AE78B2" w:rsidRPr="00AE78B2">
              <w:rPr>
                <w:rStyle w:val="Hyperlink"/>
                <w:noProof/>
                <w:sz w:val="20"/>
                <w:szCs w:val="20"/>
              </w:rPr>
              <w:t>5.1</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Činnosti LIS pro IS ZAM po dobu projektu IS ZAM</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_Toc522884711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41</w:t>
            </w:r>
            <w:r w:rsidR="00AE78B2" w:rsidRPr="00AE78B2">
              <w:rPr>
                <w:noProof/>
                <w:webHidden/>
                <w:sz w:val="20"/>
                <w:szCs w:val="20"/>
              </w:rPr>
              <w:fldChar w:fldCharType="end"/>
            </w:r>
          </w:hyperlink>
        </w:p>
        <w:p w14:paraId="7DC1D5FD"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2" w:history="1">
            <w:r w:rsidR="00AE78B2" w:rsidRPr="00AE78B2">
              <w:rPr>
                <w:rStyle w:val="Hyperlink"/>
                <w:noProof/>
                <w:sz w:val="20"/>
                <w:szCs w:val="20"/>
              </w:rPr>
              <w:t>5.2</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Aktivity v oblasti statistik původního agendového systému OKpráce, OKnouze, OKcentrum a součinnost při vytváření nových reportů v MIS MPSV</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_Toc522884712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41</w:t>
            </w:r>
            <w:r w:rsidR="00AE78B2" w:rsidRPr="00AE78B2">
              <w:rPr>
                <w:noProof/>
                <w:webHidden/>
                <w:sz w:val="20"/>
                <w:szCs w:val="20"/>
              </w:rPr>
              <w:fldChar w:fldCharType="end"/>
            </w:r>
          </w:hyperlink>
        </w:p>
        <w:p w14:paraId="103B4618"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3" w:history="1">
            <w:r w:rsidR="00AE78B2" w:rsidRPr="00AE78B2">
              <w:rPr>
                <w:rStyle w:val="Hyperlink"/>
                <w:noProof/>
                <w:sz w:val="20"/>
                <w:szCs w:val="20"/>
              </w:rPr>
              <w:t>5.3</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Provedení archivace dat IS Dusil, JVM a Ginis</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_Toc522884713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42</w:t>
            </w:r>
            <w:r w:rsidR="00AE78B2" w:rsidRPr="00AE78B2">
              <w:rPr>
                <w:noProof/>
                <w:webHidden/>
                <w:sz w:val="20"/>
                <w:szCs w:val="20"/>
              </w:rPr>
              <w:fldChar w:fldCharType="end"/>
            </w:r>
          </w:hyperlink>
        </w:p>
        <w:p w14:paraId="4CFCD1DF"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4" w:history="1">
            <w:r w:rsidR="00AE78B2" w:rsidRPr="00AE78B2">
              <w:rPr>
                <w:rStyle w:val="Hyperlink"/>
                <w:noProof/>
                <w:sz w:val="20"/>
                <w:szCs w:val="20"/>
              </w:rPr>
              <w:t>5.4</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Porovnání věcné a účetní agendy při migraci dat</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_Toc522884714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42</w:t>
            </w:r>
            <w:r w:rsidR="00AE78B2" w:rsidRPr="00AE78B2">
              <w:rPr>
                <w:noProof/>
                <w:webHidden/>
                <w:sz w:val="20"/>
                <w:szCs w:val="20"/>
              </w:rPr>
              <w:fldChar w:fldCharType="end"/>
            </w:r>
          </w:hyperlink>
        </w:p>
        <w:p w14:paraId="1A0C38F9"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5" w:history="1">
            <w:r w:rsidR="00AE78B2" w:rsidRPr="00AE78B2">
              <w:rPr>
                <w:rStyle w:val="Hyperlink"/>
                <w:noProof/>
                <w:sz w:val="20"/>
                <w:szCs w:val="20"/>
              </w:rPr>
              <w:t>5.5</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Příprava dat pro migrace v oblasti IS DAV</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_Toc522884715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42</w:t>
            </w:r>
            <w:r w:rsidR="00AE78B2" w:rsidRPr="00AE78B2">
              <w:rPr>
                <w:noProof/>
                <w:webHidden/>
                <w:sz w:val="20"/>
                <w:szCs w:val="20"/>
              </w:rPr>
              <w:fldChar w:fldCharType="end"/>
            </w:r>
          </w:hyperlink>
        </w:p>
        <w:p w14:paraId="61F25D94"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6" w:history="1">
            <w:r w:rsidR="00AE78B2" w:rsidRPr="00AE78B2">
              <w:rPr>
                <w:rStyle w:val="Hyperlink"/>
                <w:noProof/>
                <w:sz w:val="20"/>
                <w:szCs w:val="20"/>
              </w:rPr>
              <w:t>5.6</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Další konzultační služby při migracích</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_Toc522884716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43</w:t>
            </w:r>
            <w:r w:rsidR="00AE78B2" w:rsidRPr="00AE78B2">
              <w:rPr>
                <w:noProof/>
                <w:webHidden/>
                <w:sz w:val="20"/>
                <w:szCs w:val="20"/>
              </w:rPr>
              <w:fldChar w:fldCharType="end"/>
            </w:r>
          </w:hyperlink>
        </w:p>
        <w:p w14:paraId="29FCEEA7"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7" w:history="1">
            <w:r w:rsidR="00AE78B2" w:rsidRPr="00AE78B2">
              <w:rPr>
                <w:rStyle w:val="Hyperlink"/>
                <w:noProof/>
                <w:sz w:val="20"/>
                <w:szCs w:val="20"/>
              </w:rPr>
              <w:t>5.7</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Další činnosti LIS pro IS ZAM</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_Toc522884717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44</w:t>
            </w:r>
            <w:r w:rsidR="00AE78B2" w:rsidRPr="00AE78B2">
              <w:rPr>
                <w:noProof/>
                <w:webHidden/>
                <w:sz w:val="20"/>
                <w:szCs w:val="20"/>
              </w:rPr>
              <w:fldChar w:fldCharType="end"/>
            </w:r>
          </w:hyperlink>
        </w:p>
        <w:p w14:paraId="675C481E" w14:textId="77777777" w:rsidR="00AE78B2" w:rsidRPr="00AE78B2" w:rsidRDefault="002F7FB6">
          <w:pPr>
            <w:pStyle w:val="TOC1"/>
            <w:rPr>
              <w:rFonts w:asciiTheme="minorHAnsi" w:eastAsiaTheme="minorEastAsia" w:hAnsiTheme="minorHAnsi" w:cstheme="minorBidi"/>
              <w:noProof/>
              <w:color w:val="auto"/>
              <w:sz w:val="20"/>
              <w:szCs w:val="20"/>
              <w:lang w:eastAsia="cs-CZ"/>
            </w:rPr>
          </w:pPr>
          <w:hyperlink w:anchor="_Toc522884718" w:history="1">
            <w:r w:rsidR="00AE78B2" w:rsidRPr="00AE78B2">
              <w:rPr>
                <w:rStyle w:val="Hyperlink"/>
                <w:noProof/>
                <w:sz w:val="20"/>
                <w:szCs w:val="20"/>
              </w:rPr>
              <w:t>6</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Celková cena, pracnost a obsazení týmu</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_Toc522884718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45</w:t>
            </w:r>
            <w:r w:rsidR="00AE78B2" w:rsidRPr="00AE78B2">
              <w:rPr>
                <w:noProof/>
                <w:webHidden/>
                <w:sz w:val="20"/>
                <w:szCs w:val="20"/>
              </w:rPr>
              <w:fldChar w:fldCharType="end"/>
            </w:r>
          </w:hyperlink>
        </w:p>
        <w:p w14:paraId="5A47A3BA"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19" w:history="1">
            <w:r w:rsidR="00AE78B2" w:rsidRPr="00AE78B2">
              <w:rPr>
                <w:rStyle w:val="Hyperlink"/>
                <w:noProof/>
                <w:sz w:val="20"/>
                <w:szCs w:val="20"/>
              </w:rPr>
              <w:t>6.1</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Sazby specialistů základního týmu Dodavatele</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_Toc522884719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45</w:t>
            </w:r>
            <w:r w:rsidR="00AE78B2" w:rsidRPr="00AE78B2">
              <w:rPr>
                <w:noProof/>
                <w:webHidden/>
                <w:sz w:val="20"/>
                <w:szCs w:val="20"/>
              </w:rPr>
              <w:fldChar w:fldCharType="end"/>
            </w:r>
          </w:hyperlink>
        </w:p>
        <w:p w14:paraId="096107F1"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20" w:history="1">
            <w:r w:rsidR="00AE78B2" w:rsidRPr="00AE78B2">
              <w:rPr>
                <w:rStyle w:val="Hyperlink"/>
                <w:noProof/>
                <w:sz w:val="20"/>
                <w:szCs w:val="20"/>
              </w:rPr>
              <w:t>6.2</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Pracnost a cena jednotlivých oblastí</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_Toc522884720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45</w:t>
            </w:r>
            <w:r w:rsidR="00AE78B2" w:rsidRPr="00AE78B2">
              <w:rPr>
                <w:noProof/>
                <w:webHidden/>
                <w:sz w:val="20"/>
                <w:szCs w:val="20"/>
              </w:rPr>
              <w:fldChar w:fldCharType="end"/>
            </w:r>
          </w:hyperlink>
        </w:p>
        <w:p w14:paraId="6A7A5535" w14:textId="77777777" w:rsidR="00AE78B2" w:rsidRPr="00AE78B2" w:rsidRDefault="002F7FB6">
          <w:pPr>
            <w:pStyle w:val="TOC2"/>
            <w:rPr>
              <w:rFonts w:asciiTheme="minorHAnsi" w:eastAsiaTheme="minorEastAsia" w:hAnsiTheme="minorHAnsi" w:cstheme="minorBidi"/>
              <w:noProof/>
              <w:color w:val="auto"/>
              <w:sz w:val="20"/>
              <w:szCs w:val="20"/>
              <w:lang w:eastAsia="cs-CZ"/>
            </w:rPr>
          </w:pPr>
          <w:hyperlink w:anchor="_Toc522884721" w:history="1">
            <w:r w:rsidR="00AE78B2" w:rsidRPr="00AE78B2">
              <w:rPr>
                <w:rStyle w:val="Hyperlink"/>
                <w:noProof/>
                <w:sz w:val="20"/>
                <w:szCs w:val="20"/>
              </w:rPr>
              <w:t>6.3</w:t>
            </w:r>
            <w:r w:rsidR="00AE78B2" w:rsidRPr="00AE78B2">
              <w:rPr>
                <w:rFonts w:asciiTheme="minorHAnsi" w:eastAsiaTheme="minorEastAsia" w:hAnsiTheme="minorHAnsi" w:cstheme="minorBidi"/>
                <w:noProof/>
                <w:color w:val="auto"/>
                <w:sz w:val="20"/>
                <w:szCs w:val="20"/>
                <w:lang w:eastAsia="cs-CZ"/>
              </w:rPr>
              <w:tab/>
            </w:r>
            <w:r w:rsidR="00AE78B2" w:rsidRPr="00AE78B2">
              <w:rPr>
                <w:rStyle w:val="Hyperlink"/>
                <w:noProof/>
                <w:sz w:val="20"/>
                <w:szCs w:val="20"/>
              </w:rPr>
              <w:t>Personální obsazení</w:t>
            </w:r>
            <w:r w:rsidR="00AE78B2" w:rsidRPr="00AE78B2">
              <w:rPr>
                <w:noProof/>
                <w:webHidden/>
                <w:sz w:val="20"/>
                <w:szCs w:val="20"/>
              </w:rPr>
              <w:tab/>
            </w:r>
            <w:r w:rsidR="00AE78B2" w:rsidRPr="00AE78B2">
              <w:rPr>
                <w:noProof/>
                <w:webHidden/>
                <w:sz w:val="20"/>
                <w:szCs w:val="20"/>
              </w:rPr>
              <w:fldChar w:fldCharType="begin"/>
            </w:r>
            <w:r w:rsidR="00AE78B2" w:rsidRPr="00AE78B2">
              <w:rPr>
                <w:noProof/>
                <w:webHidden/>
                <w:sz w:val="20"/>
                <w:szCs w:val="20"/>
              </w:rPr>
              <w:instrText xml:space="preserve"> PAGEREF _Toc522884721 \h </w:instrText>
            </w:r>
            <w:r w:rsidR="00AE78B2" w:rsidRPr="00AE78B2">
              <w:rPr>
                <w:noProof/>
                <w:webHidden/>
                <w:sz w:val="20"/>
                <w:szCs w:val="20"/>
              </w:rPr>
            </w:r>
            <w:r w:rsidR="00AE78B2" w:rsidRPr="00AE78B2">
              <w:rPr>
                <w:noProof/>
                <w:webHidden/>
                <w:sz w:val="20"/>
                <w:szCs w:val="20"/>
              </w:rPr>
              <w:fldChar w:fldCharType="separate"/>
            </w:r>
            <w:r w:rsidR="00B3394C">
              <w:rPr>
                <w:noProof/>
                <w:webHidden/>
                <w:sz w:val="20"/>
                <w:szCs w:val="20"/>
              </w:rPr>
              <w:t>45</w:t>
            </w:r>
            <w:r w:rsidR="00AE78B2" w:rsidRPr="00AE78B2">
              <w:rPr>
                <w:noProof/>
                <w:webHidden/>
                <w:sz w:val="20"/>
                <w:szCs w:val="20"/>
              </w:rPr>
              <w:fldChar w:fldCharType="end"/>
            </w:r>
          </w:hyperlink>
        </w:p>
        <w:p w14:paraId="493B109E" w14:textId="04CB367E" w:rsidR="00B7266F" w:rsidRDefault="00B7266F" w:rsidP="00116422">
          <w:pPr>
            <w:spacing w:after="20" w:line="240" w:lineRule="auto"/>
          </w:pPr>
          <w:r w:rsidRPr="00AE78B2">
            <w:rPr>
              <w:rFonts w:ascii="Arial" w:hAnsi="Arial" w:cs="Arial"/>
              <w:b/>
              <w:bCs/>
              <w:sz w:val="20"/>
              <w:szCs w:val="20"/>
            </w:rPr>
            <w:fldChar w:fldCharType="end"/>
          </w:r>
        </w:p>
      </w:sdtContent>
    </w:sdt>
    <w:p w14:paraId="37BC7044" w14:textId="55B88F06" w:rsidR="00163465" w:rsidRDefault="00636409" w:rsidP="00DF40EF">
      <w:pPr>
        <w:pStyle w:val="GSNadpis1"/>
        <w:numPr>
          <w:ilvl w:val="0"/>
          <w:numId w:val="12"/>
        </w:numPr>
        <w:spacing w:before="60" w:after="120"/>
        <w:jc w:val="both"/>
      </w:pPr>
      <w:r w:rsidRPr="003871B3">
        <w:rPr>
          <w:sz w:val="18"/>
          <w:szCs w:val="18"/>
        </w:rPr>
        <w:br w:type="page"/>
      </w:r>
      <w:bookmarkStart w:id="1" w:name="_Toc522884689"/>
      <w:bookmarkStart w:id="2" w:name="_Ref520994551"/>
      <w:r w:rsidR="00163465">
        <w:rPr>
          <w:sz w:val="18"/>
          <w:szCs w:val="18"/>
        </w:rPr>
        <w:lastRenderedPageBreak/>
        <w:t>(tato kapitola je záměrně ponechána prázdná)</w:t>
      </w:r>
      <w:bookmarkEnd w:id="1"/>
    </w:p>
    <w:p w14:paraId="2453C082" w14:textId="77777777" w:rsidR="00163465" w:rsidRDefault="00163465" w:rsidP="00DF40EF">
      <w:pPr>
        <w:pStyle w:val="GSNadpis1"/>
        <w:numPr>
          <w:ilvl w:val="0"/>
          <w:numId w:val="12"/>
        </w:numPr>
        <w:spacing w:before="60" w:after="120"/>
        <w:jc w:val="both"/>
      </w:pPr>
      <w:bookmarkStart w:id="3" w:name="_Toc522884690"/>
      <w:r>
        <w:t>Specifikace plnění</w:t>
      </w:r>
      <w:bookmarkEnd w:id="3"/>
    </w:p>
    <w:p w14:paraId="609D7AC8" w14:textId="41A3AFB0" w:rsidR="00E07CFB" w:rsidRDefault="00163465" w:rsidP="00163465">
      <w:pPr>
        <w:pStyle w:val="GSNadpis2"/>
      </w:pPr>
      <w:bookmarkStart w:id="4" w:name="_Ref522275103"/>
      <w:bookmarkStart w:id="5" w:name="_Toc522884691"/>
      <w:r>
        <w:t>Další</w:t>
      </w:r>
      <w:r w:rsidR="00E07CFB" w:rsidRPr="003871B3">
        <w:t xml:space="preserve"> činnosti LIS pro IS ZAM</w:t>
      </w:r>
      <w:bookmarkEnd w:id="2"/>
      <w:bookmarkEnd w:id="4"/>
      <w:bookmarkEnd w:id="5"/>
    </w:p>
    <w:p w14:paraId="578053FB" w14:textId="2216427E" w:rsidR="003E0734" w:rsidRPr="003871B3" w:rsidRDefault="00FB5A67" w:rsidP="00611236">
      <w:pPr>
        <w:pStyle w:val="GSOdstavec"/>
        <w:rPr>
          <w:rFonts w:cs="Arial"/>
        </w:rPr>
      </w:pPr>
      <w:r w:rsidRPr="003871B3">
        <w:rPr>
          <w:rFonts w:cs="Arial"/>
        </w:rPr>
        <w:t xml:space="preserve">Cílem činnosti </w:t>
      </w:r>
      <w:r w:rsidR="00E42684" w:rsidRPr="003871B3">
        <w:rPr>
          <w:rFonts w:cs="Arial"/>
        </w:rPr>
        <w:t>LIS pro IS</w:t>
      </w:r>
      <w:r w:rsidR="005E3961" w:rsidRPr="003871B3">
        <w:rPr>
          <w:rFonts w:cs="Arial"/>
        </w:rPr>
        <w:t xml:space="preserve"> </w:t>
      </w:r>
      <w:r w:rsidR="00E42684" w:rsidRPr="003871B3">
        <w:rPr>
          <w:rFonts w:cs="Arial"/>
        </w:rPr>
        <w:t xml:space="preserve">ZAM </w:t>
      </w:r>
      <w:r w:rsidRPr="003871B3">
        <w:rPr>
          <w:rFonts w:cs="Arial"/>
        </w:rPr>
        <w:t xml:space="preserve">je </w:t>
      </w:r>
      <w:r w:rsidR="004E3718" w:rsidRPr="003871B3">
        <w:rPr>
          <w:rFonts w:cs="Arial"/>
        </w:rPr>
        <w:t xml:space="preserve">pokračování </w:t>
      </w:r>
      <w:r w:rsidRPr="003871B3">
        <w:rPr>
          <w:rFonts w:cs="Arial"/>
        </w:rPr>
        <w:t>zajiště</w:t>
      </w:r>
      <w:r w:rsidRPr="000A59ED">
        <w:rPr>
          <w:rFonts w:cs="Arial"/>
        </w:rPr>
        <w:t xml:space="preserve">ní součinností </w:t>
      </w:r>
      <w:r w:rsidR="00CF42F5" w:rsidRPr="000A59ED">
        <w:rPr>
          <w:rFonts w:cs="Arial"/>
        </w:rPr>
        <w:t>Objednatele</w:t>
      </w:r>
      <w:r w:rsidR="003910CC" w:rsidRPr="000A59ED">
        <w:rPr>
          <w:rFonts w:cs="Arial"/>
        </w:rPr>
        <w:t xml:space="preserve"> </w:t>
      </w:r>
      <w:r w:rsidRPr="000A59ED">
        <w:rPr>
          <w:rFonts w:cs="Arial"/>
        </w:rPr>
        <w:t>v oblasti migrace a přípravy dat pro dodavatele projektu IS</w:t>
      </w:r>
      <w:r w:rsidR="005E3961" w:rsidRPr="000A59ED">
        <w:rPr>
          <w:rFonts w:cs="Arial"/>
        </w:rPr>
        <w:t xml:space="preserve"> </w:t>
      </w:r>
      <w:r w:rsidRPr="000A59ED">
        <w:rPr>
          <w:rFonts w:cs="Arial"/>
        </w:rPr>
        <w:t>ZAM</w:t>
      </w:r>
      <w:r w:rsidR="004E3718" w:rsidRPr="000A59ED">
        <w:rPr>
          <w:rFonts w:cs="Arial"/>
        </w:rPr>
        <w:t xml:space="preserve"> </w:t>
      </w:r>
      <w:r w:rsidR="006A7D2D" w:rsidRPr="000A59ED">
        <w:rPr>
          <w:rFonts w:cs="Arial"/>
        </w:rPr>
        <w:t>po 1.8.2018</w:t>
      </w:r>
      <w:r w:rsidRPr="000A59ED">
        <w:rPr>
          <w:rFonts w:cs="Arial"/>
        </w:rPr>
        <w:t>.</w:t>
      </w:r>
      <w:r w:rsidR="004E3718" w:rsidRPr="000A59ED">
        <w:rPr>
          <w:rFonts w:cs="Arial"/>
        </w:rPr>
        <w:t xml:space="preserve"> Vzhledem k tomu, že v období 02-08/2018 nebyly vykonávány aktivity pro IS</w:t>
      </w:r>
      <w:r w:rsidR="005E3961" w:rsidRPr="000A59ED">
        <w:rPr>
          <w:rFonts w:cs="Arial"/>
        </w:rPr>
        <w:t xml:space="preserve"> </w:t>
      </w:r>
      <w:r w:rsidR="004E3718" w:rsidRPr="000A59ED">
        <w:rPr>
          <w:rFonts w:cs="Arial"/>
        </w:rPr>
        <w:t xml:space="preserve">ZAM, je nutné nejprve provést opětovné zprovoznění všech již implementovaných mechanismů a </w:t>
      </w:r>
      <w:r w:rsidR="006A385B" w:rsidRPr="000A59ED">
        <w:rPr>
          <w:rFonts w:cs="Arial"/>
        </w:rPr>
        <w:t>provést rozdílovou analýzu dopadu tohoto období na projekt LIS</w:t>
      </w:r>
      <w:r w:rsidR="00C25206" w:rsidRPr="000A59ED">
        <w:rPr>
          <w:rFonts w:cs="Arial"/>
        </w:rPr>
        <w:t xml:space="preserve"> a násled</w:t>
      </w:r>
      <w:r w:rsidR="00C25206" w:rsidRPr="003871B3">
        <w:rPr>
          <w:rFonts w:cs="Arial"/>
        </w:rPr>
        <w:t xml:space="preserve">ně </w:t>
      </w:r>
      <w:r w:rsidR="00B054FF" w:rsidRPr="003871B3">
        <w:rPr>
          <w:rFonts w:cs="Arial"/>
        </w:rPr>
        <w:t xml:space="preserve">identifikované </w:t>
      </w:r>
      <w:r w:rsidR="00C25206" w:rsidRPr="003871B3">
        <w:rPr>
          <w:rFonts w:cs="Arial"/>
        </w:rPr>
        <w:t>rozdíly imple</w:t>
      </w:r>
      <w:r w:rsidR="00107F5C" w:rsidRPr="003871B3">
        <w:rPr>
          <w:rFonts w:cs="Arial"/>
        </w:rPr>
        <w:t>me</w:t>
      </w:r>
      <w:r w:rsidR="00C25206" w:rsidRPr="003871B3">
        <w:rPr>
          <w:rFonts w:cs="Arial"/>
        </w:rPr>
        <w:t>ntovat</w:t>
      </w:r>
      <w:r w:rsidR="006A385B" w:rsidRPr="003871B3">
        <w:rPr>
          <w:rFonts w:cs="Arial"/>
        </w:rPr>
        <w:t>.</w:t>
      </w:r>
    </w:p>
    <w:p w14:paraId="24C0B324" w14:textId="5F5BFC37" w:rsidR="00C269FD" w:rsidRPr="003871B3" w:rsidRDefault="000A70DA" w:rsidP="00611236">
      <w:pPr>
        <w:pStyle w:val="GSOdstavec"/>
        <w:rPr>
          <w:rFonts w:cs="Arial"/>
        </w:rPr>
      </w:pPr>
      <w:r w:rsidRPr="003871B3">
        <w:rPr>
          <w:rFonts w:cs="Arial"/>
        </w:rPr>
        <w:t xml:space="preserve">Projektové </w:t>
      </w:r>
      <w:r w:rsidR="00C269FD" w:rsidRPr="003871B3">
        <w:rPr>
          <w:rFonts w:cs="Arial"/>
        </w:rPr>
        <w:t xml:space="preserve">aktivity jsou </w:t>
      </w:r>
      <w:r w:rsidR="004E3718" w:rsidRPr="003871B3">
        <w:rPr>
          <w:rFonts w:cs="Arial"/>
        </w:rPr>
        <w:t xml:space="preserve">detailně </w:t>
      </w:r>
      <w:r w:rsidR="00C269FD" w:rsidRPr="003871B3">
        <w:rPr>
          <w:rFonts w:cs="Arial"/>
        </w:rPr>
        <w:t>definovány</w:t>
      </w:r>
      <w:r w:rsidR="000062B7" w:rsidRPr="003871B3">
        <w:rPr>
          <w:rFonts w:cs="Arial"/>
        </w:rPr>
        <w:t xml:space="preserve"> </w:t>
      </w:r>
      <w:r w:rsidR="00C269FD" w:rsidRPr="003871B3">
        <w:rPr>
          <w:rFonts w:cs="Arial"/>
        </w:rPr>
        <w:t>níže včetně základních milníků</w:t>
      </w:r>
      <w:r w:rsidR="00511EA8" w:rsidRPr="003871B3">
        <w:rPr>
          <w:rFonts w:cs="Arial"/>
        </w:rPr>
        <w:t xml:space="preserve"> v souladu s požadavky MPSV</w:t>
      </w:r>
      <w:r w:rsidR="00C269FD" w:rsidRPr="003871B3">
        <w:rPr>
          <w:rFonts w:cs="Arial"/>
        </w:rPr>
        <w:t>. Projekt bude řízen způsobem, který zajistí dodávku dle požadavků a zároveň umožní flexibilitu při plánování projektových aktivit. Pro část aktivit, kde flexibilita je nutností</w:t>
      </w:r>
      <w:r w:rsidR="00D65E47" w:rsidRPr="003871B3">
        <w:rPr>
          <w:rFonts w:cs="Arial"/>
        </w:rPr>
        <w:t>,</w:t>
      </w:r>
      <w:r w:rsidR="00C269FD" w:rsidRPr="003871B3">
        <w:rPr>
          <w:rFonts w:cs="Arial"/>
        </w:rPr>
        <w:t xml:space="preserve"> bude využit agilní způsob řízení</w:t>
      </w:r>
      <w:r w:rsidR="00B23FD4" w:rsidRPr="003871B3">
        <w:rPr>
          <w:rFonts w:cs="Arial"/>
        </w:rPr>
        <w:t xml:space="preserve"> s týdenním sprintem, který umožní </w:t>
      </w:r>
      <w:r w:rsidR="00CF42F5" w:rsidRPr="003871B3">
        <w:rPr>
          <w:rFonts w:cs="Arial"/>
        </w:rPr>
        <w:t>Objednateli</w:t>
      </w:r>
      <w:r w:rsidR="00B23FD4" w:rsidRPr="003871B3">
        <w:rPr>
          <w:rFonts w:cs="Arial"/>
        </w:rPr>
        <w:t xml:space="preserve"> a </w:t>
      </w:r>
      <w:r w:rsidR="00D65E47" w:rsidRPr="003871B3">
        <w:rPr>
          <w:rFonts w:cs="Arial"/>
        </w:rPr>
        <w:t>projektu</w:t>
      </w:r>
      <w:r w:rsidR="00B23FD4" w:rsidRPr="003871B3">
        <w:rPr>
          <w:rFonts w:cs="Arial"/>
        </w:rPr>
        <w:t xml:space="preserve"> IS</w:t>
      </w:r>
      <w:r w:rsidR="005E3961" w:rsidRPr="003871B3">
        <w:rPr>
          <w:rFonts w:cs="Arial"/>
        </w:rPr>
        <w:t xml:space="preserve"> </w:t>
      </w:r>
      <w:r w:rsidR="00B23FD4" w:rsidRPr="003871B3">
        <w:rPr>
          <w:rFonts w:cs="Arial"/>
        </w:rPr>
        <w:t>ZAM dodávku přizpůsobit okamžitým potřebám projektu a pružně reagovat na vzniklé situace.</w:t>
      </w:r>
    </w:p>
    <w:p w14:paraId="6E654E34" w14:textId="7CF3819F" w:rsidR="00FB5A67" w:rsidRPr="003871B3" w:rsidRDefault="00FB5A67" w:rsidP="00611236">
      <w:pPr>
        <w:pStyle w:val="GSOdstavec"/>
        <w:rPr>
          <w:rFonts w:cs="Arial"/>
        </w:rPr>
      </w:pPr>
      <w:r w:rsidRPr="003871B3">
        <w:rPr>
          <w:rFonts w:cs="Arial"/>
        </w:rPr>
        <w:t>Harmonogram projektu počítá s těmito fázemi</w:t>
      </w:r>
    </w:p>
    <w:p w14:paraId="7F0E040B" w14:textId="75A3B04F" w:rsidR="00FB5A67" w:rsidRPr="003871B3" w:rsidRDefault="00FB5A67" w:rsidP="00FB5A67">
      <w:pPr>
        <w:pStyle w:val="GSOdstavec"/>
        <w:numPr>
          <w:ilvl w:val="0"/>
          <w:numId w:val="27"/>
        </w:numPr>
        <w:rPr>
          <w:rFonts w:cs="Arial"/>
        </w:rPr>
      </w:pPr>
      <w:r w:rsidRPr="003871B3">
        <w:rPr>
          <w:rFonts w:cs="Arial"/>
        </w:rPr>
        <w:t xml:space="preserve">Fáze </w:t>
      </w:r>
      <w:r w:rsidR="00ED6380" w:rsidRPr="003871B3">
        <w:rPr>
          <w:rFonts w:cs="Arial"/>
        </w:rPr>
        <w:t xml:space="preserve">vývojová </w:t>
      </w:r>
      <w:r w:rsidR="00C269FD" w:rsidRPr="003871B3">
        <w:rPr>
          <w:rFonts w:cs="Arial"/>
        </w:rPr>
        <w:t xml:space="preserve">v délce trvání 6 měsíců </w:t>
      </w:r>
      <w:r w:rsidRPr="003871B3">
        <w:rPr>
          <w:rFonts w:cs="Arial"/>
        </w:rPr>
        <w:t xml:space="preserve">– před </w:t>
      </w:r>
      <w:r w:rsidR="00ED6380" w:rsidRPr="003871B3">
        <w:rPr>
          <w:rFonts w:cs="Arial"/>
        </w:rPr>
        <w:t>předáním dat pro ověřovací provoz IS</w:t>
      </w:r>
      <w:r w:rsidR="000F08D5" w:rsidRPr="003871B3">
        <w:rPr>
          <w:rFonts w:cs="Arial"/>
        </w:rPr>
        <w:t> </w:t>
      </w:r>
      <w:r w:rsidR="00ED6380" w:rsidRPr="003871B3">
        <w:rPr>
          <w:rFonts w:cs="Arial"/>
        </w:rPr>
        <w:t>ZAM</w:t>
      </w:r>
      <w:r w:rsidRPr="003871B3">
        <w:rPr>
          <w:rFonts w:cs="Arial"/>
        </w:rPr>
        <w:t xml:space="preserve">, zahrnuje </w:t>
      </w:r>
      <w:r w:rsidR="00ED6380" w:rsidRPr="003871B3">
        <w:rPr>
          <w:rFonts w:cs="Arial"/>
        </w:rPr>
        <w:t xml:space="preserve">gap analýzu, </w:t>
      </w:r>
      <w:r w:rsidRPr="003871B3">
        <w:rPr>
          <w:rFonts w:cs="Arial"/>
        </w:rPr>
        <w:t xml:space="preserve">přípravu dat </w:t>
      </w:r>
      <w:r w:rsidR="00ED6380" w:rsidRPr="003871B3">
        <w:rPr>
          <w:rFonts w:cs="Arial"/>
        </w:rPr>
        <w:t>a průběžné</w:t>
      </w:r>
      <w:r w:rsidRPr="003871B3">
        <w:rPr>
          <w:rFonts w:cs="Arial"/>
        </w:rPr>
        <w:t xml:space="preserve"> testy </w:t>
      </w:r>
    </w:p>
    <w:p w14:paraId="5D14E525" w14:textId="23AFB67F" w:rsidR="00C269FD" w:rsidRPr="003871B3" w:rsidRDefault="00FB5A67" w:rsidP="00C269FD">
      <w:pPr>
        <w:pStyle w:val="GSOdstavec"/>
        <w:numPr>
          <w:ilvl w:val="0"/>
          <w:numId w:val="27"/>
        </w:numPr>
        <w:rPr>
          <w:rFonts w:cs="Arial"/>
        </w:rPr>
      </w:pPr>
      <w:r w:rsidRPr="003871B3">
        <w:rPr>
          <w:rFonts w:cs="Arial"/>
        </w:rPr>
        <w:t xml:space="preserve">Fáze </w:t>
      </w:r>
      <w:r w:rsidR="00AB2683" w:rsidRPr="003871B3">
        <w:rPr>
          <w:rFonts w:cs="Arial"/>
        </w:rPr>
        <w:t>dokončovací</w:t>
      </w:r>
      <w:r w:rsidRPr="003871B3">
        <w:rPr>
          <w:rFonts w:cs="Arial"/>
        </w:rPr>
        <w:t xml:space="preserve"> </w:t>
      </w:r>
      <w:r w:rsidR="00C269FD" w:rsidRPr="003871B3">
        <w:rPr>
          <w:rFonts w:cs="Arial"/>
        </w:rPr>
        <w:t xml:space="preserve">v délce trvání </w:t>
      </w:r>
      <w:r w:rsidR="006A7D2D" w:rsidRPr="003871B3">
        <w:rPr>
          <w:rFonts w:cs="Arial"/>
        </w:rPr>
        <w:t>2</w:t>
      </w:r>
      <w:r w:rsidR="00C269FD" w:rsidRPr="003871B3">
        <w:rPr>
          <w:rFonts w:cs="Arial"/>
        </w:rPr>
        <w:t xml:space="preserve"> měsíců –</w:t>
      </w:r>
      <w:r w:rsidRPr="003871B3">
        <w:rPr>
          <w:rFonts w:cs="Arial"/>
        </w:rPr>
        <w:t xml:space="preserve"> </w:t>
      </w:r>
      <w:r w:rsidR="00C269FD" w:rsidRPr="003871B3">
        <w:rPr>
          <w:rFonts w:cs="Arial"/>
        </w:rPr>
        <w:t xml:space="preserve">podpora </w:t>
      </w:r>
      <w:r w:rsidR="00AB2683" w:rsidRPr="003871B3">
        <w:rPr>
          <w:rFonts w:cs="Arial"/>
        </w:rPr>
        <w:t>ověřovacího provozu</w:t>
      </w:r>
      <w:r w:rsidR="00C269FD" w:rsidRPr="003871B3">
        <w:rPr>
          <w:rFonts w:cs="Arial"/>
        </w:rPr>
        <w:t xml:space="preserve"> IS</w:t>
      </w:r>
      <w:r w:rsidR="000F08D5" w:rsidRPr="003871B3">
        <w:rPr>
          <w:rFonts w:cs="Arial"/>
        </w:rPr>
        <w:t> </w:t>
      </w:r>
      <w:r w:rsidR="00C269FD" w:rsidRPr="003871B3">
        <w:rPr>
          <w:rFonts w:cs="Arial"/>
        </w:rPr>
        <w:t>ZAM, opravy a doladění dat na vyžádání</w:t>
      </w:r>
      <w:r w:rsidR="00632631" w:rsidRPr="003871B3">
        <w:rPr>
          <w:rFonts w:cs="Arial"/>
        </w:rPr>
        <w:t xml:space="preserve"> a předání dokumentace dle požadavků</w:t>
      </w:r>
    </w:p>
    <w:p w14:paraId="32FFF9AB" w14:textId="0B27C720" w:rsidR="0000322E" w:rsidRPr="003871B3" w:rsidRDefault="0000322E" w:rsidP="000F08D5">
      <w:pPr>
        <w:pStyle w:val="GSOdstavec"/>
        <w:rPr>
          <w:rFonts w:cs="Arial"/>
        </w:rPr>
      </w:pPr>
      <w:r w:rsidRPr="003871B3">
        <w:rPr>
          <w:rFonts w:cs="Arial"/>
        </w:rPr>
        <w:t>Detailní harmonogram je uveden v</w:t>
      </w:r>
      <w:r w:rsidR="003871B3">
        <w:rPr>
          <w:rFonts w:cs="Arial"/>
        </w:rPr>
        <w:t> </w:t>
      </w:r>
      <w:r w:rsidRPr="003871B3">
        <w:rPr>
          <w:rFonts w:cs="Arial"/>
        </w:rPr>
        <w:t>kapitole</w:t>
      </w:r>
      <w:r w:rsidR="003871B3">
        <w:rPr>
          <w:rFonts w:cs="Arial"/>
        </w:rPr>
        <w:t xml:space="preserve"> 5.7</w:t>
      </w:r>
    </w:p>
    <w:p w14:paraId="7DCF7CEC" w14:textId="77777777" w:rsidR="00E07CFB" w:rsidRPr="003871B3" w:rsidRDefault="00E07CFB" w:rsidP="00E921DD">
      <w:pPr>
        <w:pStyle w:val="GSNadpis3"/>
      </w:pPr>
      <w:bookmarkStart w:id="6" w:name="_Ref520963002"/>
      <w:bookmarkStart w:id="7" w:name="_Toc522884692"/>
      <w:r w:rsidRPr="003871B3">
        <w:t>Průběžné činnosti</w:t>
      </w:r>
      <w:bookmarkEnd w:id="6"/>
      <w:bookmarkEnd w:id="7"/>
    </w:p>
    <w:p w14:paraId="1BF85243" w14:textId="3FE197D1" w:rsidR="00E921DD" w:rsidRPr="003871B3" w:rsidRDefault="00611236" w:rsidP="00E921DD">
      <w:pPr>
        <w:pStyle w:val="GSOdstavec"/>
        <w:rPr>
          <w:rFonts w:cs="Arial"/>
        </w:rPr>
      </w:pPr>
      <w:r w:rsidRPr="003871B3">
        <w:rPr>
          <w:rFonts w:cs="Arial"/>
        </w:rPr>
        <w:t>V průběhu období uvedeného v harmonogramu projektu budou poskytován</w:t>
      </w:r>
      <w:r w:rsidR="00844994" w:rsidRPr="003871B3">
        <w:rPr>
          <w:rFonts w:cs="Arial"/>
        </w:rPr>
        <w:t>a</w:t>
      </w:r>
      <w:r w:rsidRPr="003871B3">
        <w:rPr>
          <w:rFonts w:cs="Arial"/>
        </w:rPr>
        <w:t xml:space="preserve"> průběžn</w:t>
      </w:r>
      <w:r w:rsidR="00844994" w:rsidRPr="003871B3">
        <w:rPr>
          <w:rFonts w:cs="Arial"/>
        </w:rPr>
        <w:t>ě</w:t>
      </w:r>
      <w:r w:rsidRPr="003871B3">
        <w:rPr>
          <w:rFonts w:cs="Arial"/>
        </w:rPr>
        <w:t xml:space="preserve"> plnění vycházející z požadavků </w:t>
      </w:r>
      <w:r w:rsidR="000F08D5" w:rsidRPr="003871B3">
        <w:rPr>
          <w:rFonts w:cs="Arial"/>
        </w:rPr>
        <w:t>Objednatele</w:t>
      </w:r>
      <w:r w:rsidRPr="003871B3">
        <w:rPr>
          <w:rFonts w:cs="Arial"/>
        </w:rPr>
        <w:t xml:space="preserve"> a potřeb vyplývajících z harmonogramu okolních projektů. </w:t>
      </w:r>
    </w:p>
    <w:p w14:paraId="207896CE" w14:textId="63FF8305" w:rsidR="00611236" w:rsidRPr="003871B3" w:rsidRDefault="00844994" w:rsidP="00E921DD">
      <w:pPr>
        <w:pStyle w:val="GSOdstavec"/>
        <w:rPr>
          <w:rFonts w:cs="Arial"/>
        </w:rPr>
      </w:pPr>
      <w:r w:rsidRPr="003871B3">
        <w:rPr>
          <w:rFonts w:cs="Arial"/>
        </w:rPr>
        <w:t>P</w:t>
      </w:r>
      <w:r w:rsidR="00611236" w:rsidRPr="003871B3">
        <w:rPr>
          <w:rFonts w:cs="Arial"/>
        </w:rPr>
        <w:t>ráce jsou rozděleny do jednotlivých oblastí plnění:</w:t>
      </w:r>
    </w:p>
    <w:p w14:paraId="4D3E14BB" w14:textId="77777777" w:rsidR="00E921DD" w:rsidRPr="003871B3" w:rsidRDefault="00E921DD" w:rsidP="009A1A3F">
      <w:pPr>
        <w:pStyle w:val="GSNadpis4"/>
      </w:pPr>
      <w:r w:rsidRPr="003871B3">
        <w:t>Práce projektového vedení a řízení</w:t>
      </w:r>
    </w:p>
    <w:p w14:paraId="61AE371A" w14:textId="3E932F61" w:rsidR="00611236" w:rsidRPr="003871B3" w:rsidRDefault="00611236" w:rsidP="00611236">
      <w:pPr>
        <w:pStyle w:val="GSOdstavec"/>
        <w:rPr>
          <w:rFonts w:cs="Arial"/>
        </w:rPr>
      </w:pPr>
      <w:r w:rsidRPr="003871B3">
        <w:rPr>
          <w:rFonts w:cs="Arial"/>
        </w:rPr>
        <w:t>V rámci prací projektového vedení a řízení budou poskytován</w:t>
      </w:r>
      <w:r w:rsidR="0057534A" w:rsidRPr="003871B3">
        <w:rPr>
          <w:rFonts w:cs="Arial"/>
        </w:rPr>
        <w:t>a</w:t>
      </w:r>
      <w:r w:rsidRPr="003871B3">
        <w:rPr>
          <w:rFonts w:cs="Arial"/>
        </w:rPr>
        <w:t xml:space="preserve"> plnění</w:t>
      </w:r>
      <w:r w:rsidR="005D6476" w:rsidRPr="003871B3">
        <w:rPr>
          <w:rFonts w:cs="Arial"/>
        </w:rPr>
        <w:t xml:space="preserve"> v oblasti řízení dodávky a sdílení průběžných informací s týmem </w:t>
      </w:r>
      <w:r w:rsidR="000F08D5" w:rsidRPr="003871B3">
        <w:rPr>
          <w:rFonts w:cs="Arial"/>
        </w:rPr>
        <w:t>Objednatele</w:t>
      </w:r>
      <w:r w:rsidR="005D6476" w:rsidRPr="003871B3">
        <w:rPr>
          <w:rFonts w:cs="Arial"/>
        </w:rPr>
        <w:t xml:space="preserve"> dle požadavků</w:t>
      </w:r>
      <w:r w:rsidR="007C5635" w:rsidRPr="003871B3">
        <w:rPr>
          <w:rFonts w:cs="Arial"/>
        </w:rPr>
        <w:t xml:space="preserve"> uvedených v následující tabulce</w:t>
      </w:r>
      <w:r w:rsidR="005D6476" w:rsidRPr="003871B3">
        <w:rPr>
          <w:rFonts w:cs="Arial"/>
        </w:rPr>
        <w:t>:</w:t>
      </w:r>
    </w:p>
    <w:tbl>
      <w:tblPr>
        <w:tblStyle w:val="TableGrid"/>
        <w:tblW w:w="9067" w:type="dxa"/>
        <w:tblLook w:val="04A0" w:firstRow="1" w:lastRow="0" w:firstColumn="1" w:lastColumn="0" w:noHBand="0" w:noVBand="1"/>
      </w:tblPr>
      <w:tblGrid>
        <w:gridCol w:w="1072"/>
        <w:gridCol w:w="7995"/>
      </w:tblGrid>
      <w:tr w:rsidR="00254CEF" w:rsidRPr="003871B3" w14:paraId="27E73361" w14:textId="77777777" w:rsidTr="00762EBB">
        <w:tc>
          <w:tcPr>
            <w:tcW w:w="1072" w:type="dxa"/>
          </w:tcPr>
          <w:p w14:paraId="36CD6AC7" w14:textId="3FA123EF" w:rsidR="00254CEF" w:rsidRPr="003871B3" w:rsidRDefault="00254CEF" w:rsidP="00B131FC">
            <w:pPr>
              <w:pStyle w:val="GSOdstavec"/>
              <w:rPr>
                <w:rFonts w:cs="Arial"/>
              </w:rPr>
            </w:pPr>
            <w:r w:rsidRPr="003871B3">
              <w:rPr>
                <w:rFonts w:cs="Arial"/>
              </w:rPr>
              <w:t>TP032</w:t>
            </w:r>
          </w:p>
        </w:tc>
        <w:tc>
          <w:tcPr>
            <w:tcW w:w="7995" w:type="dxa"/>
          </w:tcPr>
          <w:p w14:paraId="0186260B" w14:textId="7C6DCA78" w:rsidR="00254CEF" w:rsidRPr="003871B3" w:rsidRDefault="00254CEF" w:rsidP="00DF40EF">
            <w:pPr>
              <w:pStyle w:val="GSOdstavec"/>
              <w:rPr>
                <w:rFonts w:cs="Arial"/>
              </w:rPr>
            </w:pPr>
            <w:r w:rsidRPr="003871B3">
              <w:rPr>
                <w:rFonts w:cs="Arial"/>
              </w:rPr>
              <w:t xml:space="preserve">Dodavatel ve spolupráci s týmem projektu, kterému poskytuje součinnost, navrhne proces spolupráce a workshopů vycházející z potřeby splnění všech požadavků na funkčnost, dokumentaci, implementaci, testování, nasazení, harmonogram. </w:t>
            </w:r>
          </w:p>
        </w:tc>
      </w:tr>
      <w:tr w:rsidR="00254CEF" w:rsidRPr="003871B3" w14:paraId="562B0FEE" w14:textId="77777777" w:rsidTr="00762EBB">
        <w:tc>
          <w:tcPr>
            <w:tcW w:w="1072" w:type="dxa"/>
          </w:tcPr>
          <w:p w14:paraId="72169476" w14:textId="06B0712A" w:rsidR="00254CEF" w:rsidRPr="003871B3" w:rsidRDefault="00254CEF" w:rsidP="00B131FC">
            <w:pPr>
              <w:pStyle w:val="GSOdstavec"/>
              <w:rPr>
                <w:rFonts w:cs="Arial"/>
              </w:rPr>
            </w:pPr>
            <w:r>
              <w:rPr>
                <w:rFonts w:cs="Arial"/>
              </w:rPr>
              <w:t>TP086</w:t>
            </w:r>
          </w:p>
        </w:tc>
        <w:tc>
          <w:tcPr>
            <w:tcW w:w="7995" w:type="dxa"/>
          </w:tcPr>
          <w:p w14:paraId="4D0F083C" w14:textId="77777777" w:rsidR="00254CEF" w:rsidRPr="003871B3" w:rsidRDefault="00254CEF" w:rsidP="00D672CE">
            <w:pPr>
              <w:pStyle w:val="GSOdstavec"/>
              <w:rPr>
                <w:rFonts w:cs="Arial"/>
              </w:rPr>
            </w:pPr>
            <w:r>
              <w:rPr>
                <w:rFonts w:cs="Arial"/>
              </w:rPr>
              <w:t>Dodavatel dodá řídící m</w:t>
            </w:r>
            <w:r w:rsidRPr="003871B3">
              <w:rPr>
                <w:rFonts w:cs="Arial"/>
              </w:rPr>
              <w:t>etodik</w:t>
            </w:r>
            <w:r>
              <w:rPr>
                <w:rFonts w:cs="Arial"/>
              </w:rPr>
              <w:t>u</w:t>
            </w:r>
            <w:r w:rsidRPr="003871B3">
              <w:rPr>
                <w:rFonts w:cs="Arial"/>
              </w:rPr>
              <w:t xml:space="preserve"> migrace</w:t>
            </w:r>
            <w:r>
              <w:rPr>
                <w:rFonts w:cs="Arial"/>
              </w:rPr>
              <w:t>, která</w:t>
            </w:r>
            <w:r w:rsidRPr="003871B3">
              <w:rPr>
                <w:rFonts w:cs="Arial"/>
              </w:rPr>
              <w:t xml:space="preserve"> bude obsahovat:</w:t>
            </w:r>
          </w:p>
          <w:p w14:paraId="54BBB96A" w14:textId="77777777" w:rsidR="00254CEF" w:rsidRPr="003871B3" w:rsidRDefault="00254CEF" w:rsidP="00262235">
            <w:pPr>
              <w:pStyle w:val="atext"/>
              <w:numPr>
                <w:ilvl w:val="0"/>
                <w:numId w:val="37"/>
              </w:numPr>
              <w:jc w:val="left"/>
              <w:rPr>
                <w:rFonts w:ascii="Arial" w:eastAsia="MS Mincho" w:hAnsi="Arial" w:cs="Arial"/>
                <w:b w:val="0"/>
                <w:color w:val="232323"/>
                <w:szCs w:val="21"/>
                <w:lang w:eastAsia="en-US"/>
              </w:rPr>
            </w:pPr>
            <w:r>
              <w:rPr>
                <w:rFonts w:ascii="Arial" w:eastAsia="MS Mincho" w:hAnsi="Arial" w:cs="Arial"/>
                <w:b w:val="0"/>
                <w:color w:val="232323"/>
                <w:szCs w:val="21"/>
                <w:lang w:eastAsia="en-US"/>
              </w:rPr>
              <w:t>Aktéry/</w:t>
            </w:r>
            <w:r w:rsidRPr="003871B3">
              <w:rPr>
                <w:rFonts w:ascii="Arial" w:eastAsia="MS Mincho" w:hAnsi="Arial" w:cs="Arial"/>
                <w:b w:val="0"/>
                <w:color w:val="232323"/>
                <w:szCs w:val="21"/>
                <w:lang w:eastAsia="en-US"/>
              </w:rPr>
              <w:t>Role (zákazník / dodavatel A / dodavatel B / poskytovatel migrační služby)</w:t>
            </w:r>
          </w:p>
          <w:p w14:paraId="40C50C9F" w14:textId="77777777" w:rsidR="00254CEF" w:rsidRPr="003871B3" w:rsidRDefault="00254CEF" w:rsidP="00262235">
            <w:pPr>
              <w:pStyle w:val="atext"/>
              <w:numPr>
                <w:ilvl w:val="0"/>
                <w:numId w:val="37"/>
              </w:numPr>
              <w:jc w:val="left"/>
              <w:rPr>
                <w:rFonts w:ascii="Arial" w:eastAsia="MS Mincho" w:hAnsi="Arial" w:cs="Arial"/>
                <w:b w:val="0"/>
                <w:color w:val="232323"/>
                <w:szCs w:val="21"/>
                <w:lang w:eastAsia="en-US"/>
              </w:rPr>
            </w:pPr>
            <w:r w:rsidRPr="003871B3">
              <w:rPr>
                <w:rFonts w:ascii="Arial" w:eastAsia="MS Mincho" w:hAnsi="Arial" w:cs="Arial"/>
                <w:b w:val="0"/>
                <w:color w:val="232323"/>
                <w:szCs w:val="21"/>
                <w:lang w:eastAsia="en-US"/>
              </w:rPr>
              <w:t xml:space="preserve">Migrační procesy a popis všech jejich aktivit ve vazbě na všechny dotčené </w:t>
            </w:r>
            <w:r>
              <w:rPr>
                <w:rFonts w:ascii="Arial" w:eastAsia="MS Mincho" w:hAnsi="Arial" w:cs="Arial"/>
                <w:b w:val="0"/>
                <w:color w:val="232323"/>
                <w:szCs w:val="21"/>
                <w:lang w:eastAsia="en-US"/>
              </w:rPr>
              <w:t>Aktéry/</w:t>
            </w:r>
            <w:r w:rsidRPr="003871B3">
              <w:rPr>
                <w:rFonts w:ascii="Arial" w:eastAsia="MS Mincho" w:hAnsi="Arial" w:cs="Arial"/>
                <w:b w:val="0"/>
                <w:color w:val="232323"/>
                <w:szCs w:val="21"/>
                <w:lang w:eastAsia="en-US"/>
              </w:rPr>
              <w:t>role a jejich zodpovědnosti</w:t>
            </w:r>
          </w:p>
          <w:p w14:paraId="628205ED" w14:textId="77777777" w:rsidR="00254CEF" w:rsidRPr="003871B3" w:rsidRDefault="00254CEF" w:rsidP="00262235">
            <w:pPr>
              <w:pStyle w:val="atext"/>
              <w:numPr>
                <w:ilvl w:val="0"/>
                <w:numId w:val="37"/>
              </w:numPr>
              <w:jc w:val="left"/>
              <w:rPr>
                <w:rFonts w:ascii="Arial" w:eastAsia="MS Mincho" w:hAnsi="Arial" w:cs="Arial"/>
                <w:b w:val="0"/>
                <w:color w:val="232323"/>
                <w:szCs w:val="21"/>
                <w:lang w:eastAsia="en-US"/>
              </w:rPr>
            </w:pPr>
            <w:r w:rsidRPr="003871B3">
              <w:rPr>
                <w:rFonts w:ascii="Arial" w:eastAsia="MS Mincho" w:hAnsi="Arial" w:cs="Arial"/>
                <w:b w:val="0"/>
                <w:color w:val="232323"/>
                <w:szCs w:val="21"/>
                <w:lang w:eastAsia="en-US"/>
              </w:rPr>
              <w:t>V</w:t>
            </w:r>
            <w:r>
              <w:rPr>
                <w:rFonts w:ascii="Arial" w:eastAsia="MS Mincho" w:hAnsi="Arial" w:cs="Arial"/>
                <w:b w:val="0"/>
                <w:color w:val="232323"/>
                <w:szCs w:val="21"/>
                <w:lang w:eastAsia="en-US"/>
              </w:rPr>
              <w:t>stupní a výstupní</w:t>
            </w:r>
            <w:r w:rsidRPr="003871B3">
              <w:rPr>
                <w:rFonts w:ascii="Arial" w:eastAsia="MS Mincho" w:hAnsi="Arial" w:cs="Arial"/>
                <w:b w:val="0"/>
                <w:color w:val="232323"/>
                <w:szCs w:val="21"/>
                <w:lang w:eastAsia="en-US"/>
              </w:rPr>
              <w:t xml:space="preserve"> artefakty (projektovou dokumentaci, analytické dokumenty</w:t>
            </w:r>
            <w:r>
              <w:rPr>
                <w:rFonts w:ascii="Arial" w:eastAsia="MS Mincho" w:hAnsi="Arial" w:cs="Arial"/>
                <w:b w:val="0"/>
                <w:color w:val="232323"/>
                <w:szCs w:val="21"/>
                <w:lang w:eastAsia="en-US"/>
              </w:rPr>
              <w:t>, atd.</w:t>
            </w:r>
            <w:r w:rsidRPr="003871B3">
              <w:rPr>
                <w:rFonts w:ascii="Arial" w:eastAsia="MS Mincho" w:hAnsi="Arial" w:cs="Arial"/>
                <w:b w:val="0"/>
                <w:color w:val="232323"/>
                <w:szCs w:val="21"/>
                <w:lang w:eastAsia="en-US"/>
              </w:rPr>
              <w:t xml:space="preserve">) </w:t>
            </w:r>
          </w:p>
          <w:p w14:paraId="312A50F5" w14:textId="77777777" w:rsidR="00254CEF" w:rsidRPr="003871B3" w:rsidRDefault="00254CEF" w:rsidP="00262235">
            <w:pPr>
              <w:pStyle w:val="atext"/>
              <w:numPr>
                <w:ilvl w:val="0"/>
                <w:numId w:val="37"/>
              </w:numPr>
              <w:jc w:val="left"/>
              <w:rPr>
                <w:rFonts w:ascii="Arial" w:eastAsia="MS Mincho" w:hAnsi="Arial" w:cs="Arial"/>
                <w:b w:val="0"/>
                <w:color w:val="232323"/>
                <w:szCs w:val="21"/>
                <w:lang w:eastAsia="en-US"/>
              </w:rPr>
            </w:pPr>
            <w:r w:rsidRPr="003871B3">
              <w:rPr>
                <w:rFonts w:ascii="Arial" w:eastAsia="MS Mincho" w:hAnsi="Arial" w:cs="Arial"/>
                <w:b w:val="0"/>
                <w:color w:val="232323"/>
                <w:szCs w:val="21"/>
                <w:lang w:eastAsia="en-US"/>
              </w:rPr>
              <w:t>Nástroje, které budou použity (Mantis, …)</w:t>
            </w:r>
          </w:p>
          <w:p w14:paraId="3F708425" w14:textId="77777777" w:rsidR="00254CEF" w:rsidRPr="003871B3" w:rsidRDefault="00254CEF" w:rsidP="00D672CE">
            <w:pPr>
              <w:pStyle w:val="GSOdstavec"/>
              <w:spacing w:before="0" w:after="0"/>
              <w:rPr>
                <w:rFonts w:cs="Arial"/>
              </w:rPr>
            </w:pPr>
            <w:r w:rsidRPr="003871B3">
              <w:rPr>
                <w:rFonts w:cs="Arial"/>
              </w:rPr>
              <w:t>Metodika bude složena z:</w:t>
            </w:r>
          </w:p>
          <w:p w14:paraId="5A8A61AC" w14:textId="77777777" w:rsidR="00254CEF" w:rsidRPr="003871B3" w:rsidRDefault="00254CEF" w:rsidP="00262235">
            <w:pPr>
              <w:pStyle w:val="GSOdstavec"/>
              <w:numPr>
                <w:ilvl w:val="0"/>
                <w:numId w:val="37"/>
              </w:numPr>
              <w:spacing w:before="0" w:after="0"/>
              <w:rPr>
                <w:rFonts w:cs="Arial"/>
              </w:rPr>
            </w:pPr>
            <w:r w:rsidRPr="003871B3">
              <w:rPr>
                <w:rFonts w:cs="Arial"/>
              </w:rPr>
              <w:t xml:space="preserve">nosného dokumentu (v rozsahu do 30ti stránek textu) s </w:t>
            </w:r>
          </w:p>
          <w:p w14:paraId="09D1E259" w14:textId="1AFD6751" w:rsidR="00254CEF" w:rsidRPr="003871B3" w:rsidRDefault="00254CEF" w:rsidP="00262235">
            <w:pPr>
              <w:pStyle w:val="GSOdstavec"/>
              <w:numPr>
                <w:ilvl w:val="1"/>
                <w:numId w:val="37"/>
              </w:numPr>
              <w:spacing w:before="0" w:after="0"/>
              <w:rPr>
                <w:rFonts w:cs="Arial"/>
              </w:rPr>
            </w:pPr>
            <w:r w:rsidRPr="003871B3">
              <w:rPr>
                <w:rFonts w:cs="Arial"/>
              </w:rPr>
              <w:t>definicí migračního procesu a všech jeho aktivit ve vazbě na všechny dotčené subjekty</w:t>
            </w:r>
            <w:r>
              <w:rPr>
                <w:rFonts w:cs="Arial"/>
              </w:rPr>
              <w:t>/akté</w:t>
            </w:r>
            <w:r w:rsidR="00262235">
              <w:rPr>
                <w:rFonts w:cs="Arial"/>
              </w:rPr>
              <w:t>r</w:t>
            </w:r>
            <w:r>
              <w:rPr>
                <w:rFonts w:cs="Arial"/>
              </w:rPr>
              <w:t>y/role</w:t>
            </w:r>
            <w:r w:rsidRPr="003871B3">
              <w:rPr>
                <w:rFonts w:cs="Arial"/>
              </w:rPr>
              <w:t xml:space="preserve">, </w:t>
            </w:r>
          </w:p>
          <w:p w14:paraId="53E52229" w14:textId="77777777" w:rsidR="00254CEF" w:rsidRPr="003871B3" w:rsidRDefault="00254CEF" w:rsidP="00262235">
            <w:pPr>
              <w:pStyle w:val="GSOdstavec"/>
              <w:numPr>
                <w:ilvl w:val="1"/>
                <w:numId w:val="37"/>
              </w:numPr>
              <w:spacing w:before="0" w:after="0"/>
              <w:rPr>
                <w:rFonts w:cs="Arial"/>
              </w:rPr>
            </w:pPr>
            <w:r w:rsidRPr="003871B3">
              <w:rPr>
                <w:rFonts w:cs="Arial"/>
              </w:rPr>
              <w:t xml:space="preserve">definicí struktury a způsobu řízení, </w:t>
            </w:r>
          </w:p>
          <w:p w14:paraId="185C50B8" w14:textId="06713C83" w:rsidR="00254CEF" w:rsidRDefault="00254CEF" w:rsidP="00262235">
            <w:pPr>
              <w:pStyle w:val="GSOdstavec"/>
              <w:numPr>
                <w:ilvl w:val="1"/>
                <w:numId w:val="37"/>
              </w:numPr>
              <w:spacing w:before="0" w:after="0"/>
              <w:rPr>
                <w:rFonts w:cs="Arial"/>
              </w:rPr>
            </w:pPr>
            <w:r w:rsidRPr="003871B3">
              <w:rPr>
                <w:rFonts w:cs="Arial"/>
              </w:rPr>
              <w:t>definicí časového rámce pro jednotlivé iterace každé fáze v celém životním cyklu</w:t>
            </w:r>
          </w:p>
          <w:p w14:paraId="539A0521" w14:textId="77777777" w:rsidR="00262235" w:rsidRDefault="00262235" w:rsidP="00262235">
            <w:pPr>
              <w:pStyle w:val="GSOdstavec"/>
              <w:numPr>
                <w:ilvl w:val="1"/>
                <w:numId w:val="37"/>
              </w:numPr>
              <w:spacing w:before="0" w:after="0"/>
              <w:rPr>
                <w:rFonts w:cs="Arial"/>
              </w:rPr>
            </w:pPr>
            <w:r>
              <w:rPr>
                <w:rFonts w:cs="Arial"/>
              </w:rPr>
              <w:t>s definicí metodiky vývoje a skladby vývojového týmu</w:t>
            </w:r>
          </w:p>
          <w:p w14:paraId="45BE76C1" w14:textId="77777777" w:rsidR="00262235" w:rsidRPr="003871B3" w:rsidRDefault="00262235" w:rsidP="00DF40EF">
            <w:pPr>
              <w:pStyle w:val="GSOdstavec"/>
              <w:spacing w:before="0" w:after="0"/>
              <w:ind w:left="1440"/>
              <w:rPr>
                <w:rFonts w:cs="Arial"/>
              </w:rPr>
            </w:pPr>
          </w:p>
          <w:p w14:paraId="289163CF" w14:textId="77777777" w:rsidR="00254CEF" w:rsidRPr="003871B3" w:rsidRDefault="00254CEF" w:rsidP="00262235">
            <w:pPr>
              <w:pStyle w:val="GSOdstavec"/>
              <w:numPr>
                <w:ilvl w:val="0"/>
                <w:numId w:val="37"/>
              </w:numPr>
              <w:spacing w:before="0" w:after="0"/>
              <w:rPr>
                <w:rFonts w:cs="Arial"/>
              </w:rPr>
            </w:pPr>
            <w:r w:rsidRPr="003871B3">
              <w:rPr>
                <w:rFonts w:cs="Arial"/>
              </w:rPr>
              <w:t>a jeho příloh s popisem vstupních a výstupních artefaktů dodávek pro všechny dotčené aktivity v rámci migračního procesu</w:t>
            </w:r>
          </w:p>
          <w:p w14:paraId="6CAEC22E" w14:textId="77777777" w:rsidR="00254CEF" w:rsidRPr="003871B3" w:rsidRDefault="00254CEF" w:rsidP="00D672CE">
            <w:pPr>
              <w:pStyle w:val="GSOdstavec"/>
              <w:spacing w:before="0" w:after="0"/>
              <w:rPr>
                <w:rFonts w:cs="Arial"/>
              </w:rPr>
            </w:pPr>
            <w:r w:rsidRPr="003871B3">
              <w:rPr>
                <w:rFonts w:cs="Arial"/>
              </w:rPr>
              <w:t>Cílem metodiky je:</w:t>
            </w:r>
          </w:p>
          <w:p w14:paraId="075C5194" w14:textId="77777777" w:rsidR="00254CEF" w:rsidRPr="003871B3" w:rsidRDefault="00254CEF" w:rsidP="00262235">
            <w:pPr>
              <w:pStyle w:val="GSOdstavec"/>
              <w:numPr>
                <w:ilvl w:val="0"/>
                <w:numId w:val="37"/>
              </w:numPr>
              <w:spacing w:before="0" w:after="0"/>
              <w:rPr>
                <w:rFonts w:cs="Arial"/>
              </w:rPr>
            </w:pPr>
            <w:r w:rsidRPr="003871B3">
              <w:rPr>
                <w:rFonts w:cs="Arial"/>
              </w:rPr>
              <w:t xml:space="preserve">aby byly naprosto jasné veškeré požadované a poskytované součinnosti přes všechny dotčené subjekty (zákazník / dodavatel A / dodavatel B / poskytovatel migrační služby) </w:t>
            </w:r>
          </w:p>
          <w:p w14:paraId="7BB25FC5" w14:textId="77777777" w:rsidR="00254CEF" w:rsidRPr="003871B3" w:rsidRDefault="00254CEF" w:rsidP="00262235">
            <w:pPr>
              <w:pStyle w:val="GSOdstavec"/>
              <w:numPr>
                <w:ilvl w:val="0"/>
                <w:numId w:val="37"/>
              </w:numPr>
              <w:spacing w:before="0" w:after="0"/>
              <w:rPr>
                <w:rFonts w:cs="Arial"/>
              </w:rPr>
            </w:pPr>
            <w:r w:rsidRPr="003871B3">
              <w:rPr>
                <w:rFonts w:cs="Arial"/>
              </w:rPr>
              <w:t xml:space="preserve">vytvoření srozumitelné kuchařky, ze které budou všem dotčeným subjektům jasná jejich práva a povinnosti a budou tím nastavena pravidla pro efektivní spolupráci a úspěšné zakončení migrace. </w:t>
            </w:r>
          </w:p>
          <w:p w14:paraId="051113F0" w14:textId="64D046E5" w:rsidR="00254CEF" w:rsidRDefault="00254CEF" w:rsidP="00D672CE">
            <w:pPr>
              <w:pStyle w:val="GSOdstavec"/>
              <w:rPr>
                <w:rFonts w:cs="Arial"/>
              </w:rPr>
            </w:pPr>
            <w:r w:rsidRPr="003871B3">
              <w:rPr>
                <w:rFonts w:cs="Arial"/>
              </w:rPr>
              <w:t xml:space="preserve">Řídící metodika migrace </w:t>
            </w:r>
            <w:r>
              <w:rPr>
                <w:rFonts w:cs="Arial"/>
              </w:rPr>
              <w:t>b</w:t>
            </w:r>
            <w:r w:rsidRPr="003871B3">
              <w:rPr>
                <w:rFonts w:cs="Arial"/>
              </w:rPr>
              <w:t>ude dodána nejpozději do 6</w:t>
            </w:r>
            <w:r w:rsidR="004D411B">
              <w:rPr>
                <w:rFonts w:cs="Arial"/>
              </w:rPr>
              <w:t xml:space="preserve"> </w:t>
            </w:r>
            <w:r w:rsidRPr="003871B3">
              <w:rPr>
                <w:rFonts w:cs="Arial"/>
              </w:rPr>
              <w:t xml:space="preserve">týdnů od podpisu </w:t>
            </w:r>
            <w:r>
              <w:rPr>
                <w:rFonts w:cs="Arial"/>
              </w:rPr>
              <w:t xml:space="preserve">tohoto </w:t>
            </w:r>
            <w:r w:rsidRPr="003871B3">
              <w:rPr>
                <w:rFonts w:cs="Arial"/>
              </w:rPr>
              <w:t>dodatku</w:t>
            </w:r>
            <w:r>
              <w:rPr>
                <w:rFonts w:cs="Arial"/>
              </w:rPr>
              <w:t xml:space="preserve"> smlouvy.</w:t>
            </w:r>
          </w:p>
          <w:p w14:paraId="7B368BF7" w14:textId="77777777" w:rsidR="00254CEF" w:rsidRDefault="00254CEF" w:rsidP="00D672CE">
            <w:pPr>
              <w:pStyle w:val="GSOdstavec"/>
              <w:rPr>
                <w:rFonts w:cs="Arial"/>
              </w:rPr>
            </w:pPr>
            <w:r>
              <w:rPr>
                <w:rFonts w:cs="Arial"/>
              </w:rPr>
              <w:t>Metodika bude používat obecné názvosloví (systém A / systém B).</w:t>
            </w:r>
          </w:p>
          <w:p w14:paraId="5C2AC0D5" w14:textId="77777777" w:rsidR="00254CEF" w:rsidRDefault="00254CEF" w:rsidP="00D672CE">
            <w:pPr>
              <w:pStyle w:val="GSOdstavec"/>
              <w:rPr>
                <w:rFonts w:cs="Arial"/>
              </w:rPr>
            </w:pPr>
            <w:r>
              <w:rPr>
                <w:rFonts w:cs="Arial"/>
              </w:rPr>
              <w:t>Metodika bude aplikována na dodávku migračních služeb v rámci tohoto dodatku.</w:t>
            </w:r>
          </w:p>
          <w:p w14:paraId="674A6295" w14:textId="38D11FBD" w:rsidR="00595D93" w:rsidRPr="00DF40EF" w:rsidRDefault="00595D93" w:rsidP="00DF40EF">
            <w:pPr>
              <w:pStyle w:val="GSOdstavec"/>
              <w:rPr>
                <w:rFonts w:ascii="Times New Roman" w:hAnsi="Times New Roman"/>
                <w:color w:val="auto"/>
                <w:sz w:val="24"/>
                <w:szCs w:val="24"/>
                <w:lang w:eastAsia="cs-CZ"/>
              </w:rPr>
            </w:pPr>
            <w:r w:rsidRPr="00DF40EF">
              <w:rPr>
                <w:rFonts w:cs="Arial"/>
              </w:rPr>
              <w:t xml:space="preserve">Zadavatel poskytne součinnost při akceptaci metodiky. Zadavatel definuje skupinu oponentů, které bude Dodavatel v oponentuře metodiky oslovovat. Zadavatel do 5ti pracovních dní od dodání metodiky metodiku akceptuje nebo dodá připomínky Dodavateli k dalšímu vypořádání. Dodavatel připomínky vypořádá/zapracuje během 2 pracovních dní a vrátí metodiku k posouzení Zadavateli. Zadavatel během 2 pracovních dní dodá Dodavateli další připomínky nebo metodiku akceptuje. Tyto kroky budou opakovány do úplného vypořádání připomínek nebo akceptace. Metodika bude akceptována, pokud nebudou ze strany Zadavatele žádné další připomínky, </w:t>
            </w:r>
          </w:p>
        </w:tc>
      </w:tr>
      <w:tr w:rsidR="00254CEF" w:rsidRPr="003871B3" w14:paraId="1DEE7BAB" w14:textId="77777777" w:rsidTr="00762EBB">
        <w:tc>
          <w:tcPr>
            <w:tcW w:w="1072" w:type="dxa"/>
          </w:tcPr>
          <w:p w14:paraId="7017B896" w14:textId="6BA55450" w:rsidR="00254CEF" w:rsidRPr="003871B3" w:rsidRDefault="00254CEF" w:rsidP="00B131FC">
            <w:pPr>
              <w:pStyle w:val="GSOdstavec"/>
              <w:rPr>
                <w:rFonts w:cs="Arial"/>
              </w:rPr>
            </w:pPr>
            <w:r w:rsidRPr="003871B3">
              <w:rPr>
                <w:rFonts w:cs="Arial"/>
              </w:rPr>
              <w:t>TP034</w:t>
            </w:r>
          </w:p>
        </w:tc>
        <w:tc>
          <w:tcPr>
            <w:tcW w:w="7995" w:type="dxa"/>
          </w:tcPr>
          <w:p w14:paraId="187CB715" w14:textId="67B136A3" w:rsidR="00254CEF" w:rsidRPr="003871B3" w:rsidRDefault="00254CEF" w:rsidP="008D562F">
            <w:pPr>
              <w:pStyle w:val="GSOdstavec"/>
              <w:rPr>
                <w:rFonts w:cs="Arial"/>
              </w:rPr>
            </w:pPr>
            <w:r w:rsidRPr="003871B3">
              <w:rPr>
                <w:rFonts w:cs="Arial"/>
              </w:rPr>
              <w:t xml:space="preserve">Dodavatel předloží plán požadovaných součinností, a to s dostatečným předstihem před požadovaným termínem poskytnutí těchto součinností s přihlédnutím ke složitosti a náročnosti jednotlivých součinností, nejpozději však 10 pracovních dní předem. </w:t>
            </w:r>
          </w:p>
          <w:p w14:paraId="59114C53" w14:textId="77597BE3" w:rsidR="00254CEF" w:rsidRPr="003871B3" w:rsidRDefault="00254CEF" w:rsidP="00B131FC">
            <w:pPr>
              <w:pStyle w:val="GSOdstavec"/>
              <w:rPr>
                <w:rFonts w:cs="Arial"/>
              </w:rPr>
            </w:pPr>
            <w:r w:rsidRPr="003871B3">
              <w:rPr>
                <w:rFonts w:cs="Arial"/>
              </w:rPr>
              <w:t xml:space="preserve">Požadovaná součinnost a její dostupnost bude jedním z kritérií při plánování jednotlivých sprintů, tak aby bylo možné reálně naplnit jejich cíle. Při plánování se vždy přihlédne k náročnosti poskytnutí součinnosti. U některých součinností však předpokládáme agilnější reakci než 10 dní (schůzka s garantem, odpověď na email, upřesnění požadavku ZAMu, ...). </w:t>
            </w:r>
          </w:p>
        </w:tc>
      </w:tr>
      <w:tr w:rsidR="00254CEF" w:rsidRPr="003871B3" w14:paraId="22D6093E" w14:textId="77777777" w:rsidTr="00762EBB">
        <w:tc>
          <w:tcPr>
            <w:tcW w:w="1072" w:type="dxa"/>
          </w:tcPr>
          <w:p w14:paraId="09D22933" w14:textId="1CC6207E" w:rsidR="00254CEF" w:rsidRPr="003871B3" w:rsidRDefault="00254CEF" w:rsidP="00B131FC">
            <w:pPr>
              <w:pStyle w:val="GSOdstavec"/>
              <w:rPr>
                <w:rFonts w:cs="Arial"/>
              </w:rPr>
            </w:pPr>
            <w:r w:rsidRPr="003871B3">
              <w:rPr>
                <w:rFonts w:cs="Arial"/>
              </w:rPr>
              <w:t>TP036</w:t>
            </w:r>
          </w:p>
        </w:tc>
        <w:tc>
          <w:tcPr>
            <w:tcW w:w="7995" w:type="dxa"/>
          </w:tcPr>
          <w:p w14:paraId="5E8342C5" w14:textId="07107699" w:rsidR="00254CEF" w:rsidRPr="003871B3" w:rsidRDefault="00254CEF" w:rsidP="00B131FC">
            <w:pPr>
              <w:pStyle w:val="GSOdstavec"/>
              <w:rPr>
                <w:rFonts w:cs="Arial"/>
              </w:rPr>
            </w:pPr>
            <w:r w:rsidRPr="003871B3">
              <w:rPr>
                <w:rFonts w:cs="Arial"/>
              </w:rPr>
              <w:t>Dodavatel ve spolupráci s týmem projektu, kterému poskytuje součinnost, vytvoří a následně aktualizuje plán aktivit vedoucích k realizaci poskytované součinnosti. Projektový plán bude obsahovat přehled všech činností a jejich závislostí, které budou dodavatelem provedeny a jaké součinnosti budou v kterých časech očekávány od ostatních subjektů.</w:t>
            </w:r>
          </w:p>
        </w:tc>
      </w:tr>
      <w:tr w:rsidR="00254CEF" w:rsidRPr="003871B3" w14:paraId="1F4C92F9" w14:textId="77777777" w:rsidTr="00762EBB">
        <w:tc>
          <w:tcPr>
            <w:tcW w:w="1072" w:type="dxa"/>
          </w:tcPr>
          <w:p w14:paraId="73177450" w14:textId="06FDCDF1" w:rsidR="00254CEF" w:rsidRPr="003871B3" w:rsidRDefault="00254CEF" w:rsidP="00B131FC">
            <w:pPr>
              <w:pStyle w:val="GSOdstavec"/>
              <w:rPr>
                <w:rFonts w:cs="Arial"/>
              </w:rPr>
            </w:pPr>
            <w:r w:rsidRPr="003871B3">
              <w:rPr>
                <w:rFonts w:cs="Arial"/>
              </w:rPr>
              <w:t>TP038</w:t>
            </w:r>
          </w:p>
        </w:tc>
        <w:tc>
          <w:tcPr>
            <w:tcW w:w="7995" w:type="dxa"/>
          </w:tcPr>
          <w:p w14:paraId="65D610EE" w14:textId="1DA28DF9" w:rsidR="00254CEF" w:rsidRPr="003871B3" w:rsidRDefault="00254CEF" w:rsidP="00B131FC">
            <w:pPr>
              <w:pStyle w:val="GSOdstavec"/>
              <w:rPr>
                <w:rFonts w:cs="Arial"/>
              </w:rPr>
            </w:pPr>
            <w:r w:rsidRPr="003871B3">
              <w:rPr>
                <w:rFonts w:cs="Arial"/>
              </w:rPr>
              <w:t>V případě nutnosti ověření dat za účelem validování logického modelu vůči realitě stávajícího systému, Dodavatel požádá o organizaci workshopu s relevantními garanty na pobočce UP nebo MPSV.</w:t>
            </w:r>
          </w:p>
        </w:tc>
      </w:tr>
      <w:tr w:rsidR="00254CEF" w:rsidRPr="003871B3" w14:paraId="34987FD1" w14:textId="77777777" w:rsidTr="00762EBB">
        <w:trPr>
          <w:trHeight w:val="1905"/>
        </w:trPr>
        <w:tc>
          <w:tcPr>
            <w:tcW w:w="1072" w:type="dxa"/>
          </w:tcPr>
          <w:p w14:paraId="6BAAE7DD" w14:textId="6AE45EEB" w:rsidR="00254CEF" w:rsidRPr="003871B3" w:rsidRDefault="00254CEF" w:rsidP="00B131FC">
            <w:pPr>
              <w:pStyle w:val="GSOdstavec"/>
              <w:rPr>
                <w:rFonts w:cs="Arial"/>
              </w:rPr>
            </w:pPr>
            <w:r w:rsidRPr="003871B3">
              <w:rPr>
                <w:rFonts w:cs="Arial"/>
              </w:rPr>
              <w:t>TP039</w:t>
            </w:r>
          </w:p>
        </w:tc>
        <w:tc>
          <w:tcPr>
            <w:tcW w:w="7995" w:type="dxa"/>
          </w:tcPr>
          <w:p w14:paraId="168E06C1" w14:textId="6DF1585B" w:rsidR="00254CEF" w:rsidRPr="003871B3" w:rsidRDefault="00254CEF" w:rsidP="00B131FC">
            <w:pPr>
              <w:pStyle w:val="GSOdstavec"/>
              <w:rPr>
                <w:rFonts w:cs="Arial"/>
              </w:rPr>
            </w:pPr>
            <w:r w:rsidRPr="00FF55A5">
              <w:rPr>
                <w:rFonts w:cs="Arial"/>
              </w:rPr>
              <w:t>Dodavatel ve spolupráci s týmem projektu, kterému poskytuje součinnost, vytvoří a následně aktualizuje release plán pro konkrétní datové množiny (datové entity), které jsou v rámci nasazení dotčeny. Release plán bude obsahovat přehled všech činností a jejich závislostí, které budou dodavatelem provedeny a jaké součinnosti budou v kterých časech očekávány od ostatních subjektů.</w:t>
            </w:r>
          </w:p>
        </w:tc>
      </w:tr>
      <w:tr w:rsidR="00254CEF" w:rsidRPr="003871B3" w14:paraId="317C842D" w14:textId="77777777" w:rsidTr="00762EBB">
        <w:tc>
          <w:tcPr>
            <w:tcW w:w="1072" w:type="dxa"/>
          </w:tcPr>
          <w:p w14:paraId="596C427A" w14:textId="48D46EBF" w:rsidR="00254CEF" w:rsidRPr="003871B3" w:rsidRDefault="00254CEF" w:rsidP="00B131FC">
            <w:pPr>
              <w:pStyle w:val="GSOdstavec"/>
              <w:rPr>
                <w:rFonts w:cs="Arial"/>
              </w:rPr>
            </w:pPr>
            <w:r w:rsidRPr="003871B3">
              <w:rPr>
                <w:rFonts w:cs="Arial"/>
              </w:rPr>
              <w:t>TP040</w:t>
            </w:r>
          </w:p>
        </w:tc>
        <w:tc>
          <w:tcPr>
            <w:tcW w:w="7995" w:type="dxa"/>
          </w:tcPr>
          <w:p w14:paraId="293F1C16" w14:textId="6F727AB8" w:rsidR="00254CEF" w:rsidRPr="003871B3" w:rsidRDefault="00254CEF" w:rsidP="00B131FC">
            <w:pPr>
              <w:pStyle w:val="GSOdstavec"/>
              <w:rPr>
                <w:rFonts w:cs="Arial"/>
              </w:rPr>
            </w:pPr>
            <w:r w:rsidRPr="003871B3">
              <w:rPr>
                <w:rFonts w:cs="Arial"/>
              </w:rPr>
              <w:t xml:space="preserve">V každé fázi projektu bude Dodavatelem pro projektové vedení </w:t>
            </w:r>
            <w:r w:rsidR="00262235">
              <w:rPr>
                <w:rFonts w:cs="Arial"/>
              </w:rPr>
              <w:t>Objednatel</w:t>
            </w:r>
            <w:r w:rsidRPr="003871B3">
              <w:rPr>
                <w:rFonts w:cs="Arial"/>
              </w:rPr>
              <w:t>e poskytován pravidelný písemný měsíční report o stavu projektu. Report bude obsahovat stav a obsah jednotlivých release, identifikovaná rizika a výhled na další období</w:t>
            </w:r>
          </w:p>
        </w:tc>
      </w:tr>
      <w:tr w:rsidR="00254CEF" w:rsidRPr="003871B3" w14:paraId="4C165818" w14:textId="77777777" w:rsidTr="00762EBB">
        <w:tc>
          <w:tcPr>
            <w:tcW w:w="1072" w:type="dxa"/>
          </w:tcPr>
          <w:p w14:paraId="10E78034" w14:textId="4947A864" w:rsidR="00254CEF" w:rsidRPr="003871B3" w:rsidRDefault="00254CEF" w:rsidP="00B131FC">
            <w:pPr>
              <w:pStyle w:val="GSOdstavec"/>
              <w:rPr>
                <w:rFonts w:cs="Arial"/>
              </w:rPr>
            </w:pPr>
            <w:r w:rsidRPr="003871B3">
              <w:rPr>
                <w:rFonts w:cs="Arial"/>
              </w:rPr>
              <w:t>TP041</w:t>
            </w:r>
          </w:p>
        </w:tc>
        <w:tc>
          <w:tcPr>
            <w:tcW w:w="7995" w:type="dxa"/>
          </w:tcPr>
          <w:p w14:paraId="1C2DF3CE" w14:textId="5ED182B2" w:rsidR="00254CEF" w:rsidRPr="003871B3" w:rsidRDefault="00254CEF" w:rsidP="00B131FC">
            <w:pPr>
              <w:pStyle w:val="GSOdstavec"/>
              <w:rPr>
                <w:rFonts w:cs="Arial"/>
              </w:rPr>
            </w:pPr>
            <w:r w:rsidRPr="003871B3">
              <w:rPr>
                <w:rFonts w:cs="Arial"/>
              </w:rPr>
              <w:t>Dodavatel ve spolupráci s týmem projektu, kterému poskytuje součinnost, vytvoří a následně bude aktualizovat plán testů pro konkrétní dodávky.</w:t>
            </w:r>
          </w:p>
        </w:tc>
      </w:tr>
      <w:tr w:rsidR="00254CEF" w:rsidRPr="003871B3" w14:paraId="0F6569A6" w14:textId="77777777" w:rsidTr="00762EBB">
        <w:tc>
          <w:tcPr>
            <w:tcW w:w="1072" w:type="dxa"/>
          </w:tcPr>
          <w:p w14:paraId="103E76D9" w14:textId="0ACD48D5" w:rsidR="00254CEF" w:rsidRPr="003871B3" w:rsidRDefault="00254CEF" w:rsidP="00B131FC">
            <w:pPr>
              <w:pStyle w:val="GSOdstavec"/>
              <w:rPr>
                <w:rFonts w:cs="Arial"/>
              </w:rPr>
            </w:pPr>
            <w:r w:rsidRPr="003871B3">
              <w:rPr>
                <w:rFonts w:cs="Arial"/>
              </w:rPr>
              <w:t>TP042</w:t>
            </w:r>
          </w:p>
        </w:tc>
        <w:tc>
          <w:tcPr>
            <w:tcW w:w="7995" w:type="dxa"/>
          </w:tcPr>
          <w:p w14:paraId="47622C69" w14:textId="15DACA99" w:rsidR="00254CEF" w:rsidRPr="003871B3" w:rsidRDefault="00254CEF" w:rsidP="0067599F">
            <w:pPr>
              <w:pStyle w:val="GSOdstavec"/>
              <w:rPr>
                <w:rFonts w:cs="Arial"/>
              </w:rPr>
            </w:pPr>
            <w:r w:rsidRPr="003871B3">
              <w:rPr>
                <w:rFonts w:cs="Arial"/>
              </w:rPr>
              <w:t xml:space="preserve">V implementační fázi bude Dodavatelem poskytován pro projektové vedení </w:t>
            </w:r>
            <w:r w:rsidR="00262235">
              <w:rPr>
                <w:rFonts w:cs="Arial"/>
              </w:rPr>
              <w:t>Objednatel</w:t>
            </w:r>
            <w:r w:rsidRPr="003871B3">
              <w:rPr>
                <w:rFonts w:cs="Arial"/>
              </w:rPr>
              <w:t xml:space="preserve">e pravidelný písemný </w:t>
            </w:r>
            <w:r>
              <w:rPr>
                <w:rFonts w:cs="Arial"/>
              </w:rPr>
              <w:t>tý</w:t>
            </w:r>
            <w:r w:rsidRPr="003871B3">
              <w:rPr>
                <w:rFonts w:cs="Arial"/>
              </w:rPr>
              <w:t xml:space="preserve">denní report. Tento report shrne stav plnění aktivit vývojového týmu za předchozí </w:t>
            </w:r>
            <w:r>
              <w:rPr>
                <w:rFonts w:cs="Arial"/>
              </w:rPr>
              <w:t>týden</w:t>
            </w:r>
            <w:r w:rsidRPr="003871B3">
              <w:rPr>
                <w:rFonts w:cs="Arial"/>
              </w:rPr>
              <w:t xml:space="preserve"> a představí plánované aktivity vývojového týmu na další </w:t>
            </w:r>
            <w:r>
              <w:rPr>
                <w:rFonts w:cs="Arial"/>
              </w:rPr>
              <w:t>týden</w:t>
            </w:r>
            <w:r w:rsidRPr="003871B3">
              <w:rPr>
                <w:rFonts w:cs="Arial"/>
              </w:rPr>
              <w:t xml:space="preserve"> (u aktivit budou uvedena očekávaná rizika a součinnosti).</w:t>
            </w:r>
          </w:p>
        </w:tc>
      </w:tr>
      <w:tr w:rsidR="00254CEF" w:rsidRPr="003871B3" w14:paraId="367BD387" w14:textId="77777777" w:rsidTr="00762EBB">
        <w:tc>
          <w:tcPr>
            <w:tcW w:w="1072" w:type="dxa"/>
          </w:tcPr>
          <w:p w14:paraId="4092CEF6" w14:textId="56007C94" w:rsidR="00254CEF" w:rsidRPr="003871B3" w:rsidRDefault="00254CEF" w:rsidP="00B131FC">
            <w:pPr>
              <w:pStyle w:val="GSOdstavec"/>
              <w:rPr>
                <w:rFonts w:cs="Arial"/>
              </w:rPr>
            </w:pPr>
            <w:r w:rsidRPr="003871B3">
              <w:rPr>
                <w:rFonts w:cs="Arial"/>
              </w:rPr>
              <w:t>TP043</w:t>
            </w:r>
          </w:p>
        </w:tc>
        <w:tc>
          <w:tcPr>
            <w:tcW w:w="7995" w:type="dxa"/>
          </w:tcPr>
          <w:p w14:paraId="5B1A7C0C" w14:textId="059B1CD6" w:rsidR="00254CEF" w:rsidRPr="003871B3" w:rsidRDefault="00254CEF" w:rsidP="00B131FC">
            <w:pPr>
              <w:pStyle w:val="GSOdstavec"/>
              <w:rPr>
                <w:rFonts w:cs="Arial"/>
              </w:rPr>
            </w:pPr>
            <w:r w:rsidRPr="003871B3">
              <w:rPr>
                <w:rFonts w:cs="Arial"/>
              </w:rPr>
              <w:t xml:space="preserve">Dodavatel ve spolupráci s týmem projektu, kterému poskytuje součinnost, vytvoří a následně </w:t>
            </w:r>
            <w:r w:rsidR="00262235">
              <w:rPr>
                <w:rFonts w:cs="Arial"/>
              </w:rPr>
              <w:t>Objednatel</w:t>
            </w:r>
            <w:r w:rsidRPr="003871B3">
              <w:rPr>
                <w:rFonts w:cs="Arial"/>
              </w:rPr>
              <w:t>i předloží návrh akceptačních kritérií pro konkrétní dodávky.</w:t>
            </w:r>
          </w:p>
        </w:tc>
      </w:tr>
    </w:tbl>
    <w:p w14:paraId="4CAC6E07" w14:textId="77777777" w:rsidR="00E921DD" w:rsidRPr="003871B3" w:rsidRDefault="00E921DD" w:rsidP="009A1A3F">
      <w:pPr>
        <w:pStyle w:val="GSNadpis4"/>
      </w:pPr>
      <w:r w:rsidRPr="003871B3">
        <w:t>Práce architektonického dohledu</w:t>
      </w:r>
    </w:p>
    <w:p w14:paraId="0E05DB56" w14:textId="4E13EFAB" w:rsidR="008009CB" w:rsidRPr="00C22A86" w:rsidRDefault="005F3EBA" w:rsidP="00486F2B">
      <w:pPr>
        <w:pStyle w:val="GSOdstavec"/>
        <w:rPr>
          <w:rFonts w:cs="Arial"/>
        </w:rPr>
      </w:pPr>
      <w:r w:rsidRPr="00C22A86">
        <w:rPr>
          <w:rFonts w:cs="Arial"/>
        </w:rPr>
        <w:t>Dodavatel poskytne plnění v oblasti dohledu nad architekturou migrace tak</w:t>
      </w:r>
      <w:r w:rsidR="00844994" w:rsidRPr="00C22A86">
        <w:rPr>
          <w:rFonts w:cs="Arial"/>
        </w:rPr>
        <w:t>,</w:t>
      </w:r>
      <w:r w:rsidRPr="00C22A86">
        <w:rPr>
          <w:rFonts w:cs="Arial"/>
        </w:rPr>
        <w:t xml:space="preserve"> aby činnosti prováděné v rámci LIS odpovídal</w:t>
      </w:r>
      <w:r w:rsidR="008D562F" w:rsidRPr="00C22A86">
        <w:rPr>
          <w:rFonts w:cs="Arial"/>
        </w:rPr>
        <w:t>y</w:t>
      </w:r>
      <w:r w:rsidRPr="00C22A86">
        <w:rPr>
          <w:rFonts w:cs="Arial"/>
        </w:rPr>
        <w:t xml:space="preserve"> dobré praxi „best</w:t>
      </w:r>
      <w:r w:rsidR="00844994" w:rsidRPr="00C22A86">
        <w:rPr>
          <w:rFonts w:cs="Arial"/>
        </w:rPr>
        <w:t xml:space="preserve"> </w:t>
      </w:r>
      <w:r w:rsidRPr="00C22A86">
        <w:rPr>
          <w:rFonts w:cs="Arial"/>
        </w:rPr>
        <w:t>practi</w:t>
      </w:r>
      <w:r w:rsidR="00844994" w:rsidRPr="00C22A86">
        <w:rPr>
          <w:rFonts w:cs="Arial"/>
        </w:rPr>
        <w:t>c</w:t>
      </w:r>
      <w:r w:rsidRPr="00C22A86">
        <w:rPr>
          <w:rFonts w:cs="Arial"/>
        </w:rPr>
        <w:t xml:space="preserve">e“ v oblasti datových migrací a dále </w:t>
      </w:r>
      <w:r w:rsidR="00844994" w:rsidRPr="00C22A86">
        <w:rPr>
          <w:rFonts w:cs="Arial"/>
        </w:rPr>
        <w:t>reflektoval</w:t>
      </w:r>
      <w:r w:rsidR="008D562F" w:rsidRPr="00C22A86">
        <w:rPr>
          <w:rFonts w:cs="Arial"/>
        </w:rPr>
        <w:t>y</w:t>
      </w:r>
      <w:r w:rsidR="00844994" w:rsidRPr="00C22A86">
        <w:rPr>
          <w:rFonts w:cs="Arial"/>
        </w:rPr>
        <w:t xml:space="preserve"> </w:t>
      </w:r>
      <w:r w:rsidRPr="00C22A86">
        <w:rPr>
          <w:rFonts w:cs="Arial"/>
        </w:rPr>
        <w:t>konkrétn</w:t>
      </w:r>
      <w:r w:rsidR="00844994" w:rsidRPr="00C22A86">
        <w:rPr>
          <w:rFonts w:cs="Arial"/>
        </w:rPr>
        <w:t>í</w:t>
      </w:r>
      <w:r w:rsidRPr="00C22A86">
        <w:rPr>
          <w:rFonts w:cs="Arial"/>
        </w:rPr>
        <w:t xml:space="preserve"> požadavk</w:t>
      </w:r>
      <w:r w:rsidR="00844994" w:rsidRPr="00C22A86">
        <w:rPr>
          <w:rFonts w:cs="Arial"/>
        </w:rPr>
        <w:t>y</w:t>
      </w:r>
      <w:r w:rsidR="007C5635" w:rsidRPr="00C22A86">
        <w:rPr>
          <w:rFonts w:cs="Arial"/>
        </w:rPr>
        <w:t xml:space="preserve"> uvedené v následující tabulce</w:t>
      </w:r>
      <w:r w:rsidRPr="00C22A86">
        <w:rPr>
          <w:rFonts w:cs="Arial"/>
        </w:rPr>
        <w:t xml:space="preserve">: </w:t>
      </w:r>
    </w:p>
    <w:p w14:paraId="2718C428" w14:textId="37C36CFC" w:rsidR="009A78E8" w:rsidRPr="003871B3" w:rsidRDefault="009A78E8" w:rsidP="00486F2B">
      <w:pPr>
        <w:pStyle w:val="GSOdstavec"/>
        <w:rPr>
          <w:rFonts w:cs="Arial"/>
          <w:szCs w:val="22"/>
        </w:rPr>
      </w:pPr>
    </w:p>
    <w:tbl>
      <w:tblPr>
        <w:tblStyle w:val="TableGrid"/>
        <w:tblW w:w="9067" w:type="dxa"/>
        <w:tblLook w:val="04A0" w:firstRow="1" w:lastRow="0" w:firstColumn="1" w:lastColumn="0" w:noHBand="0" w:noVBand="1"/>
      </w:tblPr>
      <w:tblGrid>
        <w:gridCol w:w="1142"/>
        <w:gridCol w:w="7925"/>
      </w:tblGrid>
      <w:tr w:rsidR="00254CEF" w:rsidRPr="003871B3" w14:paraId="652EECB4" w14:textId="436252CD" w:rsidTr="00762EBB">
        <w:tc>
          <w:tcPr>
            <w:tcW w:w="1142" w:type="dxa"/>
          </w:tcPr>
          <w:p w14:paraId="3987F5A6" w14:textId="31305980" w:rsidR="00254CEF" w:rsidRPr="003871B3" w:rsidRDefault="00254CEF" w:rsidP="00486F2B">
            <w:pPr>
              <w:pStyle w:val="GSOdstavec"/>
              <w:rPr>
                <w:rFonts w:cs="Arial"/>
                <w:szCs w:val="22"/>
              </w:rPr>
            </w:pPr>
            <w:r w:rsidRPr="003871B3">
              <w:rPr>
                <w:rFonts w:cs="Arial"/>
                <w:szCs w:val="22"/>
              </w:rPr>
              <w:t>ZAM001</w:t>
            </w:r>
          </w:p>
        </w:tc>
        <w:tc>
          <w:tcPr>
            <w:tcW w:w="7925" w:type="dxa"/>
          </w:tcPr>
          <w:p w14:paraId="2FE7A843" w14:textId="1AEE4F13" w:rsidR="00254CEF" w:rsidRPr="003871B3" w:rsidRDefault="00254CEF" w:rsidP="00486F2B">
            <w:pPr>
              <w:pStyle w:val="GSOdstavec"/>
            </w:pPr>
            <w:r w:rsidRPr="003871B3">
              <w:t xml:space="preserve">Dodavatel poskytne součinnost při organizaci a vedení pracovních jednání v oblasti architektury a strategie migrace včetně finální fáze přechodu do provozu, řízení rizik a návrhu opatření k jejich eliminaci. </w:t>
            </w:r>
          </w:p>
        </w:tc>
      </w:tr>
      <w:tr w:rsidR="00254CEF" w:rsidRPr="003871B3" w14:paraId="66C4B9D1" w14:textId="2F562D85" w:rsidTr="00762EBB">
        <w:tc>
          <w:tcPr>
            <w:tcW w:w="1142" w:type="dxa"/>
          </w:tcPr>
          <w:p w14:paraId="37CF85D6" w14:textId="411D3B7A" w:rsidR="00254CEF" w:rsidRPr="003871B3" w:rsidRDefault="00254CEF" w:rsidP="00486F2B">
            <w:pPr>
              <w:pStyle w:val="GSOdstavec"/>
              <w:rPr>
                <w:rFonts w:cs="Arial"/>
                <w:szCs w:val="22"/>
              </w:rPr>
            </w:pPr>
            <w:r w:rsidRPr="003871B3">
              <w:rPr>
                <w:rFonts w:cs="Arial"/>
                <w:szCs w:val="22"/>
              </w:rPr>
              <w:t>ZAM006</w:t>
            </w:r>
          </w:p>
        </w:tc>
        <w:tc>
          <w:tcPr>
            <w:tcW w:w="7925" w:type="dxa"/>
          </w:tcPr>
          <w:p w14:paraId="41562D41" w14:textId="77777777" w:rsidR="00254CEF" w:rsidRPr="003871B3" w:rsidRDefault="00254CEF" w:rsidP="009A78E8">
            <w:pPr>
              <w:pStyle w:val="GSOdstavec"/>
              <w:rPr>
                <w:rFonts w:cs="Arial"/>
                <w:szCs w:val="22"/>
              </w:rPr>
            </w:pPr>
            <w:r w:rsidRPr="003871B3">
              <w:rPr>
                <w:rFonts w:cs="Arial"/>
                <w:szCs w:val="22"/>
              </w:rPr>
              <w:t xml:space="preserve">Dodavatel zajistí vytvoření a správu registru dat či datových skupin, které na základě informací od klíčových uživatelů či garantů není potřeba ze zdrojových systémů migrovat. </w:t>
            </w:r>
          </w:p>
          <w:p w14:paraId="2F4E37F0" w14:textId="7CD7724C" w:rsidR="00254CEF" w:rsidRPr="003871B3" w:rsidRDefault="00254CEF" w:rsidP="009A78E8">
            <w:pPr>
              <w:pStyle w:val="GSOdstavec"/>
              <w:rPr>
                <w:rFonts w:cs="Arial"/>
                <w:szCs w:val="22"/>
              </w:rPr>
            </w:pPr>
            <w:r w:rsidRPr="003871B3">
              <w:rPr>
                <w:rFonts w:cs="Arial"/>
                <w:szCs w:val="22"/>
              </w:rPr>
              <w:t xml:space="preserve">Registr dat vyloučených z migrace bude realizován jako specifikovaná oblast Mantis. Jednotlivé body registru tak budou sdíleny s </w:t>
            </w:r>
            <w:r w:rsidR="00262235">
              <w:rPr>
                <w:rFonts w:cs="Arial"/>
                <w:szCs w:val="22"/>
              </w:rPr>
              <w:t>Objednatel</w:t>
            </w:r>
            <w:r w:rsidRPr="003871B3">
              <w:rPr>
                <w:rFonts w:cs="Arial"/>
                <w:szCs w:val="22"/>
              </w:rPr>
              <w:t>em i dodavatelem ISZAM.</w:t>
            </w:r>
          </w:p>
        </w:tc>
      </w:tr>
      <w:tr w:rsidR="00254CEF" w:rsidRPr="003871B3" w14:paraId="73BF8E76" w14:textId="2FD5D57B" w:rsidTr="00762EBB">
        <w:tc>
          <w:tcPr>
            <w:tcW w:w="1142" w:type="dxa"/>
          </w:tcPr>
          <w:p w14:paraId="241979A5" w14:textId="619F420F" w:rsidR="00254CEF" w:rsidRPr="003871B3" w:rsidRDefault="00254CEF" w:rsidP="00486F2B">
            <w:pPr>
              <w:pStyle w:val="GSOdstavec"/>
              <w:rPr>
                <w:rFonts w:cs="Arial"/>
                <w:szCs w:val="22"/>
              </w:rPr>
            </w:pPr>
            <w:r w:rsidRPr="003871B3">
              <w:rPr>
                <w:rFonts w:cs="Arial"/>
                <w:szCs w:val="22"/>
              </w:rPr>
              <w:t>ZAM013</w:t>
            </w:r>
          </w:p>
        </w:tc>
        <w:tc>
          <w:tcPr>
            <w:tcW w:w="7925" w:type="dxa"/>
          </w:tcPr>
          <w:p w14:paraId="005C65F1" w14:textId="7048C32B" w:rsidR="00254CEF" w:rsidRPr="003871B3" w:rsidRDefault="00254CEF" w:rsidP="00486F2B">
            <w:pPr>
              <w:pStyle w:val="GSOdstavec"/>
              <w:rPr>
                <w:rFonts w:cs="Arial"/>
                <w:szCs w:val="22"/>
              </w:rPr>
            </w:pPr>
            <w:r w:rsidRPr="003871B3">
              <w:rPr>
                <w:rFonts w:cs="Arial"/>
                <w:szCs w:val="22"/>
              </w:rPr>
              <w:t xml:space="preserve">Dodavatel zajistí součinnost při kvantitativních testech akceptace migrace IS ZAM, tedy součinnost při přípravě kontrolního reportingu ke zdrojovým datům vytvořenému na základě specifikace </w:t>
            </w:r>
            <w:r w:rsidR="00262235">
              <w:rPr>
                <w:rFonts w:cs="Arial"/>
                <w:szCs w:val="22"/>
              </w:rPr>
              <w:t>Objednatel</w:t>
            </w:r>
            <w:r w:rsidRPr="003871B3">
              <w:rPr>
                <w:rFonts w:cs="Arial"/>
                <w:szCs w:val="22"/>
              </w:rPr>
              <w:t xml:space="preserve">e pro ověření správnosti a úplnosti migrovaných dat do cílového systému. </w:t>
            </w:r>
          </w:p>
        </w:tc>
      </w:tr>
      <w:tr w:rsidR="00254CEF" w:rsidRPr="003871B3" w14:paraId="5BE92690" w14:textId="718A1467" w:rsidTr="00762EBB">
        <w:tc>
          <w:tcPr>
            <w:tcW w:w="1142" w:type="dxa"/>
          </w:tcPr>
          <w:p w14:paraId="16C942C0" w14:textId="76914E04" w:rsidR="00254CEF" w:rsidRPr="003871B3" w:rsidRDefault="00254CEF" w:rsidP="00486F2B">
            <w:pPr>
              <w:pStyle w:val="GSOdstavec"/>
              <w:rPr>
                <w:rFonts w:cs="Arial"/>
                <w:szCs w:val="22"/>
              </w:rPr>
            </w:pPr>
            <w:r w:rsidRPr="003871B3">
              <w:rPr>
                <w:rFonts w:cs="Arial"/>
                <w:szCs w:val="22"/>
              </w:rPr>
              <w:t>ZAM014</w:t>
            </w:r>
          </w:p>
        </w:tc>
        <w:tc>
          <w:tcPr>
            <w:tcW w:w="7925" w:type="dxa"/>
          </w:tcPr>
          <w:p w14:paraId="4212879B" w14:textId="217002A0" w:rsidR="00254CEF" w:rsidRPr="003871B3" w:rsidRDefault="00254CEF" w:rsidP="00486F2B">
            <w:pPr>
              <w:pStyle w:val="GSOdstavec"/>
              <w:rPr>
                <w:rFonts w:cs="Arial"/>
                <w:szCs w:val="22"/>
              </w:rPr>
            </w:pPr>
            <w:r w:rsidRPr="003871B3">
              <w:rPr>
                <w:rFonts w:cs="Arial"/>
                <w:szCs w:val="22"/>
              </w:rPr>
              <w:t>Dodavatel zajistí poskytování první úrovně podpory pro informace o extrakci a transformaci dat ze zdrojových systémů a druhé úrovně podpory pro migraci dat.</w:t>
            </w:r>
          </w:p>
        </w:tc>
      </w:tr>
      <w:tr w:rsidR="00254CEF" w:rsidRPr="003871B3" w14:paraId="7CE58B6A" w14:textId="2C4C4D1A" w:rsidTr="00762EBB">
        <w:tc>
          <w:tcPr>
            <w:tcW w:w="1142" w:type="dxa"/>
          </w:tcPr>
          <w:p w14:paraId="1A7959AD" w14:textId="62F653AC" w:rsidR="00254CEF" w:rsidRPr="003871B3" w:rsidRDefault="00254CEF" w:rsidP="00486F2B">
            <w:pPr>
              <w:pStyle w:val="GSOdstavec"/>
              <w:rPr>
                <w:rFonts w:cs="Arial"/>
                <w:szCs w:val="22"/>
              </w:rPr>
            </w:pPr>
            <w:r w:rsidRPr="003871B3">
              <w:rPr>
                <w:rFonts w:cs="Arial"/>
                <w:szCs w:val="22"/>
              </w:rPr>
              <w:t>TP035</w:t>
            </w:r>
          </w:p>
        </w:tc>
        <w:tc>
          <w:tcPr>
            <w:tcW w:w="7925" w:type="dxa"/>
          </w:tcPr>
          <w:p w14:paraId="3C7202E3" w14:textId="3214D8A9" w:rsidR="00254CEF" w:rsidRPr="003871B3" w:rsidRDefault="00254CEF" w:rsidP="00486F2B">
            <w:pPr>
              <w:pStyle w:val="GSOdstavec"/>
              <w:rPr>
                <w:rFonts w:cs="Arial"/>
                <w:szCs w:val="22"/>
              </w:rPr>
            </w:pPr>
            <w:r w:rsidRPr="003871B3">
              <w:rPr>
                <w:rFonts w:cs="Arial"/>
                <w:szCs w:val="22"/>
              </w:rPr>
              <w:t xml:space="preserve">Dodavatel se bude aktivně podílet na analýze a návrhu datových přenosů a transformací mezi systémy </w:t>
            </w:r>
            <w:r w:rsidR="00262235">
              <w:rPr>
                <w:rFonts w:cs="Arial"/>
                <w:szCs w:val="22"/>
              </w:rPr>
              <w:t>Objednatel</w:t>
            </w:r>
            <w:r w:rsidRPr="003871B3">
              <w:rPr>
                <w:rFonts w:cs="Arial"/>
                <w:szCs w:val="22"/>
              </w:rPr>
              <w:t xml:space="preserve">e s cílem dosáhnout maximální efektivity přenosů s využitím co nejmenšího množství zdrojů. Bude se aktivně účastnit oponentur návrhů řešení, které budou obsahovat části, týkající se datových přenosů a transformací mezi systémy </w:t>
            </w:r>
            <w:r w:rsidR="00262235">
              <w:rPr>
                <w:rFonts w:cs="Arial"/>
                <w:szCs w:val="22"/>
              </w:rPr>
              <w:t>Objednatel</w:t>
            </w:r>
            <w:r w:rsidRPr="003871B3">
              <w:rPr>
                <w:rFonts w:cs="Arial"/>
                <w:szCs w:val="22"/>
              </w:rPr>
              <w:t>e.</w:t>
            </w:r>
          </w:p>
        </w:tc>
      </w:tr>
      <w:tr w:rsidR="00254CEF" w:rsidRPr="003871B3" w14:paraId="403346BB" w14:textId="77EA6C7F" w:rsidTr="00762EBB">
        <w:tc>
          <w:tcPr>
            <w:tcW w:w="1142" w:type="dxa"/>
          </w:tcPr>
          <w:p w14:paraId="2A13083D" w14:textId="45E5CF99" w:rsidR="00254CEF" w:rsidRPr="003871B3" w:rsidRDefault="00254CEF" w:rsidP="00486F2B">
            <w:pPr>
              <w:pStyle w:val="GSOdstavec"/>
              <w:rPr>
                <w:rFonts w:cs="Arial"/>
                <w:szCs w:val="22"/>
              </w:rPr>
            </w:pPr>
            <w:r w:rsidRPr="003871B3">
              <w:rPr>
                <w:rFonts w:cs="Arial"/>
                <w:szCs w:val="22"/>
              </w:rPr>
              <w:t>TP037</w:t>
            </w:r>
          </w:p>
        </w:tc>
        <w:tc>
          <w:tcPr>
            <w:tcW w:w="7925" w:type="dxa"/>
          </w:tcPr>
          <w:p w14:paraId="372FCF5F" w14:textId="29E9AF74" w:rsidR="00254CEF" w:rsidRPr="003871B3" w:rsidRDefault="00254CEF" w:rsidP="00486F2B">
            <w:pPr>
              <w:pStyle w:val="GSOdstavec"/>
              <w:rPr>
                <w:rFonts w:cs="Arial"/>
                <w:szCs w:val="22"/>
              </w:rPr>
            </w:pPr>
            <w:r w:rsidRPr="003871B3">
              <w:rPr>
                <w:rFonts w:cs="Arial"/>
                <w:szCs w:val="22"/>
              </w:rPr>
              <w:t>Dodavatel bude poskytovat architekturní dohled v oblasti datových přenosů a transformací</w:t>
            </w:r>
            <w:r>
              <w:rPr>
                <w:rFonts w:cs="Arial"/>
                <w:szCs w:val="22"/>
              </w:rPr>
              <w:t xml:space="preserve"> v rozsahu dodávky projektu LIS</w:t>
            </w:r>
            <w:r w:rsidRPr="003871B3">
              <w:rPr>
                <w:rFonts w:cs="Arial"/>
                <w:szCs w:val="22"/>
              </w:rPr>
              <w:t xml:space="preserve">. </w:t>
            </w:r>
          </w:p>
        </w:tc>
      </w:tr>
      <w:tr w:rsidR="00254CEF" w:rsidRPr="003871B3" w14:paraId="1EB001FE" w14:textId="026CFE27" w:rsidTr="00762EBB">
        <w:tc>
          <w:tcPr>
            <w:tcW w:w="1142" w:type="dxa"/>
          </w:tcPr>
          <w:p w14:paraId="0D225041" w14:textId="5213F04E" w:rsidR="00254CEF" w:rsidRPr="003871B3" w:rsidRDefault="00254CEF" w:rsidP="00486F2B">
            <w:pPr>
              <w:pStyle w:val="GSOdstavec"/>
              <w:rPr>
                <w:rFonts w:cs="Arial"/>
                <w:szCs w:val="22"/>
              </w:rPr>
            </w:pPr>
            <w:r w:rsidRPr="003871B3">
              <w:rPr>
                <w:rFonts w:cs="Arial"/>
                <w:szCs w:val="22"/>
              </w:rPr>
              <w:t>BEZ001</w:t>
            </w:r>
          </w:p>
        </w:tc>
        <w:tc>
          <w:tcPr>
            <w:tcW w:w="7925" w:type="dxa"/>
          </w:tcPr>
          <w:p w14:paraId="6941AD62" w14:textId="4B5B65C8" w:rsidR="00254CEF" w:rsidRPr="00952CF4" w:rsidRDefault="00254CEF" w:rsidP="00952CF4">
            <w:pPr>
              <w:pStyle w:val="GSOdstavec"/>
              <w:rPr>
                <w:rFonts w:cs="Arial"/>
                <w:szCs w:val="22"/>
              </w:rPr>
            </w:pPr>
            <w:r w:rsidRPr="00952CF4">
              <w:rPr>
                <w:rFonts w:cs="Arial"/>
                <w:szCs w:val="22"/>
              </w:rPr>
              <w:t>Systém musí být koncipován tak, aby síťová komunikace mezi prezentační, aplikační a databázovou vrstvou využívala výhradně protokol TCP, přičemž na straně komponenty poskytující služby (server) využívala statických, předem známých portů. Použití protokolu UDP je možné výhradně pro nezbytnou komunikaci v rámci dohledu nebo řízení (cluster heartbeat apod.). Volitelně musí umožnit použití šifrované komunikace.</w:t>
            </w:r>
          </w:p>
          <w:p w14:paraId="17A56CEF" w14:textId="77777777" w:rsidR="00254CEF" w:rsidRPr="00952CF4" w:rsidRDefault="00254CEF" w:rsidP="00952CF4">
            <w:pPr>
              <w:pStyle w:val="GSOdstavec"/>
              <w:rPr>
                <w:rFonts w:cs="Arial"/>
                <w:szCs w:val="22"/>
              </w:rPr>
            </w:pPr>
            <w:r w:rsidRPr="00952CF4">
              <w:rPr>
                <w:rFonts w:cs="Arial"/>
                <w:szCs w:val="22"/>
              </w:rPr>
              <w:t>K zajištění ochrany integrity komunikačních sítí dodavatel:</w:t>
            </w:r>
          </w:p>
          <w:p w14:paraId="4050C89E" w14:textId="77777777" w:rsidR="00254CEF" w:rsidRPr="003871B3" w:rsidRDefault="00254CEF" w:rsidP="00C70B2D">
            <w:pPr>
              <w:pStyle w:val="GSOdstavec"/>
              <w:spacing w:before="0" w:after="0"/>
            </w:pPr>
            <w:r w:rsidRPr="003871B3">
              <w:t>a) navrhne řízení bezpečného přístupu mezi vnitřní a vnější sítí,</w:t>
            </w:r>
          </w:p>
          <w:p w14:paraId="762D2D49" w14:textId="77777777" w:rsidR="00254CEF" w:rsidRPr="003871B3" w:rsidRDefault="00254CEF" w:rsidP="00C70B2D">
            <w:pPr>
              <w:pStyle w:val="GSOdstavec"/>
              <w:spacing w:before="0" w:after="0"/>
            </w:pPr>
            <w:r w:rsidRPr="003871B3">
              <w:t>b) připraví návrh a zrealizuje implementaci rozdělení SW/HW komponent do oddělených segmentů sítě (segmentace interní sítě, využití DMZ),</w:t>
            </w:r>
          </w:p>
          <w:p w14:paraId="3E2F4C32" w14:textId="77777777" w:rsidR="00254CEF" w:rsidRPr="003871B3" w:rsidRDefault="00254CEF" w:rsidP="00C70B2D">
            <w:pPr>
              <w:pStyle w:val="GSOdstavec"/>
              <w:spacing w:before="0" w:after="0"/>
            </w:pPr>
            <w:r w:rsidRPr="003871B3">
              <w:t>c) navrhne a aplikuje použití kryptografických prostředků pro vzdálený přístup dle VKB §26,</w:t>
            </w:r>
          </w:p>
          <w:p w14:paraId="378AEB9D" w14:textId="77777777" w:rsidR="00254CEF" w:rsidRPr="003871B3" w:rsidRDefault="00254CEF" w:rsidP="00C70B2D">
            <w:pPr>
              <w:pStyle w:val="GSOdstavec"/>
              <w:spacing w:before="0" w:after="0"/>
            </w:pPr>
            <w:r w:rsidRPr="003871B3">
              <w:t>d) navrhne a zrealizuje opatření k blokaci přenášených dat ohrožujících integritu komunikačních sítí (FW, IDS/IPS, a další,…),</w:t>
            </w:r>
          </w:p>
          <w:p w14:paraId="677DAA84" w14:textId="77777777" w:rsidR="00254CEF" w:rsidRPr="003871B3" w:rsidRDefault="00254CEF" w:rsidP="00C70B2D">
            <w:pPr>
              <w:pStyle w:val="GSOdstavec"/>
              <w:spacing w:before="0" w:after="0"/>
            </w:pPr>
            <w:r w:rsidRPr="003871B3">
              <w:t>e) v případě, že předmětem dodávky není dodávka komunikačních sítí, dodavatel připraví návrh a součinnostní požadavky na konfiguraci sítě (provozní, bezpečnostní a technologické parametry).</w:t>
            </w:r>
          </w:p>
          <w:p w14:paraId="786D9312" w14:textId="603B1730" w:rsidR="00254CEF" w:rsidRPr="003871B3" w:rsidRDefault="00254CEF" w:rsidP="00486F2B">
            <w:pPr>
              <w:pStyle w:val="GSOdstavec"/>
              <w:rPr>
                <w:szCs w:val="16"/>
              </w:rPr>
            </w:pPr>
            <w:r w:rsidRPr="00952CF4">
              <w:rPr>
                <w:rFonts w:cs="Arial"/>
                <w:szCs w:val="22"/>
              </w:rPr>
              <w:t xml:space="preserve">S ohledem na fakt, že předmětem poptávky není dodávka a konfigurace komunikačních sítí či jejich komponent a </w:t>
            </w:r>
            <w:r w:rsidR="00262235" w:rsidRPr="00952CF4">
              <w:rPr>
                <w:rFonts w:cs="Arial"/>
                <w:szCs w:val="22"/>
              </w:rPr>
              <w:t>Objednatel</w:t>
            </w:r>
            <w:r w:rsidRPr="00952CF4">
              <w:rPr>
                <w:rFonts w:cs="Arial"/>
                <w:szCs w:val="22"/>
              </w:rPr>
              <w:t xml:space="preserve"> poskytne pro nasazení systému nezbytnou komunikační infrastrukturu, Dodavatel </w:t>
            </w:r>
            <w:r w:rsidR="00CA69E3" w:rsidRPr="00952CF4">
              <w:rPr>
                <w:rFonts w:cs="Arial"/>
                <w:szCs w:val="22"/>
              </w:rPr>
              <w:t xml:space="preserve">poskytne </w:t>
            </w:r>
            <w:r w:rsidRPr="00952CF4">
              <w:rPr>
                <w:rFonts w:cs="Arial"/>
                <w:szCs w:val="22"/>
              </w:rPr>
              <w:t>v souladu s bodem e) požadovaný návrh a součinnostní požadavky na konfiguraci sítě (provozní, bezpečnostní a technologické parametry).</w:t>
            </w:r>
            <w:r w:rsidRPr="00952CF4">
              <w:rPr>
                <w:rFonts w:cs="Arial"/>
                <w:szCs w:val="22"/>
              </w:rPr>
              <w:br/>
              <w:t xml:space="preserve">Nad rámec výše uvedeného je Dodavatel připravený aktivně participovat, či naplnit dílčí požadavky a) až d) ve vztahu k jeho dodávanému systému v součinnosti s </w:t>
            </w:r>
            <w:r w:rsidR="00262235" w:rsidRPr="00952CF4">
              <w:rPr>
                <w:rFonts w:cs="Arial"/>
                <w:szCs w:val="22"/>
              </w:rPr>
              <w:t>Objednatel</w:t>
            </w:r>
            <w:r w:rsidRPr="00952CF4">
              <w:rPr>
                <w:rFonts w:cs="Arial"/>
                <w:szCs w:val="22"/>
              </w:rPr>
              <w:t>em.</w:t>
            </w:r>
          </w:p>
        </w:tc>
      </w:tr>
      <w:tr w:rsidR="00254CEF" w:rsidRPr="003871B3" w14:paraId="6A61AFD0" w14:textId="149761DB" w:rsidTr="00762EBB">
        <w:tc>
          <w:tcPr>
            <w:tcW w:w="1142" w:type="dxa"/>
          </w:tcPr>
          <w:p w14:paraId="614928D7" w14:textId="5E7D0FF8" w:rsidR="00254CEF" w:rsidRPr="003871B3" w:rsidRDefault="00254CEF" w:rsidP="00486F2B">
            <w:pPr>
              <w:pStyle w:val="GSOdstavec"/>
              <w:rPr>
                <w:rFonts w:cs="Arial"/>
                <w:szCs w:val="22"/>
              </w:rPr>
            </w:pPr>
            <w:r w:rsidRPr="003871B3">
              <w:rPr>
                <w:rFonts w:cs="Arial"/>
                <w:szCs w:val="22"/>
              </w:rPr>
              <w:t>BEZ007</w:t>
            </w:r>
          </w:p>
        </w:tc>
        <w:tc>
          <w:tcPr>
            <w:tcW w:w="7925" w:type="dxa"/>
          </w:tcPr>
          <w:p w14:paraId="20EAF2DA" w14:textId="62F65ACF" w:rsidR="00254CEF" w:rsidRPr="003871B3" w:rsidRDefault="00254CEF" w:rsidP="00C70B2D">
            <w:pPr>
              <w:pStyle w:val="GSOdstavec"/>
            </w:pPr>
            <w:r w:rsidRPr="003871B3">
              <w:t>V případě nově dodávané aplikace (systému) v rámci projektu LIS dodavatel zajistí, aby systém logoval minimálně všechny události požadované ZoKB a VyKB a dle platných nařízení pro logování událostí vydaných NÚKIB. Dodavatel zajistí logování u stávajících systémů, které má ve správě dle „best practice“ a možností nastavení logování pro dané systémy.</w:t>
            </w:r>
          </w:p>
          <w:p w14:paraId="70736178" w14:textId="77777777" w:rsidR="00254CEF" w:rsidRPr="003871B3" w:rsidRDefault="00254CEF" w:rsidP="00C70B2D">
            <w:pPr>
              <w:pStyle w:val="GSOdstavec"/>
            </w:pPr>
            <w:r w:rsidRPr="003871B3">
              <w:t>Nově dodávaný systém (aplikace) systém musí o sobě poskytovat informace důležité pro audit prováděných činností. Každá činnost každého uživatele musí být evidována. Záznam událostí o činnosti uživatele je obsažen v logu: datum a čas; časové pásmo; ID uživatele; Ipaddr/port cílového IS; Ipaddr/port zdroje (uživatele/aplikace); operace a položky, se kterými uživatel pracoval. V záznamu nesmí být ukládány datové hodnoty. Funkcionalita musí umožnit na základě změny konfigurace měnit úroveň detailu záznamu až na úroveň databázových položek, výběr logovaných operací a volbu lokální uložení záznamu nebo jeho odeslání na vzdálený log systém (Ipaddr+TCP/UDP port). Oprávnění ke změně konfigurace lokální/vzdálené logování a míra detailu musí být přidělitelné odděleně od správce LIS. Výstup logů ve formátu XML/soubor v definovaném úložišti, volba formátu logu (minimální podporovaný formát je CEF).</w:t>
            </w:r>
          </w:p>
          <w:p w14:paraId="4EB0A974" w14:textId="45E82652" w:rsidR="00254CEF" w:rsidRPr="003871B3" w:rsidRDefault="00254CEF" w:rsidP="00C26BD9">
            <w:pPr>
              <w:pStyle w:val="GSOdstavec"/>
              <w:rPr>
                <w:rFonts w:cs="Arial"/>
                <w:szCs w:val="22"/>
              </w:rPr>
            </w:pPr>
            <w:r w:rsidRPr="00770125">
              <w:rPr>
                <w:rFonts w:eastAsia="AR PL SungtiL GB"/>
                <w:color w:val="auto"/>
                <w:szCs w:val="16"/>
              </w:rPr>
              <w:t>Bezpečnostně relevantní události systémů a aplikačních celků nově dodávaných aplikací či systémů v rámci projektu LIS budou zaznamenávány do auditních logů odpovídajících dané technologii. Operační systémy a systémové komponenty budou používat nativní formáty dané platformy. Logování aplikačních celků bude konfigurovatelné tak aby bylo možné určit míru podrobnosti auditní informace v závislosti na možnostech dané technologie. Nezávisle na podrobnosti daného záznamu bude vždy logována základní sada informací tak, jak je požadován</w:t>
            </w:r>
            <w:r w:rsidR="00A76BDC">
              <w:rPr>
                <w:rFonts w:eastAsia="AR PL SungtiL GB"/>
                <w:color w:val="auto"/>
                <w:szCs w:val="16"/>
              </w:rPr>
              <w:t>o</w:t>
            </w:r>
            <w:r w:rsidRPr="00770125">
              <w:rPr>
                <w:rFonts w:eastAsia="AR PL SungtiL GB"/>
                <w:color w:val="auto"/>
                <w:szCs w:val="16"/>
              </w:rPr>
              <w:t xml:space="preserve"> vyhl. </w:t>
            </w:r>
            <w:r>
              <w:rPr>
                <w:rFonts w:eastAsia="AR PL SungtiL GB"/>
                <w:color w:val="auto"/>
                <w:szCs w:val="16"/>
              </w:rPr>
              <w:t>82</w:t>
            </w:r>
            <w:r w:rsidRPr="00770125">
              <w:rPr>
                <w:rFonts w:eastAsia="AR PL SungtiL GB"/>
                <w:color w:val="auto"/>
                <w:szCs w:val="16"/>
              </w:rPr>
              <w:t>/201</w:t>
            </w:r>
            <w:r>
              <w:rPr>
                <w:rFonts w:eastAsia="AR PL SungtiL GB"/>
                <w:color w:val="auto"/>
                <w:szCs w:val="16"/>
              </w:rPr>
              <w:t>8</w:t>
            </w:r>
            <w:r w:rsidRPr="00770125">
              <w:rPr>
                <w:rFonts w:eastAsia="AR PL SungtiL GB"/>
                <w:color w:val="auto"/>
                <w:szCs w:val="16"/>
              </w:rPr>
              <w:t xml:space="preserve"> Sb a </w:t>
            </w:r>
            <w:r>
              <w:rPr>
                <w:rFonts w:eastAsia="AR PL SungtiL GB"/>
                <w:color w:val="auto"/>
                <w:szCs w:val="16"/>
              </w:rPr>
              <w:t xml:space="preserve">jsou </w:t>
            </w:r>
            <w:r w:rsidRPr="00770125">
              <w:rPr>
                <w:rFonts w:eastAsia="AR PL SungtiL GB"/>
                <w:color w:val="auto"/>
                <w:szCs w:val="16"/>
              </w:rPr>
              <w:t>podporovány technologií MS SQL Server 2014. Podrobnosti a granularita budou předmětem konfiguračních změn.</w:t>
            </w:r>
          </w:p>
        </w:tc>
      </w:tr>
      <w:tr w:rsidR="00254CEF" w:rsidRPr="003871B3" w14:paraId="69FCC3A8" w14:textId="0CB8D7CF" w:rsidTr="00762EBB">
        <w:tc>
          <w:tcPr>
            <w:tcW w:w="1142" w:type="dxa"/>
          </w:tcPr>
          <w:p w14:paraId="12FBA471" w14:textId="393DDF0A" w:rsidR="00254CEF" w:rsidRPr="003871B3" w:rsidRDefault="00254CEF" w:rsidP="00486F2B">
            <w:pPr>
              <w:pStyle w:val="GSOdstavec"/>
              <w:rPr>
                <w:rFonts w:cs="Arial"/>
                <w:szCs w:val="22"/>
              </w:rPr>
            </w:pPr>
            <w:r w:rsidRPr="003871B3">
              <w:rPr>
                <w:rFonts w:cs="Arial"/>
                <w:szCs w:val="22"/>
              </w:rPr>
              <w:t>BEZ016</w:t>
            </w:r>
          </w:p>
        </w:tc>
        <w:tc>
          <w:tcPr>
            <w:tcW w:w="7925" w:type="dxa"/>
          </w:tcPr>
          <w:p w14:paraId="5AE04D27" w14:textId="7612F380" w:rsidR="00254CEF" w:rsidRPr="003871B3" w:rsidRDefault="00254CEF" w:rsidP="00486F2B">
            <w:pPr>
              <w:pStyle w:val="GSOdstavec"/>
              <w:rPr>
                <w:rFonts w:cs="Arial"/>
                <w:szCs w:val="22"/>
              </w:rPr>
            </w:pPr>
            <w:r w:rsidRPr="003871B3">
              <w:rPr>
                <w:rFonts w:cs="Arial"/>
                <w:szCs w:val="22"/>
              </w:rPr>
              <w:t xml:space="preserve">Dodavatel poskytne součinnost při identifikaci a klasifikaci aktiv (primárních i podpůrných) používaných v rámci systému a vazeb mezi nimi, pokud jej k tomu vyzve </w:t>
            </w:r>
            <w:r w:rsidR="00262235">
              <w:rPr>
                <w:rFonts w:cs="Arial"/>
                <w:szCs w:val="22"/>
              </w:rPr>
              <w:t>Objednatel</w:t>
            </w:r>
            <w:r w:rsidRPr="003871B3">
              <w:rPr>
                <w:rFonts w:cs="Arial"/>
                <w:szCs w:val="22"/>
              </w:rPr>
              <w:t>. V případě, že dodavatel bude zpracovávat analýzu rizik, identifikuje v součinnosti s garanty koncových systémů aktiva.</w:t>
            </w:r>
          </w:p>
        </w:tc>
      </w:tr>
      <w:tr w:rsidR="00254CEF" w:rsidRPr="003871B3" w14:paraId="65233790" w14:textId="5711648A" w:rsidTr="00762EBB">
        <w:tc>
          <w:tcPr>
            <w:tcW w:w="1142" w:type="dxa"/>
          </w:tcPr>
          <w:p w14:paraId="4C75D3B7" w14:textId="380045A5" w:rsidR="00254CEF" w:rsidRPr="003871B3" w:rsidRDefault="00254CEF" w:rsidP="00486F2B">
            <w:pPr>
              <w:pStyle w:val="GSOdstavec"/>
              <w:rPr>
                <w:rFonts w:cs="Arial"/>
                <w:szCs w:val="22"/>
              </w:rPr>
            </w:pPr>
            <w:r w:rsidRPr="003871B3">
              <w:rPr>
                <w:rFonts w:cs="Arial"/>
                <w:szCs w:val="22"/>
              </w:rPr>
              <w:t>BEZ018</w:t>
            </w:r>
          </w:p>
        </w:tc>
        <w:tc>
          <w:tcPr>
            <w:tcW w:w="7925" w:type="dxa"/>
          </w:tcPr>
          <w:p w14:paraId="13177EE2" w14:textId="50145BED" w:rsidR="00254CEF" w:rsidRPr="003871B3" w:rsidRDefault="00254CEF" w:rsidP="00952CF4">
            <w:pPr>
              <w:pStyle w:val="GSOdstavec"/>
              <w:rPr>
                <w:rFonts w:cs="Arial"/>
                <w:szCs w:val="22"/>
              </w:rPr>
            </w:pPr>
            <w:r w:rsidRPr="003871B3">
              <w:rPr>
                <w:rFonts w:cs="Arial"/>
                <w:szCs w:val="22"/>
              </w:rPr>
              <w:t xml:space="preserve">Dodavatel zajistí na základě požadavku </w:t>
            </w:r>
            <w:r w:rsidR="00262235">
              <w:rPr>
                <w:rFonts w:cs="Arial"/>
                <w:szCs w:val="22"/>
              </w:rPr>
              <w:t>Objednatel</w:t>
            </w:r>
            <w:r w:rsidRPr="003871B3">
              <w:rPr>
                <w:rFonts w:cs="Arial"/>
                <w:szCs w:val="22"/>
              </w:rPr>
              <w:t>e spolupráci při provedení analýzy rizik (identifikace podpůrných a technických aktiv, identifikace vazeb na primární aktiva, ohodnocení hrozeb a zranitelností podpůrných a technických aktiv), zpracování prohlášení o aplikovatelnosti a plánu zvládání rizik (návrh technických a organizačních opatření) v oblasti předmětu dodávky. Dodavatel dodá podklady v následujícím minimálním rozsahu:</w:t>
            </w:r>
          </w:p>
          <w:p w14:paraId="076B6957" w14:textId="77777777" w:rsidR="00254CEF" w:rsidRPr="003871B3" w:rsidRDefault="00254CEF" w:rsidP="00C70B2D">
            <w:pPr>
              <w:pStyle w:val="GSOdstavec"/>
              <w:spacing w:before="0" w:after="0"/>
              <w:rPr>
                <w:rFonts w:cs="Arial"/>
                <w:szCs w:val="22"/>
              </w:rPr>
            </w:pPr>
            <w:r w:rsidRPr="003871B3">
              <w:rPr>
                <w:rFonts w:cs="Arial"/>
                <w:szCs w:val="22"/>
              </w:rPr>
              <w:t xml:space="preserve">1. Podklady pro provedení analýzy rizik a přípravu zprávy o hodnocení aktiv a rizik </w:t>
            </w:r>
          </w:p>
          <w:p w14:paraId="3EB4DBCA" w14:textId="77777777" w:rsidR="00254CEF" w:rsidRPr="003871B3" w:rsidRDefault="00254CEF" w:rsidP="00C70B2D">
            <w:pPr>
              <w:pStyle w:val="GSOdstavec"/>
              <w:spacing w:before="0" w:after="0"/>
              <w:rPr>
                <w:rFonts w:cs="Arial"/>
                <w:szCs w:val="22"/>
              </w:rPr>
            </w:pPr>
            <w:r w:rsidRPr="003871B3">
              <w:rPr>
                <w:rFonts w:cs="Arial"/>
                <w:szCs w:val="22"/>
              </w:rPr>
              <w:t xml:space="preserve">a) Přehled podpůrných aktiv - identifikace a popis podpůrných aktiv, - určení garantů podpůrných aktiv, - určení vazeb mezi primárními a podpůrnými aktivy, </w:t>
            </w:r>
          </w:p>
          <w:p w14:paraId="3B609C2A" w14:textId="77777777" w:rsidR="00254CEF" w:rsidRPr="003871B3" w:rsidRDefault="00254CEF" w:rsidP="00C70B2D">
            <w:pPr>
              <w:pStyle w:val="GSOdstavec"/>
              <w:spacing w:before="0" w:after="0"/>
              <w:rPr>
                <w:rFonts w:cs="Arial"/>
                <w:szCs w:val="22"/>
              </w:rPr>
            </w:pPr>
            <w:r w:rsidRPr="003871B3">
              <w:rPr>
                <w:rFonts w:cs="Arial"/>
                <w:szCs w:val="22"/>
              </w:rPr>
              <w:t>b) Identifikování a hodnocení rizik - hodnocení existujících hrozeb, - hodnocení existujících zranitelností, hodnocení existujících opatření (aplikovaných v IS nebo dodávaných službách),</w:t>
            </w:r>
          </w:p>
          <w:p w14:paraId="0453D18D" w14:textId="77777777" w:rsidR="00254CEF" w:rsidRPr="003871B3" w:rsidRDefault="00254CEF" w:rsidP="00C70B2D">
            <w:pPr>
              <w:pStyle w:val="GSOdstavec"/>
              <w:spacing w:before="0" w:after="0"/>
              <w:rPr>
                <w:rFonts w:cs="Arial"/>
                <w:szCs w:val="22"/>
              </w:rPr>
            </w:pPr>
            <w:r w:rsidRPr="003871B3">
              <w:rPr>
                <w:rFonts w:cs="Arial"/>
                <w:szCs w:val="22"/>
              </w:rPr>
              <w:t xml:space="preserve">2. Podklady pro Prohlášení o aplikovatelnosti </w:t>
            </w:r>
          </w:p>
          <w:p w14:paraId="1E9ABCFB" w14:textId="77777777" w:rsidR="00254CEF" w:rsidRPr="003871B3" w:rsidRDefault="00254CEF" w:rsidP="00C70B2D">
            <w:pPr>
              <w:pStyle w:val="GSOdstavec"/>
              <w:spacing w:before="0" w:after="0"/>
              <w:rPr>
                <w:rFonts w:cs="Arial"/>
                <w:szCs w:val="22"/>
              </w:rPr>
            </w:pPr>
            <w:r w:rsidRPr="003871B3">
              <w:rPr>
                <w:rFonts w:cs="Arial"/>
                <w:szCs w:val="22"/>
              </w:rPr>
              <w:t>a) Přehled zavedených bezpečnostních opatření.</w:t>
            </w:r>
          </w:p>
          <w:p w14:paraId="3150A9D9" w14:textId="77777777" w:rsidR="00254CEF" w:rsidRPr="003871B3" w:rsidRDefault="00254CEF" w:rsidP="00C70B2D">
            <w:pPr>
              <w:pStyle w:val="GSOdstavec"/>
              <w:spacing w:before="0" w:after="0"/>
              <w:rPr>
                <w:rFonts w:cs="Arial"/>
                <w:szCs w:val="22"/>
              </w:rPr>
            </w:pPr>
            <w:r w:rsidRPr="003871B3">
              <w:rPr>
                <w:rFonts w:cs="Arial"/>
                <w:szCs w:val="22"/>
              </w:rPr>
              <w:t xml:space="preserve">3. Podklady pro plán zvládání rizik </w:t>
            </w:r>
          </w:p>
          <w:p w14:paraId="7E90BA4D" w14:textId="77777777" w:rsidR="00254CEF" w:rsidRPr="003871B3" w:rsidRDefault="00254CEF" w:rsidP="00C70B2D">
            <w:pPr>
              <w:pStyle w:val="GSOdstavec"/>
              <w:spacing w:before="0" w:after="0"/>
              <w:rPr>
                <w:rFonts w:cs="Arial"/>
                <w:szCs w:val="22"/>
              </w:rPr>
            </w:pPr>
            <w:r w:rsidRPr="003871B3">
              <w:rPr>
                <w:rFonts w:cs="Arial"/>
                <w:szCs w:val="22"/>
              </w:rPr>
              <w:t xml:space="preserve">a) Potřebné zdroje pro jednotlivá bezpečnostní opatření pro zvládání rizik vyhodnocených v rámci analýzy rizik. </w:t>
            </w:r>
          </w:p>
          <w:p w14:paraId="11481F53" w14:textId="77777777" w:rsidR="00254CEF" w:rsidRPr="003871B3" w:rsidRDefault="00254CEF" w:rsidP="00C70B2D">
            <w:pPr>
              <w:pStyle w:val="GSOdstavec"/>
              <w:spacing w:before="0" w:after="0"/>
              <w:rPr>
                <w:rFonts w:cs="Arial"/>
                <w:szCs w:val="22"/>
              </w:rPr>
            </w:pPr>
            <w:r w:rsidRPr="003871B3">
              <w:rPr>
                <w:rFonts w:cs="Arial"/>
                <w:szCs w:val="22"/>
              </w:rPr>
              <w:t xml:space="preserve">b) Termíny zavedení jednotlivých bezpečnostních opatření pro zvládání rizik. </w:t>
            </w:r>
          </w:p>
          <w:p w14:paraId="75C41544" w14:textId="77777777" w:rsidR="00254CEF" w:rsidRDefault="00254CEF" w:rsidP="0013605D">
            <w:pPr>
              <w:pStyle w:val="GSOdstavec"/>
              <w:spacing w:before="0" w:after="0"/>
              <w:rPr>
                <w:rFonts w:cs="Arial"/>
                <w:szCs w:val="22"/>
              </w:rPr>
            </w:pPr>
            <w:r w:rsidRPr="003871B3">
              <w:rPr>
                <w:rFonts w:cs="Arial"/>
                <w:szCs w:val="22"/>
              </w:rPr>
              <w:t>c) Způsoby hodnocení Úspěšnosti zavedení jednotlivých bezpečnostních opatření pro zvládání rizik</w:t>
            </w:r>
          </w:p>
          <w:p w14:paraId="5F47EB85" w14:textId="2A0F6F21" w:rsidR="00952CF4" w:rsidRPr="003871B3" w:rsidRDefault="00952CF4" w:rsidP="0013605D">
            <w:pPr>
              <w:pStyle w:val="GSOdstavec"/>
              <w:spacing w:before="0" w:after="0"/>
              <w:rPr>
                <w:rFonts w:cs="Arial"/>
                <w:szCs w:val="22"/>
              </w:rPr>
            </w:pPr>
          </w:p>
        </w:tc>
      </w:tr>
      <w:tr w:rsidR="00254CEF" w:rsidRPr="003871B3" w14:paraId="49AEBCB6" w14:textId="435269AF" w:rsidTr="00762EBB">
        <w:tc>
          <w:tcPr>
            <w:tcW w:w="1142" w:type="dxa"/>
          </w:tcPr>
          <w:p w14:paraId="53F576A8" w14:textId="32E1F338" w:rsidR="00254CEF" w:rsidRPr="003871B3" w:rsidRDefault="00254CEF" w:rsidP="00486F2B">
            <w:pPr>
              <w:pStyle w:val="GSOdstavec"/>
              <w:rPr>
                <w:rFonts w:cs="Arial"/>
                <w:szCs w:val="22"/>
              </w:rPr>
            </w:pPr>
            <w:r w:rsidRPr="003871B3">
              <w:rPr>
                <w:rFonts w:cs="Arial"/>
                <w:szCs w:val="22"/>
              </w:rPr>
              <w:t>BEZ019</w:t>
            </w:r>
          </w:p>
        </w:tc>
        <w:tc>
          <w:tcPr>
            <w:tcW w:w="7925" w:type="dxa"/>
          </w:tcPr>
          <w:p w14:paraId="69E00B15" w14:textId="0A03DE2A" w:rsidR="00254CEF" w:rsidRPr="003871B3" w:rsidRDefault="00254CEF" w:rsidP="00C70B2D">
            <w:pPr>
              <w:pStyle w:val="GSOdstavec"/>
              <w:rPr>
                <w:rFonts w:cs="Arial"/>
                <w:szCs w:val="22"/>
              </w:rPr>
            </w:pPr>
            <w:r w:rsidRPr="003871B3">
              <w:rPr>
                <w:rFonts w:cs="Arial"/>
                <w:szCs w:val="22"/>
              </w:rPr>
              <w:t>Dodavatel poskytne spolupráci MKB a architektovi KB v případě řešení incidentu, zavádění bezpečnostních opatření v rámci systému, nebo poskytnutí informací o stávajícím zabezpečení spravovaného systému. Dodavatel poskytne součinnost garantovi koncového systému v rámci řízení rizik</w:t>
            </w:r>
            <w:r>
              <w:rPr>
                <w:rFonts w:cs="Arial"/>
                <w:szCs w:val="22"/>
              </w:rPr>
              <w:t>,</w:t>
            </w:r>
            <w:r w:rsidRPr="003871B3">
              <w:rPr>
                <w:rFonts w:cs="Arial"/>
                <w:szCs w:val="22"/>
              </w:rPr>
              <w:t xml:space="preserve"> viz požadavek BEZ0</w:t>
            </w:r>
            <w:r>
              <w:rPr>
                <w:rFonts w:cs="Arial"/>
                <w:szCs w:val="22"/>
              </w:rPr>
              <w:t>16</w:t>
            </w:r>
            <w:r w:rsidRPr="003871B3">
              <w:rPr>
                <w:rFonts w:cs="Arial"/>
                <w:szCs w:val="22"/>
              </w:rPr>
              <w:t>.</w:t>
            </w:r>
          </w:p>
          <w:p w14:paraId="0AD5DDE8" w14:textId="381778A0" w:rsidR="00254CEF" w:rsidRPr="003871B3" w:rsidRDefault="00254CEF" w:rsidP="00486F2B">
            <w:pPr>
              <w:pStyle w:val="GSOdstavec"/>
              <w:rPr>
                <w:rFonts w:cs="Arial"/>
                <w:szCs w:val="22"/>
              </w:rPr>
            </w:pPr>
            <w:r w:rsidRPr="003871B3">
              <w:rPr>
                <w:rFonts w:cs="Arial"/>
                <w:szCs w:val="22"/>
              </w:rPr>
              <w:t xml:space="preserve">Dodavatel zajistí v rámci výkonu provozovatele systému roli administrátora, který bude operativně řešit provozní a bezpečnostní požadavky </w:t>
            </w:r>
            <w:r w:rsidR="00262235">
              <w:rPr>
                <w:rFonts w:cs="Arial"/>
                <w:szCs w:val="22"/>
              </w:rPr>
              <w:t>Objednatel</w:t>
            </w:r>
            <w:r w:rsidRPr="003871B3">
              <w:rPr>
                <w:rFonts w:cs="Arial"/>
                <w:szCs w:val="22"/>
              </w:rPr>
              <w:t>e.</w:t>
            </w:r>
          </w:p>
        </w:tc>
      </w:tr>
    </w:tbl>
    <w:p w14:paraId="05C97F97" w14:textId="331F202B" w:rsidR="00BD3A80" w:rsidRPr="00C22A86" w:rsidRDefault="00BD3A80" w:rsidP="00486F2B">
      <w:pPr>
        <w:pStyle w:val="GSOdstavec"/>
        <w:rPr>
          <w:rFonts w:cs="Arial"/>
        </w:rPr>
      </w:pPr>
      <w:r w:rsidRPr="00C22A86">
        <w:rPr>
          <w:rFonts w:cs="Arial"/>
        </w:rPr>
        <w:t xml:space="preserve">Kromě výše uvedených bodů bude </w:t>
      </w:r>
      <w:r w:rsidR="007C5635" w:rsidRPr="00C22A86">
        <w:rPr>
          <w:rFonts w:cs="Arial"/>
        </w:rPr>
        <w:t>D</w:t>
      </w:r>
      <w:r w:rsidRPr="00C22A86">
        <w:rPr>
          <w:rFonts w:cs="Arial"/>
        </w:rPr>
        <w:t>odavatel v rámci architektonického dohledu souči</w:t>
      </w:r>
      <w:r w:rsidR="00DE7AB7">
        <w:rPr>
          <w:rFonts w:cs="Arial"/>
        </w:rPr>
        <w:t>n</w:t>
      </w:r>
      <w:r w:rsidRPr="00C22A86">
        <w:rPr>
          <w:rFonts w:cs="Arial"/>
        </w:rPr>
        <w:t>it s dodavatelem IS</w:t>
      </w:r>
      <w:r w:rsidR="007C5635" w:rsidRPr="00C22A86">
        <w:rPr>
          <w:rFonts w:cs="Arial"/>
        </w:rPr>
        <w:t> </w:t>
      </w:r>
      <w:r w:rsidRPr="00C22A86">
        <w:rPr>
          <w:rFonts w:cs="Arial"/>
        </w:rPr>
        <w:t>ZAM za účelem sestavení bezpečné migrační strategie včetně časování a identifikace rizik.</w:t>
      </w:r>
    </w:p>
    <w:p w14:paraId="1E306AAC" w14:textId="77777777" w:rsidR="00E921DD" w:rsidRPr="003871B3" w:rsidRDefault="00E921DD" w:rsidP="009A1A3F">
      <w:pPr>
        <w:pStyle w:val="GSNadpis4"/>
      </w:pPr>
      <w:r w:rsidRPr="003871B3">
        <w:t>Práce správy prostředí, aktualizace a vystavování dat</w:t>
      </w:r>
    </w:p>
    <w:p w14:paraId="1F6D7314" w14:textId="3F97BDB7" w:rsidR="001D5DE1" w:rsidRPr="003871B3" w:rsidRDefault="00BD3A80" w:rsidP="00BD3A80">
      <w:pPr>
        <w:pStyle w:val="GSOdstavec"/>
        <w:rPr>
          <w:rFonts w:cs="Arial"/>
        </w:rPr>
      </w:pPr>
      <w:r w:rsidRPr="003871B3">
        <w:rPr>
          <w:rFonts w:cs="Arial"/>
        </w:rPr>
        <w:t>Dodavatel bude průběžně poskytovat práce spojené s provozem prostředí LISu a to zejména v oblasti zajištění bezpečného provozu operačních systémů a databází LIS a dále provozních aktivit LIS, tedy sehrávání L0 dat a vystavování L2 migračních dat pro IS</w:t>
      </w:r>
      <w:r w:rsidR="007C5635" w:rsidRPr="003871B3">
        <w:rPr>
          <w:rFonts w:cs="Arial"/>
        </w:rPr>
        <w:t> </w:t>
      </w:r>
      <w:r w:rsidRPr="003871B3">
        <w:rPr>
          <w:rFonts w:cs="Arial"/>
        </w:rPr>
        <w:t>ZAM. Další práce vycházejí z</w:t>
      </w:r>
      <w:r w:rsidR="007C5635" w:rsidRPr="003871B3">
        <w:rPr>
          <w:rFonts w:cs="Arial"/>
        </w:rPr>
        <w:t> </w:t>
      </w:r>
      <w:r w:rsidRPr="003871B3">
        <w:rPr>
          <w:rFonts w:cs="Arial"/>
        </w:rPr>
        <w:t>požadavků</w:t>
      </w:r>
      <w:r w:rsidR="007C5635" w:rsidRPr="003871B3">
        <w:rPr>
          <w:rFonts w:cs="Arial"/>
        </w:rPr>
        <w:t xml:space="preserve"> uvedených v následující tabulce</w:t>
      </w:r>
      <w:r w:rsidRPr="003871B3">
        <w:rPr>
          <w:rFonts w:cs="Arial"/>
        </w:rPr>
        <w:t>:</w:t>
      </w:r>
    </w:p>
    <w:tbl>
      <w:tblPr>
        <w:tblStyle w:val="TableGrid"/>
        <w:tblW w:w="9067" w:type="dxa"/>
        <w:tblLook w:val="04A0" w:firstRow="1" w:lastRow="0" w:firstColumn="1" w:lastColumn="0" w:noHBand="0" w:noVBand="1"/>
      </w:tblPr>
      <w:tblGrid>
        <w:gridCol w:w="1129"/>
        <w:gridCol w:w="7938"/>
      </w:tblGrid>
      <w:tr w:rsidR="00254CEF" w:rsidRPr="003871B3" w14:paraId="2BA38BCA" w14:textId="77777777" w:rsidTr="00254CEF">
        <w:tc>
          <w:tcPr>
            <w:tcW w:w="1129" w:type="dxa"/>
          </w:tcPr>
          <w:p w14:paraId="1B3C37D9" w14:textId="404A8680" w:rsidR="00254CEF" w:rsidRPr="003871B3" w:rsidRDefault="00254CEF" w:rsidP="00BD3A80">
            <w:pPr>
              <w:pStyle w:val="GSOdstavec"/>
              <w:rPr>
                <w:rFonts w:cs="Arial"/>
              </w:rPr>
            </w:pPr>
            <w:r w:rsidRPr="003871B3">
              <w:rPr>
                <w:rFonts w:cs="Arial"/>
              </w:rPr>
              <w:t>TP010</w:t>
            </w:r>
          </w:p>
        </w:tc>
        <w:tc>
          <w:tcPr>
            <w:tcW w:w="7938" w:type="dxa"/>
          </w:tcPr>
          <w:p w14:paraId="164CE16D" w14:textId="777B70AE" w:rsidR="00254CEF" w:rsidRPr="003871B3" w:rsidRDefault="00254CEF" w:rsidP="00BD3A80">
            <w:pPr>
              <w:pStyle w:val="GSOdstavec"/>
              <w:rPr>
                <w:rFonts w:cs="Arial"/>
                <w:szCs w:val="22"/>
              </w:rPr>
            </w:pPr>
            <w:r w:rsidRPr="003871B3">
              <w:rPr>
                <w:rFonts w:cs="Arial"/>
                <w:szCs w:val="22"/>
              </w:rPr>
              <w:t xml:space="preserve">Systém musí být integrován do provozního prostředí </w:t>
            </w:r>
            <w:r w:rsidR="00262235">
              <w:rPr>
                <w:rFonts w:cs="Arial"/>
                <w:szCs w:val="22"/>
              </w:rPr>
              <w:t>Objednatel</w:t>
            </w:r>
            <w:r w:rsidRPr="003871B3">
              <w:rPr>
                <w:rFonts w:cs="Arial"/>
                <w:szCs w:val="22"/>
              </w:rPr>
              <w:t xml:space="preserve">e, a to pokud budou v době uvedení aplikace do provozu existovat do: centrálního provozního monitoringu, bezpečnostního monitoringu, zálohovacího systému, desktopového SSO (MS AD), mailového systému, na časovou synchronizaci, systému správy dokumentů. </w:t>
            </w:r>
          </w:p>
          <w:p w14:paraId="703750E7" w14:textId="06C33E7E" w:rsidR="00254CEF" w:rsidRPr="003871B3" w:rsidRDefault="00254CEF" w:rsidP="00BD3A80">
            <w:pPr>
              <w:pStyle w:val="GSOdstavec"/>
              <w:rPr>
                <w:rFonts w:cs="Arial"/>
                <w:szCs w:val="22"/>
              </w:rPr>
            </w:pPr>
            <w:r w:rsidRPr="00254CEF">
              <w:rPr>
                <w:rFonts w:cs="Arial"/>
                <w:szCs w:val="22"/>
              </w:rPr>
              <w:t>Dodavatel poskytne součinnost pro integraci do společného monitorovacího, zálohovacího systému, kterou zajist</w:t>
            </w:r>
            <w:r w:rsidR="005F07DC">
              <w:rPr>
                <w:rFonts w:cs="Arial"/>
                <w:szCs w:val="22"/>
              </w:rPr>
              <w:t>í</w:t>
            </w:r>
            <w:r w:rsidRPr="00254CEF">
              <w:rPr>
                <w:rFonts w:cs="Arial"/>
                <w:szCs w:val="22"/>
              </w:rPr>
              <w:t xml:space="preserve"> </w:t>
            </w:r>
            <w:r w:rsidR="00262235">
              <w:rPr>
                <w:rFonts w:cs="Arial"/>
                <w:szCs w:val="22"/>
              </w:rPr>
              <w:t>Objednatel</w:t>
            </w:r>
            <w:r w:rsidRPr="00254CEF">
              <w:rPr>
                <w:rFonts w:cs="Arial"/>
                <w:szCs w:val="22"/>
              </w:rPr>
              <w:t xml:space="preserve">. Systém bude napojen na časovou synchronizaci, podklady pro nastavení časové synchronizace poskytne </w:t>
            </w:r>
            <w:r w:rsidR="00262235">
              <w:rPr>
                <w:rFonts w:cs="Arial"/>
                <w:szCs w:val="22"/>
              </w:rPr>
              <w:t>Objednatel</w:t>
            </w:r>
            <w:r w:rsidRPr="00254CEF">
              <w:rPr>
                <w:rFonts w:cs="Arial"/>
                <w:szCs w:val="22"/>
              </w:rPr>
              <w:t>.</w:t>
            </w:r>
          </w:p>
        </w:tc>
      </w:tr>
      <w:tr w:rsidR="00254CEF" w:rsidRPr="003871B3" w14:paraId="06978F58" w14:textId="77777777" w:rsidTr="00254CEF">
        <w:tc>
          <w:tcPr>
            <w:tcW w:w="1129" w:type="dxa"/>
          </w:tcPr>
          <w:p w14:paraId="3C36941B" w14:textId="65BC0865" w:rsidR="00254CEF" w:rsidRPr="003871B3" w:rsidRDefault="00254CEF" w:rsidP="00BD3A80">
            <w:pPr>
              <w:pStyle w:val="GSOdstavec"/>
              <w:rPr>
                <w:rFonts w:cs="Arial"/>
              </w:rPr>
            </w:pPr>
            <w:r w:rsidRPr="003871B3">
              <w:rPr>
                <w:rFonts w:cs="Arial"/>
              </w:rPr>
              <w:t>TP012</w:t>
            </w:r>
          </w:p>
        </w:tc>
        <w:tc>
          <w:tcPr>
            <w:tcW w:w="7938" w:type="dxa"/>
          </w:tcPr>
          <w:p w14:paraId="61220E54" w14:textId="112A6C33" w:rsidR="00254CEF" w:rsidRPr="003871B3" w:rsidRDefault="00254CEF" w:rsidP="00191CA3">
            <w:pPr>
              <w:pStyle w:val="GSOdstavec"/>
              <w:rPr>
                <w:rFonts w:cs="Arial"/>
                <w:szCs w:val="22"/>
              </w:rPr>
            </w:pPr>
            <w:r w:rsidRPr="003871B3">
              <w:rPr>
                <w:rFonts w:cs="Arial"/>
                <w:szCs w:val="22"/>
              </w:rPr>
              <w:t>Dodavatel bude dále rozvíjet automatizovaný proces na přenos dat ze zdrojových databází do migračního systému vrstvy L0. Během přesunu se nebude měnit význam dat, struktura dat bude doplněna o metadata přenosu (zdroj dat, čas přenosu, označení snímku dat a podobně). Ve struktuře může dojít k dokumentovaným nutným změnám z důvodu například změny databázové technologie z Oracle na MSSQL Server. Některé datové typy zdrojové databáze mohou být řízeně (a dokumentovaně) nahrazeny jim odpovídajícím typům cílové databáze.</w:t>
            </w:r>
          </w:p>
          <w:p w14:paraId="14DCB3D7" w14:textId="45C9A030" w:rsidR="00254CEF" w:rsidRPr="00B7266F" w:rsidRDefault="00254CEF" w:rsidP="00BD3A80">
            <w:pPr>
              <w:pStyle w:val="GSOdstavec"/>
              <w:rPr>
                <w:rFonts w:cs="Arial"/>
                <w:szCs w:val="22"/>
              </w:rPr>
            </w:pPr>
            <w:r w:rsidRPr="003871B3">
              <w:rPr>
                <w:rFonts w:cs="Arial"/>
                <w:szCs w:val="22"/>
              </w:rPr>
              <w:t>Data v L0 bude Dodavatel aktualizovat pravidelně, a to 1x měsíčně, nebude-li domluveno jinak. Aktualizace dat bude prováděna pro zajištění potřeb přípravy migračních dat pro ISZAM a dále pro zajištění požadavku IPPD001 na aktualizaci dat.</w:t>
            </w:r>
          </w:p>
        </w:tc>
      </w:tr>
      <w:tr w:rsidR="00254CEF" w:rsidRPr="003871B3" w14:paraId="13829F9A" w14:textId="77777777" w:rsidTr="00254CEF">
        <w:tc>
          <w:tcPr>
            <w:tcW w:w="1129" w:type="dxa"/>
          </w:tcPr>
          <w:p w14:paraId="753FDE68" w14:textId="014A2714" w:rsidR="00254CEF" w:rsidRPr="003871B3" w:rsidRDefault="00254CEF" w:rsidP="00BD3A80">
            <w:pPr>
              <w:pStyle w:val="GSOdstavec"/>
              <w:rPr>
                <w:rFonts w:cs="Arial"/>
              </w:rPr>
            </w:pPr>
            <w:r w:rsidRPr="003871B3">
              <w:rPr>
                <w:rFonts w:cs="Arial"/>
              </w:rPr>
              <w:t>TP01</w:t>
            </w:r>
            <w:r>
              <w:rPr>
                <w:rFonts w:cs="Arial"/>
              </w:rPr>
              <w:t>9</w:t>
            </w:r>
          </w:p>
        </w:tc>
        <w:tc>
          <w:tcPr>
            <w:tcW w:w="7938" w:type="dxa"/>
          </w:tcPr>
          <w:p w14:paraId="2E443265" w14:textId="0B41140F" w:rsidR="00254CEF" w:rsidRPr="003871B3" w:rsidRDefault="00254CEF" w:rsidP="00BD3A80">
            <w:pPr>
              <w:pStyle w:val="GSOdstavec"/>
              <w:rPr>
                <w:rFonts w:cs="Arial"/>
                <w:szCs w:val="22"/>
              </w:rPr>
            </w:pPr>
            <w:r>
              <w:rPr>
                <w:rFonts w:cs="Arial"/>
                <w:szCs w:val="22"/>
              </w:rPr>
              <w:t xml:space="preserve">Dodavatel dodá návrh retence archivovaných dat a po schválení </w:t>
            </w:r>
            <w:r w:rsidR="00262235">
              <w:rPr>
                <w:rFonts w:cs="Arial"/>
                <w:szCs w:val="22"/>
              </w:rPr>
              <w:t>Objednatel</w:t>
            </w:r>
            <w:r>
              <w:rPr>
                <w:rFonts w:cs="Arial"/>
                <w:szCs w:val="22"/>
              </w:rPr>
              <w:t>em proces retence implementuje</w:t>
            </w:r>
          </w:p>
        </w:tc>
      </w:tr>
      <w:tr w:rsidR="00254CEF" w:rsidRPr="003871B3" w14:paraId="50C6DEAA" w14:textId="77777777" w:rsidTr="00254CEF">
        <w:tc>
          <w:tcPr>
            <w:tcW w:w="1129" w:type="dxa"/>
          </w:tcPr>
          <w:p w14:paraId="7F62D77D" w14:textId="764040D5" w:rsidR="00254CEF" w:rsidRPr="003871B3" w:rsidRDefault="00254CEF" w:rsidP="00BD3A80">
            <w:pPr>
              <w:pStyle w:val="GSOdstavec"/>
              <w:rPr>
                <w:rFonts w:cs="Arial"/>
              </w:rPr>
            </w:pPr>
            <w:r w:rsidRPr="003871B3">
              <w:rPr>
                <w:rFonts w:cs="Arial"/>
              </w:rPr>
              <w:t>TP083</w:t>
            </w:r>
          </w:p>
        </w:tc>
        <w:tc>
          <w:tcPr>
            <w:tcW w:w="7938" w:type="dxa"/>
          </w:tcPr>
          <w:p w14:paraId="0DF1E347" w14:textId="5B83F139" w:rsidR="00254CEF" w:rsidRPr="003871B3" w:rsidRDefault="00254CEF" w:rsidP="00BD3A80">
            <w:pPr>
              <w:pStyle w:val="GSOdstavec"/>
              <w:rPr>
                <w:rFonts w:cs="Arial"/>
              </w:rPr>
            </w:pPr>
            <w:r w:rsidRPr="003871B3">
              <w:rPr>
                <w:rFonts w:cs="Arial"/>
                <w:szCs w:val="22"/>
              </w:rPr>
              <w:t>Dodavatel poskytne nezbytnou součinnost odborné třetí straně pro provedení bezpečnostních testů (penetrační testy, testy zabezpečení uživatelského rozhraní, testy ochrany údajů, testy havarijních scénářů). Pokud budou na základě testů identifikována bezpečnostní rizika v důsledku plnění dodavatele, je povinen je na své náklady eliminovat. Zároveň je povinen doplnit související dokumentaci, pokud se ukáže jako nedostatečná v rámci bezpečnostních testů. Bezpečnostní problém vyplývající z testů se považuje za vadu kategorie B.</w:t>
            </w:r>
          </w:p>
        </w:tc>
      </w:tr>
      <w:tr w:rsidR="00254CEF" w:rsidRPr="003871B3" w14:paraId="25CAEC2A" w14:textId="77777777" w:rsidTr="00254CEF">
        <w:tc>
          <w:tcPr>
            <w:tcW w:w="1129" w:type="dxa"/>
          </w:tcPr>
          <w:p w14:paraId="4A50F836" w14:textId="1A99B821" w:rsidR="00254CEF" w:rsidRPr="003871B3" w:rsidRDefault="00254CEF" w:rsidP="00BD3A80">
            <w:pPr>
              <w:pStyle w:val="GSOdstavec"/>
              <w:rPr>
                <w:rFonts w:cs="Arial"/>
              </w:rPr>
            </w:pPr>
            <w:r w:rsidRPr="003871B3">
              <w:rPr>
                <w:rFonts w:cs="Arial"/>
              </w:rPr>
              <w:t>TP084</w:t>
            </w:r>
          </w:p>
        </w:tc>
        <w:tc>
          <w:tcPr>
            <w:tcW w:w="7938" w:type="dxa"/>
          </w:tcPr>
          <w:p w14:paraId="1F4F1213" w14:textId="08D15E02" w:rsidR="00254CEF" w:rsidRPr="003871B3" w:rsidRDefault="00254CEF" w:rsidP="00BD3A80">
            <w:pPr>
              <w:pStyle w:val="GSOdstavec"/>
              <w:rPr>
                <w:rFonts w:cs="Arial"/>
                <w:szCs w:val="22"/>
              </w:rPr>
            </w:pPr>
            <w:r w:rsidRPr="003871B3">
              <w:rPr>
                <w:rFonts w:cs="Arial"/>
                <w:szCs w:val="22"/>
              </w:rPr>
              <w:t>Dodavatel poskytne nezbytnou součinnost odborné třetí straně pro provedení výkonnostních (zátěžových) testů. Pokud bude na základě testů identifikováno chování systémů přinášející výkonnostní rizika v důsledku plnění dodavatele nebo neplnění požadované doby odezvy, je povinen je na své náklady eliminovat.</w:t>
            </w:r>
          </w:p>
        </w:tc>
      </w:tr>
      <w:tr w:rsidR="00254CEF" w:rsidRPr="003871B3" w14:paraId="631467AE" w14:textId="77777777" w:rsidTr="00254CEF">
        <w:tc>
          <w:tcPr>
            <w:tcW w:w="1129" w:type="dxa"/>
          </w:tcPr>
          <w:p w14:paraId="785906EE" w14:textId="311BE898" w:rsidR="00254CEF" w:rsidRPr="003871B3" w:rsidRDefault="00254CEF" w:rsidP="00BD3A80">
            <w:pPr>
              <w:pStyle w:val="GSOdstavec"/>
              <w:rPr>
                <w:rFonts w:cs="Arial"/>
              </w:rPr>
            </w:pPr>
            <w:r w:rsidRPr="003871B3">
              <w:rPr>
                <w:rFonts w:cs="Arial"/>
              </w:rPr>
              <w:t>ZAM010</w:t>
            </w:r>
          </w:p>
        </w:tc>
        <w:tc>
          <w:tcPr>
            <w:tcW w:w="7938" w:type="dxa"/>
          </w:tcPr>
          <w:p w14:paraId="7B064A24" w14:textId="7C1B14AC" w:rsidR="00254CEF" w:rsidRPr="003871B3" w:rsidRDefault="00254CEF" w:rsidP="00191CA3">
            <w:pPr>
              <w:pStyle w:val="GSOdstavec"/>
              <w:rPr>
                <w:rFonts w:cs="Arial"/>
                <w:szCs w:val="22"/>
              </w:rPr>
            </w:pPr>
            <w:r w:rsidRPr="003871B3">
              <w:rPr>
                <w:rFonts w:cs="Arial"/>
                <w:szCs w:val="22"/>
              </w:rPr>
              <w:t xml:space="preserve">Dodavatel zajistí průběžné vystavování dat pro cílová prostředí a to:  </w:t>
            </w:r>
          </w:p>
          <w:p w14:paraId="3B5749C1" w14:textId="77777777" w:rsidR="00254CEF" w:rsidRPr="003871B3" w:rsidRDefault="00254CEF" w:rsidP="00191CA3">
            <w:pPr>
              <w:pStyle w:val="ListParagraph"/>
              <w:numPr>
                <w:ilvl w:val="0"/>
                <w:numId w:val="19"/>
              </w:numPr>
              <w:spacing w:after="0"/>
              <w:rPr>
                <w:rFonts w:ascii="Arial" w:hAnsi="Arial" w:cs="Arial"/>
                <w:b w:val="0"/>
                <w:sz w:val="22"/>
                <w:szCs w:val="22"/>
              </w:rPr>
            </w:pPr>
            <w:r w:rsidRPr="003871B3">
              <w:rPr>
                <w:rFonts w:ascii="Arial" w:hAnsi="Arial" w:cs="Arial"/>
                <w:b w:val="0"/>
                <w:sz w:val="22"/>
                <w:szCs w:val="22"/>
              </w:rPr>
              <w:t>1x týdně v omezeném rozsahu, tzv. “malá Plzeň“ pro ladění validací a migrační procedury;</w:t>
            </w:r>
          </w:p>
          <w:p w14:paraId="1EB54290" w14:textId="77777777" w:rsidR="00254CEF" w:rsidRPr="003871B3" w:rsidRDefault="00254CEF" w:rsidP="00191CA3">
            <w:pPr>
              <w:pStyle w:val="ListParagraph"/>
              <w:numPr>
                <w:ilvl w:val="0"/>
                <w:numId w:val="19"/>
              </w:numPr>
              <w:spacing w:after="0"/>
              <w:rPr>
                <w:rFonts w:ascii="Arial" w:hAnsi="Arial" w:cs="Arial"/>
                <w:b w:val="0"/>
                <w:sz w:val="22"/>
                <w:szCs w:val="22"/>
              </w:rPr>
            </w:pPr>
            <w:r w:rsidRPr="003871B3">
              <w:rPr>
                <w:rFonts w:ascii="Arial" w:hAnsi="Arial" w:cs="Arial"/>
                <w:b w:val="0"/>
                <w:sz w:val="22"/>
                <w:szCs w:val="22"/>
              </w:rPr>
              <w:t>1x týdně v rozsahu vybraných (postupně rozšiřovaných) krajských pracovišť pro testy migrovaných dat a nasazení do cílových prostředí;</w:t>
            </w:r>
          </w:p>
          <w:p w14:paraId="21786906" w14:textId="77777777" w:rsidR="00254CEF" w:rsidRPr="00952CF4" w:rsidRDefault="00254CEF" w:rsidP="0013605D">
            <w:pPr>
              <w:pStyle w:val="ListParagraph"/>
              <w:numPr>
                <w:ilvl w:val="0"/>
                <w:numId w:val="19"/>
              </w:numPr>
              <w:spacing w:after="0"/>
              <w:rPr>
                <w:rFonts w:cs="Arial"/>
                <w:szCs w:val="22"/>
              </w:rPr>
            </w:pPr>
            <w:r w:rsidRPr="003871B3">
              <w:rPr>
                <w:rFonts w:ascii="Arial" w:hAnsi="Arial" w:cs="Arial"/>
                <w:b w:val="0"/>
                <w:sz w:val="22"/>
                <w:szCs w:val="22"/>
              </w:rPr>
              <w:t>1x měsíčně v rozsahu celá ČR pro výkonnostní testy a zpracování dat v určeném časovém limitu.</w:t>
            </w:r>
          </w:p>
          <w:p w14:paraId="0A6BDD3D" w14:textId="5599D87E" w:rsidR="00952CF4" w:rsidRPr="00952CF4" w:rsidRDefault="00952CF4" w:rsidP="00952CF4">
            <w:pPr>
              <w:rPr>
                <w:rFonts w:cs="Arial"/>
                <w:szCs w:val="22"/>
              </w:rPr>
            </w:pPr>
          </w:p>
        </w:tc>
      </w:tr>
      <w:tr w:rsidR="00254CEF" w:rsidRPr="003871B3" w14:paraId="2CA91A58" w14:textId="77777777" w:rsidTr="00254CEF">
        <w:tc>
          <w:tcPr>
            <w:tcW w:w="1129" w:type="dxa"/>
          </w:tcPr>
          <w:p w14:paraId="20DA634B" w14:textId="1AE2970E" w:rsidR="00254CEF" w:rsidRPr="003871B3" w:rsidRDefault="00254CEF" w:rsidP="00BD3A80">
            <w:pPr>
              <w:pStyle w:val="GSOdstavec"/>
              <w:rPr>
                <w:rFonts w:cs="Arial"/>
              </w:rPr>
            </w:pPr>
            <w:r w:rsidRPr="003871B3">
              <w:rPr>
                <w:rFonts w:cs="Arial"/>
              </w:rPr>
              <w:t>BEZ008</w:t>
            </w:r>
          </w:p>
        </w:tc>
        <w:tc>
          <w:tcPr>
            <w:tcW w:w="7938" w:type="dxa"/>
          </w:tcPr>
          <w:p w14:paraId="0A5D1D9A" w14:textId="08D27289" w:rsidR="00254CEF" w:rsidRPr="003871B3" w:rsidRDefault="00254CEF" w:rsidP="00952CF4">
            <w:pPr>
              <w:pStyle w:val="GSOdstavec"/>
              <w:rPr>
                <w:rFonts w:cs="Arial"/>
                <w:szCs w:val="22"/>
              </w:rPr>
            </w:pPr>
            <w:r w:rsidRPr="003871B3">
              <w:rPr>
                <w:rFonts w:cs="Arial"/>
                <w:szCs w:val="22"/>
              </w:rPr>
              <w:t>Dodavatel zajistí součinnost při připojení vydefinovaných podpůrných technických aktiv (systém)</w:t>
            </w:r>
            <w:r w:rsidR="00A76BDC">
              <w:rPr>
                <w:rFonts w:cs="Arial"/>
                <w:szCs w:val="22"/>
              </w:rPr>
              <w:t xml:space="preserve"> </w:t>
            </w:r>
            <w:r w:rsidRPr="003871B3">
              <w:rPr>
                <w:rFonts w:cs="Arial"/>
                <w:szCs w:val="22"/>
              </w:rPr>
              <w:t>na centrální řešení pro bezpečnostní a provozní dohled. Aby bylo možné systém připojit na provozní a bezpečnostní dohled, musí systém o sobě poskytovat informace důležité pro provozní a bezpečnostní monitoring. Musí tedy mimo jiné logovat veškeré operace ohledně přístupu a oprávnění uživatelů, a to jak úspěšné, tak neúspěšné pokusy o přístup do aplikace a na jednotlivá API a veškeré provozní stavy aplikace a použitých frameworků. Systém musí poskytovat podporu pro provozní monitoring na úrovni SNMP v3 včetně specifických čítačů dostupných přes privátní MIB, které umožní monitorování výkonu systému.</w:t>
            </w:r>
          </w:p>
          <w:p w14:paraId="751FE8FE" w14:textId="5AAB4456" w:rsidR="00254CEF" w:rsidRPr="003871B3" w:rsidRDefault="00254CEF" w:rsidP="00BD3A80">
            <w:pPr>
              <w:pStyle w:val="GSOdstavec"/>
              <w:rPr>
                <w:rFonts w:cs="Arial"/>
                <w:szCs w:val="22"/>
              </w:rPr>
            </w:pPr>
            <w:r w:rsidRPr="003871B3">
              <w:rPr>
                <w:rFonts w:cs="Arial"/>
                <w:szCs w:val="22"/>
              </w:rPr>
              <w:t xml:space="preserve">Dodavatel zajistí součinnost při řešení vzniklých bezpečnostních a provozních incidentů. Dále dodavatel zajistí součinnost, při tvorbě use case na žádost </w:t>
            </w:r>
            <w:r w:rsidR="00262235">
              <w:rPr>
                <w:rFonts w:cs="Arial"/>
                <w:szCs w:val="22"/>
              </w:rPr>
              <w:t>Objednatel</w:t>
            </w:r>
            <w:r w:rsidRPr="003871B3">
              <w:rPr>
                <w:rFonts w:cs="Arial"/>
                <w:szCs w:val="22"/>
              </w:rPr>
              <w:t>e</w:t>
            </w:r>
          </w:p>
        </w:tc>
      </w:tr>
      <w:tr w:rsidR="00254CEF" w:rsidRPr="003871B3" w14:paraId="0A58732E" w14:textId="77777777" w:rsidTr="00254CEF">
        <w:tc>
          <w:tcPr>
            <w:tcW w:w="1129" w:type="dxa"/>
          </w:tcPr>
          <w:p w14:paraId="6E647D87" w14:textId="72A6C985" w:rsidR="00254CEF" w:rsidRPr="003871B3" w:rsidRDefault="00254CEF" w:rsidP="00BD3A80">
            <w:pPr>
              <w:pStyle w:val="GSOdstavec"/>
              <w:rPr>
                <w:rFonts w:cs="Arial"/>
              </w:rPr>
            </w:pPr>
            <w:r w:rsidRPr="003871B3">
              <w:rPr>
                <w:rFonts w:cs="Arial"/>
              </w:rPr>
              <w:t>BEZ009</w:t>
            </w:r>
          </w:p>
        </w:tc>
        <w:tc>
          <w:tcPr>
            <w:tcW w:w="7938" w:type="dxa"/>
          </w:tcPr>
          <w:p w14:paraId="2030A2E6" w14:textId="24DEB063" w:rsidR="00254CEF" w:rsidRPr="003871B3" w:rsidRDefault="00254CEF" w:rsidP="00BD3A80">
            <w:pPr>
              <w:pStyle w:val="GSOdstavec"/>
              <w:rPr>
                <w:rFonts w:cs="Arial"/>
                <w:szCs w:val="22"/>
              </w:rPr>
            </w:pPr>
            <w:r w:rsidRPr="003871B3">
              <w:rPr>
                <w:rFonts w:cs="Arial"/>
                <w:szCs w:val="22"/>
              </w:rPr>
              <w:t xml:space="preserve">Dodávaný a provozovaný systém musí být integrovatelný do zálohovacího prostředí </w:t>
            </w:r>
            <w:r w:rsidR="00262235">
              <w:rPr>
                <w:rFonts w:cs="Arial"/>
                <w:szCs w:val="22"/>
              </w:rPr>
              <w:t>Objednatel</w:t>
            </w:r>
            <w:r w:rsidRPr="003871B3">
              <w:rPr>
                <w:rFonts w:cs="Arial"/>
                <w:szCs w:val="22"/>
              </w:rPr>
              <w:t xml:space="preserve">e, a to jak instalace, tak data uložená v systému. Zálohovací systém může zálohovat jak data aplikací, tak celé virtuální servery, dle rozhodnutí garanta primárního aktiva. V rámci dodávky dodavatel dodá zálohovací plán a poskytne součinnost při napojení systému na zálohovací řešení </w:t>
            </w:r>
            <w:r w:rsidR="00262235">
              <w:rPr>
                <w:rFonts w:cs="Arial"/>
                <w:szCs w:val="22"/>
              </w:rPr>
              <w:t>Objednatel</w:t>
            </w:r>
            <w:r w:rsidRPr="003871B3">
              <w:rPr>
                <w:rFonts w:cs="Arial"/>
                <w:szCs w:val="22"/>
              </w:rPr>
              <w:t>e.</w:t>
            </w:r>
          </w:p>
        </w:tc>
      </w:tr>
      <w:tr w:rsidR="00254CEF" w:rsidRPr="003871B3" w14:paraId="7FB7C243" w14:textId="77777777" w:rsidTr="00254CEF">
        <w:tc>
          <w:tcPr>
            <w:tcW w:w="1129" w:type="dxa"/>
          </w:tcPr>
          <w:p w14:paraId="7E476F11" w14:textId="2C438FD4" w:rsidR="00254CEF" w:rsidRPr="003871B3" w:rsidRDefault="00254CEF" w:rsidP="00BD3A80">
            <w:pPr>
              <w:pStyle w:val="GSOdstavec"/>
              <w:rPr>
                <w:rFonts w:cs="Arial"/>
              </w:rPr>
            </w:pPr>
            <w:r w:rsidRPr="003871B3">
              <w:rPr>
                <w:rFonts w:cs="Arial"/>
              </w:rPr>
              <w:t>BEZ010</w:t>
            </w:r>
          </w:p>
        </w:tc>
        <w:tc>
          <w:tcPr>
            <w:tcW w:w="7938" w:type="dxa"/>
          </w:tcPr>
          <w:p w14:paraId="37F7364D" w14:textId="0E218A87" w:rsidR="00254CEF" w:rsidRPr="003871B3" w:rsidRDefault="00254CEF" w:rsidP="00191CA3">
            <w:pPr>
              <w:pStyle w:val="GSOdstavec"/>
              <w:rPr>
                <w:rFonts w:cs="Arial"/>
                <w:szCs w:val="22"/>
              </w:rPr>
            </w:pPr>
            <w:r w:rsidRPr="003871B3">
              <w:rPr>
                <w:rFonts w:cs="Arial"/>
                <w:szCs w:val="22"/>
              </w:rPr>
              <w:t xml:space="preserve">Pro zajištění důvěrnosti dodavatel zajistí nakonfigurování databázových serverů dle „best practices“ pro dané databázové systémy. V případě požadavku na zajištění šifrování databází, které je schváleno MKB a garantem aktiva dodavatel předloží odhadovaný dopad na výkon systému s ohledem na množství dat, které obsahuje a následně poskytne součinnost, pokud se </w:t>
            </w:r>
            <w:r w:rsidR="00262235">
              <w:rPr>
                <w:rFonts w:cs="Arial"/>
                <w:szCs w:val="22"/>
              </w:rPr>
              <w:t>Objednatel</w:t>
            </w:r>
            <w:r w:rsidRPr="003871B3">
              <w:rPr>
                <w:rFonts w:cs="Arial"/>
                <w:szCs w:val="22"/>
              </w:rPr>
              <w:t xml:space="preserve"> rozhodne, že data budou šifrována.</w:t>
            </w:r>
          </w:p>
          <w:p w14:paraId="157CEAB2" w14:textId="6E5796E6" w:rsidR="00254CEF" w:rsidRPr="003871B3" w:rsidRDefault="00254CEF" w:rsidP="00BD3A80">
            <w:pPr>
              <w:pStyle w:val="GSOdstavec"/>
              <w:rPr>
                <w:rFonts w:cs="Arial"/>
              </w:rPr>
            </w:pPr>
            <w:r w:rsidRPr="003871B3">
              <w:rPr>
                <w:rFonts w:cs="Arial"/>
                <w:szCs w:val="22"/>
              </w:rPr>
              <w:t>V případě nově dodávané aplikace (systému) v rámci projektu dodavatel zajistí, aby systém poskytoval možnosti, jak zajistit šifrování záznamů na aplikační úrovni. Šifrování záznamů na aplikační úrovni musí být konfigurovatelné na jednotlivé databázové tabulky a položky, tedy šifrování nemusí probíhat na všechna data, ale jen na ta, u kterých to bude nastaveno. Šifrování bude prováděno pomocí symetrické šifry, jejíž klíč bude uložen v binárním tvaru mimo data aplikace a bude vytvořen při instalaci aplikace. Síla šifrování bude minimálně na úrovni AES 256bit. Všechna aplikační data musí být udržována v konzistentním stavu, tj. v případě, že dojde ke konfigurační změně položky z nešifrované na šifrovanou nebo naopak, musí se tato změna promítnout na všechna data uložená v této položce off-line úlohou. Součástí dodávky bude pracovní postup pro nastavení šifrování.</w:t>
            </w:r>
          </w:p>
        </w:tc>
      </w:tr>
      <w:tr w:rsidR="00254CEF" w:rsidRPr="003871B3" w14:paraId="32D19027" w14:textId="77777777" w:rsidTr="00254CEF">
        <w:tc>
          <w:tcPr>
            <w:tcW w:w="1129" w:type="dxa"/>
          </w:tcPr>
          <w:p w14:paraId="47A4830B" w14:textId="370CF4C2" w:rsidR="00254CEF" w:rsidRPr="003871B3" w:rsidRDefault="00254CEF" w:rsidP="00BD3A80">
            <w:pPr>
              <w:pStyle w:val="GSOdstavec"/>
              <w:rPr>
                <w:rFonts w:cs="Arial"/>
              </w:rPr>
            </w:pPr>
            <w:r w:rsidRPr="003871B3">
              <w:rPr>
                <w:rFonts w:cs="Arial"/>
              </w:rPr>
              <w:t>IPPD001</w:t>
            </w:r>
          </w:p>
        </w:tc>
        <w:tc>
          <w:tcPr>
            <w:tcW w:w="7938" w:type="dxa"/>
          </w:tcPr>
          <w:p w14:paraId="7B821542" w14:textId="437E4E5F" w:rsidR="00254CEF" w:rsidRPr="003871B3" w:rsidRDefault="00254CEF" w:rsidP="00462813">
            <w:pPr>
              <w:pStyle w:val="GSOdstavec"/>
              <w:rPr>
                <w:rFonts w:cs="Arial"/>
              </w:rPr>
            </w:pPr>
            <w:r w:rsidRPr="003871B3">
              <w:rPr>
                <w:rFonts w:cs="Arial"/>
              </w:rPr>
              <w:t xml:space="preserve">Zajištění dále uvedených setů dat s tím, že termíny budou upřesněny na základě vzájemné dohody obou stran a to dle aktuální situace a potřeb projektů. </w:t>
            </w:r>
          </w:p>
          <w:p w14:paraId="0683E004" w14:textId="69D3E068" w:rsidR="00254CEF" w:rsidRPr="003871B3" w:rsidRDefault="00254CEF" w:rsidP="00462813">
            <w:pPr>
              <w:pStyle w:val="GSOdstavec"/>
              <w:rPr>
                <w:rFonts w:cs="Arial"/>
              </w:rPr>
            </w:pPr>
            <w:r w:rsidRPr="003871B3">
              <w:rPr>
                <w:rFonts w:cs="Arial"/>
              </w:rPr>
              <w:t>Rozsah dat, která se budou stahovat, bude upřesněn před každým konkrétním stažením. Dále uvedené množství běhů bude konkrétně upraveno dohodou obou smluvních stran a to na základě aktuálních potřeb souvisejících projektů a celkových časových možností provozu MPSV a díla realizovaného na základě tohoto dodatku.</w:t>
            </w:r>
          </w:p>
          <w:p w14:paraId="0171A10F" w14:textId="168030E8" w:rsidR="00254CEF" w:rsidRPr="00E008F8" w:rsidRDefault="00F84639" w:rsidP="00462813">
            <w:pPr>
              <w:pStyle w:val="GSOdstavec"/>
              <w:rPr>
                <w:rFonts w:cs="Arial"/>
                <w:highlight w:val="black"/>
              </w:rPr>
            </w:pPr>
            <w:r w:rsidRPr="00E008F8">
              <w:rPr>
                <w:rFonts w:cs="Arial"/>
                <w:highlight w:val="black"/>
              </w:rPr>
              <w:t>xxxxxxxxxxxxxxxxxxxxxxxxxxxxxxxxxxxxxxxxxxxxxxxxxxxxxxxxxxxxxxxxx</w:t>
            </w:r>
            <w:r w:rsidR="00254CEF" w:rsidRPr="00E008F8">
              <w:rPr>
                <w:rFonts w:cs="Arial"/>
                <w:highlight w:val="black"/>
              </w:rPr>
              <w:t xml:space="preserve"> </w:t>
            </w:r>
            <w:r w:rsidRPr="00E008F8">
              <w:rPr>
                <w:rFonts w:cs="Arial"/>
                <w:highlight w:val="black"/>
              </w:rPr>
              <w:t>xxxxxxxxxxxxxxxxxxxxxxxxxxxxxxxxxxxxxxxxxxxxxxxxxxxxxxxxxxxxxxxxxx</w:t>
            </w:r>
            <w:r w:rsidR="00254CEF" w:rsidRPr="00E008F8">
              <w:rPr>
                <w:rFonts w:cs="Arial"/>
                <w:highlight w:val="black"/>
              </w:rPr>
              <w:t xml:space="preserve"> </w:t>
            </w:r>
            <w:r w:rsidRPr="00E008F8">
              <w:rPr>
                <w:rFonts w:cs="Arial"/>
                <w:highlight w:val="black"/>
              </w:rPr>
              <w:t>xxxxxxxxxxxxxxxxxxxxxxxxxxxxxxxxxxxxxxxxxxxxxxxxxxxx</w:t>
            </w:r>
            <w:r w:rsidR="00254CEF" w:rsidRPr="00E008F8">
              <w:rPr>
                <w:rFonts w:cs="Arial"/>
                <w:highlight w:val="black"/>
              </w:rPr>
              <w:t>.</w:t>
            </w:r>
          </w:p>
          <w:p w14:paraId="7F3C7F48" w14:textId="70CE7971"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xxxxxxxxxxxxxxxxxxxxxxxxxxxxxxxxxxxxxxxxxxxxxxxxxxxxxxxxxx</w:t>
            </w:r>
            <w:r w:rsidR="00254CEF" w:rsidRPr="00E008F8">
              <w:rPr>
                <w:rFonts w:cs="Arial"/>
                <w:highlight w:val="black"/>
              </w:rPr>
              <w:t>)</w:t>
            </w:r>
          </w:p>
          <w:p w14:paraId="0BFD58C1" w14:textId="69D40BE5" w:rsidR="00254CEF" w:rsidRPr="00E008F8" w:rsidRDefault="00F84639" w:rsidP="007C5635">
            <w:pPr>
              <w:pStyle w:val="GSOdstavec"/>
              <w:spacing w:before="0" w:after="0"/>
              <w:rPr>
                <w:rFonts w:cs="Arial"/>
                <w:highlight w:val="black"/>
              </w:rPr>
            </w:pPr>
            <w:r w:rsidRPr="00E008F8">
              <w:rPr>
                <w:rFonts w:cs="Arial"/>
                <w:highlight w:val="black"/>
              </w:rPr>
              <w:t>xxxxxxxxxxxxxxxxxxxxxxx</w:t>
            </w:r>
          </w:p>
          <w:p w14:paraId="11429DE3" w14:textId="19FE07C1"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w:t>
            </w:r>
          </w:p>
          <w:p w14:paraId="43AFC2AA" w14:textId="1B10385E"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w:t>
            </w:r>
            <w:r w:rsidR="00254CEF" w:rsidRPr="00E008F8">
              <w:rPr>
                <w:rFonts w:cs="Arial"/>
                <w:highlight w:val="black"/>
              </w:rPr>
              <w:t xml:space="preserve"> </w:t>
            </w:r>
          </w:p>
          <w:p w14:paraId="48CBCC3F" w14:textId="3C122612"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w:t>
            </w:r>
          </w:p>
          <w:p w14:paraId="4D677A95" w14:textId="12A139B0"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xxxxxxxxxxxxxxxxxxxxxxxxxxxxxxxxxxxxxxxxxxxxxxxxxxxxxxxxxxxx</w:t>
            </w:r>
          </w:p>
          <w:p w14:paraId="15D67CF9" w14:textId="3C541D55"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w:t>
            </w:r>
          </w:p>
          <w:p w14:paraId="608523F0" w14:textId="038FB777" w:rsidR="00254CEF" w:rsidRPr="00E008F8" w:rsidRDefault="00F84639" w:rsidP="007C5635">
            <w:pPr>
              <w:pStyle w:val="GSOdstavec"/>
              <w:spacing w:before="0" w:after="0"/>
              <w:rPr>
                <w:rFonts w:cs="Arial"/>
                <w:highlight w:val="black"/>
              </w:rPr>
            </w:pPr>
            <w:r w:rsidRPr="00E008F8">
              <w:rPr>
                <w:rFonts w:cs="Arial"/>
                <w:highlight w:val="black"/>
              </w:rPr>
              <w:t>xxxxxxxxxxxxxxxxxxxxxxx</w:t>
            </w:r>
          </w:p>
          <w:p w14:paraId="6EC092F7" w14:textId="4FF29DFC"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xxxxxxxxxxxxxxxxxxxxxxxxxxxxxxxxxxxxxxxxxxxxxxxxxxxxxxxxxxxxxxxxxx</w:t>
            </w:r>
          </w:p>
          <w:p w14:paraId="6CD2F355" w14:textId="4A79FF73"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w:t>
            </w:r>
          </w:p>
          <w:p w14:paraId="73CDE967" w14:textId="1185A11B" w:rsidR="00254CEF" w:rsidRPr="00E008F8" w:rsidRDefault="00F84639" w:rsidP="007C5635">
            <w:pPr>
              <w:pStyle w:val="GSOdstavec"/>
              <w:spacing w:before="0" w:after="0"/>
              <w:rPr>
                <w:rFonts w:cs="Arial"/>
                <w:highlight w:val="black"/>
              </w:rPr>
            </w:pPr>
            <w:r w:rsidRPr="00E008F8">
              <w:rPr>
                <w:rFonts w:cs="Arial"/>
                <w:highlight w:val="black"/>
              </w:rPr>
              <w:t>xxxxxxxxxxxxxxxxxxx</w:t>
            </w:r>
          </w:p>
          <w:p w14:paraId="3D80196B" w14:textId="258F0D01" w:rsidR="00254CEF" w:rsidRPr="00E008F8" w:rsidRDefault="00F84639" w:rsidP="007C5635">
            <w:pPr>
              <w:pStyle w:val="GSOdstavec"/>
              <w:spacing w:before="0" w:after="0"/>
              <w:rPr>
                <w:rFonts w:cs="Arial"/>
                <w:highlight w:val="black"/>
              </w:rPr>
            </w:pPr>
            <w:r w:rsidRPr="00E008F8">
              <w:rPr>
                <w:rFonts w:cs="Arial"/>
                <w:highlight w:val="black"/>
              </w:rPr>
              <w:t>xxxxxxxxxxxxxxxxxxxxxxx</w:t>
            </w:r>
          </w:p>
          <w:p w14:paraId="55190511" w14:textId="4915049B"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xxxxxxxxxxxxxxxxxxxxxxxxxxxxxxxxxxxxxxxxxxxxxxxxxxxxxxxxxxxxxx</w:t>
            </w:r>
          </w:p>
          <w:p w14:paraId="3BE4355E" w14:textId="2CD97D33"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w:t>
            </w:r>
          </w:p>
          <w:p w14:paraId="3CE028F8" w14:textId="3970A50C" w:rsidR="00254CEF" w:rsidRPr="00E008F8" w:rsidRDefault="00F84639" w:rsidP="007C5635">
            <w:pPr>
              <w:pStyle w:val="GSOdstavec"/>
              <w:spacing w:before="0" w:after="0"/>
              <w:rPr>
                <w:rFonts w:cs="Arial"/>
                <w:highlight w:val="black"/>
              </w:rPr>
            </w:pPr>
            <w:r w:rsidRPr="00E008F8">
              <w:rPr>
                <w:rFonts w:cs="Arial"/>
                <w:highlight w:val="black"/>
              </w:rPr>
              <w:t>xxxxxxxxxxxxxxxxxxxxxx</w:t>
            </w:r>
          </w:p>
          <w:p w14:paraId="072F79A3" w14:textId="29268CBC" w:rsidR="00254CEF" w:rsidRPr="00E008F8" w:rsidRDefault="00F84639" w:rsidP="007C5635">
            <w:pPr>
              <w:pStyle w:val="GSOdstavec"/>
              <w:spacing w:before="0" w:after="0"/>
              <w:rPr>
                <w:rFonts w:cs="Arial"/>
                <w:highlight w:val="black"/>
              </w:rPr>
            </w:pPr>
            <w:r w:rsidRPr="00E008F8">
              <w:rPr>
                <w:rFonts w:cs="Arial"/>
                <w:highlight w:val="black"/>
              </w:rPr>
              <w:t>xxxxxxxxxxxxxxxxxxxxxx</w:t>
            </w:r>
          </w:p>
          <w:p w14:paraId="0C5A8A39" w14:textId="0102293B"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xxxxxxxxxxxxxxxxxxxxxxxxxxxxxxxxxxxxxxxxxxxxxxxxxxxxxxxxxxxxxxxxxxxxx</w:t>
            </w:r>
          </w:p>
          <w:p w14:paraId="7FA7F804" w14:textId="3582E459" w:rsidR="00254CEF" w:rsidRPr="00E008F8" w:rsidRDefault="00F84639" w:rsidP="007C5635">
            <w:pPr>
              <w:pStyle w:val="GSOdstavec"/>
              <w:spacing w:before="0" w:after="0"/>
              <w:rPr>
                <w:rFonts w:cs="Arial"/>
                <w:highlight w:val="black"/>
              </w:rPr>
            </w:pPr>
            <w:r w:rsidRPr="00E008F8">
              <w:rPr>
                <w:rFonts w:cs="Arial"/>
                <w:highlight w:val="black"/>
              </w:rPr>
              <w:t>xxxxxxxxxxxxxxxxxxxxxxxxxxxxxxxxxxxxxxxxxxxxxxxxxxxxxxxxxxxxxxxxxxxxx</w:t>
            </w:r>
          </w:p>
          <w:p w14:paraId="0D441CD5" w14:textId="15790290" w:rsidR="00254CEF" w:rsidRPr="003871B3" w:rsidRDefault="00F84639" w:rsidP="00F84639">
            <w:pPr>
              <w:pStyle w:val="GSOdstavec"/>
              <w:spacing w:before="0" w:after="0"/>
              <w:rPr>
                <w:rFonts w:cs="Arial"/>
              </w:rPr>
            </w:pPr>
            <w:r w:rsidRPr="00E008F8">
              <w:rPr>
                <w:rFonts w:cs="Arial"/>
                <w:highlight w:val="black"/>
              </w:rPr>
              <w:t>xxxxxxxxxxxxxxxxxxxxxxxxxxxxxxxxxxxxxxxxxxxxxxxxxxxxxxxxxxxxxxxxxxxxx</w:t>
            </w:r>
          </w:p>
        </w:tc>
      </w:tr>
    </w:tbl>
    <w:p w14:paraId="231DAF53" w14:textId="77777777" w:rsidR="0023034F" w:rsidRPr="004251D1" w:rsidRDefault="0023034F" w:rsidP="004251D1">
      <w:pPr>
        <w:pStyle w:val="GSOdstavec"/>
        <w:rPr>
          <w:rFonts w:cs="Arial"/>
        </w:rPr>
      </w:pPr>
    </w:p>
    <w:p w14:paraId="70565AC6" w14:textId="77777777" w:rsidR="00E921DD" w:rsidRPr="003871B3" w:rsidRDefault="00E921DD" w:rsidP="009A1A3F">
      <w:pPr>
        <w:pStyle w:val="GSNadpis4"/>
      </w:pPr>
      <w:r w:rsidRPr="003871B3">
        <w:t>Aktualizace dat spisové služby</w:t>
      </w:r>
    </w:p>
    <w:p w14:paraId="3BE54661" w14:textId="2BD1492C" w:rsidR="00867B65" w:rsidRPr="003871B3" w:rsidRDefault="005D6476" w:rsidP="00867B65">
      <w:pPr>
        <w:pStyle w:val="GSOdstavec"/>
        <w:rPr>
          <w:rFonts w:cs="Arial"/>
        </w:rPr>
      </w:pPr>
      <w:r w:rsidRPr="003871B3">
        <w:rPr>
          <w:rFonts w:cs="Arial"/>
        </w:rPr>
        <w:t xml:space="preserve">Vzhledem k posunu nasazení ISZAM je nutné průběžně </w:t>
      </w:r>
      <w:r w:rsidR="0098693E" w:rsidRPr="003871B3">
        <w:rPr>
          <w:rFonts w:cs="Arial"/>
        </w:rPr>
        <w:t xml:space="preserve">doplňovat </w:t>
      </w:r>
      <w:r w:rsidRPr="003871B3">
        <w:rPr>
          <w:rFonts w:cs="Arial"/>
        </w:rPr>
        <w:t>data podléhající spisové službě ze zdrojových aplikací OKPráce, OKCentrum a OKHN do spisové služby ArsysX. Načítání se předpokládá 1x měsíčně, a to vždy poslední víkend v měsíci, nebude-li aktuálními okolnostmi tento termín přeplánován. V rámci sehrávání budou aktualizovány stávající spisy a dokumenty a přidány položky nové.</w:t>
      </w:r>
    </w:p>
    <w:p w14:paraId="65C9D92B" w14:textId="4340B311" w:rsidR="005D6476" w:rsidRPr="003871B3" w:rsidRDefault="005D6476" w:rsidP="00867B65">
      <w:pPr>
        <w:pStyle w:val="GSOdstavec"/>
        <w:rPr>
          <w:rFonts w:cs="Arial"/>
        </w:rPr>
      </w:pPr>
      <w:r w:rsidRPr="003871B3">
        <w:rPr>
          <w:rFonts w:cs="Arial"/>
        </w:rPr>
        <w:t xml:space="preserve">Sehrávání je nutné realizovat průběžně až do </w:t>
      </w:r>
      <w:r w:rsidR="0098693E" w:rsidRPr="003871B3">
        <w:rPr>
          <w:rFonts w:cs="Arial"/>
        </w:rPr>
        <w:t xml:space="preserve">termínu </w:t>
      </w:r>
      <w:r w:rsidRPr="003871B3">
        <w:rPr>
          <w:rFonts w:cs="Arial"/>
        </w:rPr>
        <w:t xml:space="preserve">nasazení ISZAM. Vzhledem k velkému množství očekávaných změn není možné aktualizaci provést jednorázově </w:t>
      </w:r>
      <w:r w:rsidR="0098693E" w:rsidRPr="003871B3">
        <w:rPr>
          <w:rFonts w:cs="Arial"/>
        </w:rPr>
        <w:t>k</w:t>
      </w:r>
      <w:r w:rsidRPr="003871B3">
        <w:rPr>
          <w:rFonts w:cs="Arial"/>
        </w:rPr>
        <w:t xml:space="preserve"> začátku ověřovacího provozu a následně </w:t>
      </w:r>
      <w:r w:rsidR="0098693E" w:rsidRPr="003871B3">
        <w:rPr>
          <w:rFonts w:cs="Arial"/>
        </w:rPr>
        <w:t xml:space="preserve">k termínu </w:t>
      </w:r>
      <w:r w:rsidRPr="003871B3">
        <w:rPr>
          <w:rFonts w:cs="Arial"/>
        </w:rPr>
        <w:t xml:space="preserve">nasazení do produkce, ale data </w:t>
      </w:r>
      <w:r w:rsidR="0098693E" w:rsidRPr="003871B3">
        <w:rPr>
          <w:rFonts w:cs="Arial"/>
        </w:rPr>
        <w:t xml:space="preserve">je nutné </w:t>
      </w:r>
      <w:r w:rsidRPr="003871B3">
        <w:rPr>
          <w:rFonts w:cs="Arial"/>
        </w:rPr>
        <w:t xml:space="preserve">nahrávat </w:t>
      </w:r>
      <w:r w:rsidR="0098693E" w:rsidRPr="003871B3">
        <w:rPr>
          <w:rFonts w:cs="Arial"/>
        </w:rPr>
        <w:t>průběžně</w:t>
      </w:r>
      <w:r w:rsidRPr="003871B3">
        <w:rPr>
          <w:rFonts w:cs="Arial"/>
        </w:rPr>
        <w:t>.</w:t>
      </w:r>
    </w:p>
    <w:p w14:paraId="44DBD041" w14:textId="34A4ABCC" w:rsidR="00812BB3" w:rsidRPr="003871B3" w:rsidRDefault="00812BB3" w:rsidP="00867B65">
      <w:pPr>
        <w:pStyle w:val="GSOdstavec"/>
        <w:rPr>
          <w:rFonts w:cs="Arial"/>
        </w:rPr>
      </w:pPr>
      <w:r w:rsidRPr="003871B3">
        <w:rPr>
          <w:rFonts w:cs="Arial"/>
        </w:rPr>
        <w:t>Tento bod bude realizován</w:t>
      </w:r>
      <w:r w:rsidR="00191CA3" w:rsidRPr="003871B3">
        <w:rPr>
          <w:rFonts w:cs="Arial"/>
        </w:rPr>
        <w:t xml:space="preserve"> v rámci následujícího požadavku:</w:t>
      </w:r>
      <w:r w:rsidRPr="003871B3">
        <w:rPr>
          <w:rFonts w:cs="Arial"/>
        </w:rPr>
        <w:t xml:space="preserve"> </w:t>
      </w:r>
    </w:p>
    <w:tbl>
      <w:tblPr>
        <w:tblStyle w:val="TableGrid"/>
        <w:tblW w:w="9067" w:type="dxa"/>
        <w:tblLook w:val="04A0" w:firstRow="1" w:lastRow="0" w:firstColumn="1" w:lastColumn="0" w:noHBand="0" w:noVBand="1"/>
      </w:tblPr>
      <w:tblGrid>
        <w:gridCol w:w="1129"/>
        <w:gridCol w:w="7938"/>
      </w:tblGrid>
      <w:tr w:rsidR="00254CEF" w:rsidRPr="003871B3" w14:paraId="5A565F95" w14:textId="77777777" w:rsidTr="00254CEF">
        <w:tc>
          <w:tcPr>
            <w:tcW w:w="1129" w:type="dxa"/>
          </w:tcPr>
          <w:p w14:paraId="016526A9" w14:textId="082EA08A" w:rsidR="00254CEF" w:rsidRPr="003871B3" w:rsidRDefault="00254CEF" w:rsidP="00867B65">
            <w:pPr>
              <w:pStyle w:val="GSOdstavec"/>
              <w:rPr>
                <w:rFonts w:cs="Arial"/>
              </w:rPr>
            </w:pPr>
            <w:r w:rsidRPr="003871B3">
              <w:rPr>
                <w:rFonts w:cs="Arial"/>
              </w:rPr>
              <w:t>TP080</w:t>
            </w:r>
          </w:p>
        </w:tc>
        <w:tc>
          <w:tcPr>
            <w:tcW w:w="7938" w:type="dxa"/>
          </w:tcPr>
          <w:p w14:paraId="1977262C" w14:textId="1A3FE383" w:rsidR="00254CEF" w:rsidRPr="003871B3" w:rsidRDefault="00254CEF" w:rsidP="00191CA3">
            <w:pPr>
              <w:pStyle w:val="GSOdstavec"/>
              <w:rPr>
                <w:rFonts w:cs="Arial"/>
              </w:rPr>
            </w:pPr>
            <w:r w:rsidRPr="003871B3">
              <w:rPr>
                <w:rFonts w:cs="Arial"/>
              </w:rPr>
              <w:t>Dodavatel je zodpovědný za inkrementální aktua</w:t>
            </w:r>
            <w:r w:rsidR="00952CF4">
              <w:rPr>
                <w:rFonts w:cs="Arial"/>
              </w:rPr>
              <w:t>lizaci dat do Spisové služby. V </w:t>
            </w:r>
            <w:r w:rsidRPr="003871B3">
              <w:rPr>
                <w:rFonts w:cs="Arial"/>
              </w:rPr>
              <w:t>rámci provozu aktualizace je tedy nutné proces rozvíjet a upravovat podle změn zdrojových aplikací, cílového systému případně nových požadavků garantů.</w:t>
            </w:r>
          </w:p>
          <w:p w14:paraId="2088E32F" w14:textId="0B2C1C79" w:rsidR="00254CEF" w:rsidRPr="003871B3" w:rsidRDefault="00254CEF" w:rsidP="00952CF4">
            <w:pPr>
              <w:pStyle w:val="GSOdstavec"/>
              <w:rPr>
                <w:rFonts w:cs="Arial"/>
              </w:rPr>
            </w:pPr>
            <w:r w:rsidRPr="003871B3">
              <w:rPr>
                <w:rFonts w:cs="Arial"/>
              </w:rPr>
              <w:t>Změny v rozsahu větším než 5</w:t>
            </w:r>
            <w:r w:rsidR="00952CF4">
              <w:rPr>
                <w:rFonts w:cs="Arial"/>
              </w:rPr>
              <w:t xml:space="preserve"> </w:t>
            </w:r>
            <w:r w:rsidRPr="003871B3">
              <w:rPr>
                <w:rFonts w:cs="Arial"/>
              </w:rPr>
              <w:t>MD budou řešeny v rámci plnění</w:t>
            </w:r>
            <w:r w:rsidR="004D411B">
              <w:rPr>
                <w:rFonts w:cs="Arial"/>
              </w:rPr>
              <w:t xml:space="preserve"> </w:t>
            </w:r>
            <w:r w:rsidR="004D411B">
              <w:rPr>
                <w:rFonts w:cs="Arial"/>
              </w:rPr>
              <w:fldChar w:fldCharType="begin"/>
            </w:r>
            <w:r w:rsidR="004D411B">
              <w:rPr>
                <w:rFonts w:cs="Arial"/>
              </w:rPr>
              <w:instrText xml:space="preserve"> REF _Ref522274772 \r \h </w:instrText>
            </w:r>
            <w:r w:rsidR="004D411B">
              <w:rPr>
                <w:rFonts w:cs="Arial"/>
              </w:rPr>
            </w:r>
            <w:r w:rsidR="004D411B">
              <w:rPr>
                <w:rFonts w:cs="Arial"/>
              </w:rPr>
              <w:fldChar w:fldCharType="separate"/>
            </w:r>
            <w:r w:rsidR="00B3394C">
              <w:rPr>
                <w:rFonts w:cs="Arial"/>
              </w:rPr>
              <w:t>5.6</w:t>
            </w:r>
            <w:r w:rsidR="004D411B">
              <w:rPr>
                <w:rFonts w:cs="Arial"/>
              </w:rPr>
              <w:fldChar w:fldCharType="end"/>
            </w:r>
            <w:r w:rsidR="004D411B">
              <w:rPr>
                <w:rFonts w:cs="Arial"/>
              </w:rPr>
              <w:t>.</w:t>
            </w:r>
          </w:p>
        </w:tc>
      </w:tr>
    </w:tbl>
    <w:p w14:paraId="520F1CB6" w14:textId="77777777" w:rsidR="00191CA3" w:rsidRPr="003871B3" w:rsidRDefault="00191CA3" w:rsidP="00867B65">
      <w:pPr>
        <w:pStyle w:val="GSOdstavec"/>
        <w:rPr>
          <w:rFonts w:cs="Arial"/>
        </w:rPr>
      </w:pPr>
    </w:p>
    <w:p w14:paraId="0B9D2FF9" w14:textId="77777777" w:rsidR="00E921DD" w:rsidRPr="003871B3" w:rsidRDefault="00E921DD" w:rsidP="009A1A3F">
      <w:pPr>
        <w:pStyle w:val="GSNadpis4"/>
      </w:pPr>
      <w:r w:rsidRPr="003871B3">
        <w:t>Průběžné vedení dokumentace</w:t>
      </w:r>
    </w:p>
    <w:p w14:paraId="6F1AE33F" w14:textId="75B71271" w:rsidR="00191CA3" w:rsidRPr="003871B3" w:rsidRDefault="00191CA3">
      <w:pPr>
        <w:pStyle w:val="GSOdstavec"/>
      </w:pPr>
      <w:r w:rsidRPr="003871B3">
        <w:t>Dokumentace je požadována v rozsahu uvedených požadavků:</w:t>
      </w:r>
    </w:p>
    <w:tbl>
      <w:tblPr>
        <w:tblStyle w:val="TableGrid"/>
        <w:tblW w:w="9067" w:type="dxa"/>
        <w:tblLook w:val="04A0" w:firstRow="1" w:lastRow="0" w:firstColumn="1" w:lastColumn="0" w:noHBand="0" w:noVBand="1"/>
      </w:tblPr>
      <w:tblGrid>
        <w:gridCol w:w="1271"/>
        <w:gridCol w:w="7796"/>
      </w:tblGrid>
      <w:tr w:rsidR="00254CEF" w:rsidRPr="003871B3" w14:paraId="10021EB6" w14:textId="77777777" w:rsidTr="00254CEF">
        <w:tc>
          <w:tcPr>
            <w:tcW w:w="1271" w:type="dxa"/>
          </w:tcPr>
          <w:p w14:paraId="03FBA188" w14:textId="4952AB20" w:rsidR="00254CEF" w:rsidRPr="003871B3" w:rsidRDefault="00254CEF">
            <w:pPr>
              <w:pStyle w:val="GSOdstavec"/>
            </w:pPr>
            <w:r w:rsidRPr="003871B3">
              <w:t>TP003</w:t>
            </w:r>
          </w:p>
        </w:tc>
        <w:tc>
          <w:tcPr>
            <w:tcW w:w="7796" w:type="dxa"/>
          </w:tcPr>
          <w:p w14:paraId="67708F8F" w14:textId="3FAB29B4" w:rsidR="00254CEF" w:rsidRPr="003871B3" w:rsidRDefault="00254CEF" w:rsidP="00A6180A">
            <w:pPr>
              <w:pStyle w:val="GSOdstavec"/>
              <w:rPr>
                <w:rFonts w:cs="Arial"/>
                <w:szCs w:val="22"/>
              </w:rPr>
            </w:pPr>
            <w:r w:rsidRPr="00A6180A">
              <w:rPr>
                <w:rFonts w:cs="Arial"/>
              </w:rPr>
              <w:t>Dodavatel bude dodávat specifikace rozhraní všech vystavovaných API (DB rozhraní, rozhraní webových služeb, souborová rozhraní). API budou poskytována na základě otevřeného standardu.</w:t>
            </w:r>
          </w:p>
        </w:tc>
      </w:tr>
      <w:tr w:rsidR="00254CEF" w:rsidRPr="003871B3" w14:paraId="373FA29A" w14:textId="77777777" w:rsidTr="00254CEF">
        <w:tc>
          <w:tcPr>
            <w:tcW w:w="1271" w:type="dxa"/>
          </w:tcPr>
          <w:p w14:paraId="3C60EEBB" w14:textId="241B9B8A" w:rsidR="00254CEF" w:rsidRPr="003871B3" w:rsidRDefault="00254CEF">
            <w:pPr>
              <w:pStyle w:val="GSOdstavec"/>
            </w:pPr>
            <w:r w:rsidRPr="003871B3">
              <w:t>TP011</w:t>
            </w:r>
          </w:p>
        </w:tc>
        <w:tc>
          <w:tcPr>
            <w:tcW w:w="7796" w:type="dxa"/>
          </w:tcPr>
          <w:p w14:paraId="1E5CDAF1" w14:textId="776A0849" w:rsidR="00254CEF" w:rsidRPr="00A6180A" w:rsidRDefault="00254CEF" w:rsidP="00A6180A">
            <w:pPr>
              <w:pStyle w:val="GSOdstavec"/>
              <w:rPr>
                <w:rFonts w:cs="Arial"/>
              </w:rPr>
            </w:pPr>
            <w:r w:rsidRPr="00A6180A">
              <w:rPr>
                <w:rFonts w:cs="Arial"/>
              </w:rPr>
              <w:t xml:space="preserve">Dodavatel bude pravidelně aktualizovat přehled a popis poskytovaných rozhraní systému (u všech prostředí) v evidenci rozhraní (katalog webových služeb, db rozhraní, souborových rozhraní). </w:t>
            </w:r>
          </w:p>
          <w:p w14:paraId="6DB341C4" w14:textId="37CC183D" w:rsidR="00254CEF" w:rsidRPr="003871B3" w:rsidRDefault="00254CEF" w:rsidP="00A6180A">
            <w:pPr>
              <w:pStyle w:val="GSOdstavec"/>
              <w:rPr>
                <w:rFonts w:cs="Arial"/>
                <w:szCs w:val="22"/>
              </w:rPr>
            </w:pPr>
            <w:r w:rsidRPr="00A6180A">
              <w:rPr>
                <w:rFonts w:cs="Arial"/>
              </w:rPr>
              <w:t xml:space="preserve">Dodavatel zajisti aktualizaci rozhraní pro rozhraní vytvářená v rámci projektu. </w:t>
            </w:r>
            <w:r w:rsidR="00262235" w:rsidRPr="00A6180A">
              <w:rPr>
                <w:rFonts w:cs="Arial"/>
              </w:rPr>
              <w:t>Objednatel</w:t>
            </w:r>
            <w:r w:rsidRPr="00A6180A">
              <w:rPr>
                <w:rFonts w:cs="Arial"/>
              </w:rPr>
              <w:t xml:space="preserve"> poskytne nástroj pro evidenci rozhraní. Předpokládá se využití Enterprise architect. Aktualizace přehledu a popisu bude provedena vždy v rámci release. Dodavatel také dodá přehled a způsob použití konzumovaných rozhraní. </w:t>
            </w:r>
          </w:p>
        </w:tc>
      </w:tr>
      <w:tr w:rsidR="00254CEF" w:rsidRPr="003871B3" w14:paraId="17E1B6B7" w14:textId="77777777" w:rsidTr="00254CEF">
        <w:tc>
          <w:tcPr>
            <w:tcW w:w="1271" w:type="dxa"/>
          </w:tcPr>
          <w:p w14:paraId="1F4DD234" w14:textId="599354BB" w:rsidR="00254CEF" w:rsidRPr="003871B3" w:rsidRDefault="00254CEF">
            <w:pPr>
              <w:pStyle w:val="GSOdstavec"/>
            </w:pPr>
            <w:r w:rsidRPr="003871B3">
              <w:t>TP049</w:t>
            </w:r>
          </w:p>
        </w:tc>
        <w:tc>
          <w:tcPr>
            <w:tcW w:w="7796" w:type="dxa"/>
          </w:tcPr>
          <w:p w14:paraId="0785C9B8" w14:textId="17CF510A" w:rsidR="00254CEF" w:rsidRPr="003871B3" w:rsidRDefault="00254CEF">
            <w:pPr>
              <w:pStyle w:val="GSOdstavec"/>
              <w:rPr>
                <w:rFonts w:cs="Arial"/>
                <w:szCs w:val="22"/>
              </w:rPr>
            </w:pPr>
            <w:r w:rsidRPr="003871B3">
              <w:rPr>
                <w:rFonts w:cs="Arial"/>
                <w:szCs w:val="22"/>
              </w:rPr>
              <w:t xml:space="preserve">Dodavatel povede a bude se </w:t>
            </w:r>
            <w:r w:rsidR="00262235">
              <w:rPr>
                <w:rFonts w:cs="Arial"/>
                <w:szCs w:val="22"/>
              </w:rPr>
              <w:t>Objednatel</w:t>
            </w:r>
            <w:r w:rsidRPr="003871B3">
              <w:rPr>
                <w:rFonts w:cs="Arial"/>
                <w:szCs w:val="22"/>
              </w:rPr>
              <w:t xml:space="preserve">em (v rámci prostředí </w:t>
            </w:r>
            <w:r w:rsidR="00262235">
              <w:rPr>
                <w:rFonts w:cs="Arial"/>
                <w:szCs w:val="22"/>
              </w:rPr>
              <w:t>Objednatel</w:t>
            </w:r>
            <w:r w:rsidRPr="003871B3">
              <w:rPr>
                <w:rFonts w:cs="Arial"/>
                <w:szCs w:val="22"/>
              </w:rPr>
              <w:t>e) sdílet evidenci veškerých implementovaných změn v jednotlivých releasech.</w:t>
            </w:r>
          </w:p>
        </w:tc>
      </w:tr>
      <w:tr w:rsidR="00254CEF" w:rsidRPr="003871B3" w14:paraId="42FB7C35" w14:textId="77777777" w:rsidTr="00254CEF">
        <w:tc>
          <w:tcPr>
            <w:tcW w:w="1271" w:type="dxa"/>
          </w:tcPr>
          <w:p w14:paraId="492B3916" w14:textId="000D213B" w:rsidR="00254CEF" w:rsidRPr="003871B3" w:rsidRDefault="00254CEF">
            <w:pPr>
              <w:pStyle w:val="GSOdstavec"/>
            </w:pPr>
            <w:r w:rsidRPr="003871B3">
              <w:t>TP064</w:t>
            </w:r>
          </w:p>
        </w:tc>
        <w:tc>
          <w:tcPr>
            <w:tcW w:w="7796" w:type="dxa"/>
          </w:tcPr>
          <w:p w14:paraId="308ADA76" w14:textId="77777777" w:rsidR="00254CEF" w:rsidRPr="003871B3" w:rsidRDefault="00254CEF">
            <w:pPr>
              <w:pStyle w:val="GSOdstavec"/>
              <w:rPr>
                <w:rFonts w:cs="Arial"/>
                <w:szCs w:val="22"/>
              </w:rPr>
            </w:pPr>
            <w:r w:rsidRPr="003871B3">
              <w:rPr>
                <w:rFonts w:cs="Arial"/>
                <w:szCs w:val="22"/>
              </w:rPr>
              <w:t>Dodavatel zajistí, aby při budoucích kontrolách dat byl dohledatelný zdroj dat a též bylo dohledatelné, jaké transformace či jiné operace byly nad daty provedeny.</w:t>
            </w:r>
          </w:p>
          <w:p w14:paraId="1A39DA16" w14:textId="0D3B6AF8" w:rsidR="00254CEF" w:rsidRPr="003871B3" w:rsidRDefault="00254CEF">
            <w:pPr>
              <w:pStyle w:val="GSOdstavec"/>
            </w:pPr>
            <w:r w:rsidRPr="003871B3">
              <w:rPr>
                <w:rFonts w:cs="Arial"/>
                <w:szCs w:val="22"/>
              </w:rPr>
              <w:t>Dodavatel bude provádět sdílení změn v jednotlivých release prostřednictvím průvodky k release.</w:t>
            </w:r>
          </w:p>
        </w:tc>
      </w:tr>
      <w:tr w:rsidR="00254CEF" w:rsidRPr="003871B3" w14:paraId="5904115F" w14:textId="77777777" w:rsidTr="00254CEF">
        <w:tc>
          <w:tcPr>
            <w:tcW w:w="1271" w:type="dxa"/>
          </w:tcPr>
          <w:p w14:paraId="730760DF" w14:textId="75E4E04A" w:rsidR="00254CEF" w:rsidRPr="003871B3" w:rsidRDefault="00254CEF">
            <w:pPr>
              <w:pStyle w:val="GSOdstavec"/>
            </w:pPr>
            <w:r w:rsidRPr="003871B3">
              <w:t>DOC001</w:t>
            </w:r>
          </w:p>
        </w:tc>
        <w:tc>
          <w:tcPr>
            <w:tcW w:w="7796" w:type="dxa"/>
          </w:tcPr>
          <w:p w14:paraId="7D1C436B" w14:textId="4F65C03D" w:rsidR="00254CEF" w:rsidRPr="00A6180A" w:rsidRDefault="00254CEF">
            <w:pPr>
              <w:pStyle w:val="GSOdstavec"/>
              <w:rPr>
                <w:rFonts w:cs="Arial"/>
              </w:rPr>
            </w:pPr>
            <w:r w:rsidRPr="00A6180A">
              <w:rPr>
                <w:rFonts w:cs="Arial"/>
              </w:rPr>
              <w:t>Dodavatel použije pro modelování standardizované modelovací jazyky (ArchiMate 3, UML 2.5, BPMN 2). V souladu s modelovacím standardem MPSV.</w:t>
            </w:r>
          </w:p>
        </w:tc>
      </w:tr>
      <w:tr w:rsidR="00254CEF" w:rsidRPr="003871B3" w14:paraId="5B1FF580" w14:textId="77777777" w:rsidTr="00254CEF">
        <w:tc>
          <w:tcPr>
            <w:tcW w:w="1271" w:type="dxa"/>
          </w:tcPr>
          <w:p w14:paraId="44D8C7BC" w14:textId="7BFE6B32" w:rsidR="00254CEF" w:rsidRPr="003871B3" w:rsidRDefault="00254CEF">
            <w:pPr>
              <w:pStyle w:val="GSOdstavec"/>
            </w:pPr>
            <w:r w:rsidRPr="003871B3">
              <w:t>DOC002</w:t>
            </w:r>
          </w:p>
        </w:tc>
        <w:tc>
          <w:tcPr>
            <w:tcW w:w="7796" w:type="dxa"/>
          </w:tcPr>
          <w:p w14:paraId="4B733FE7" w14:textId="7225CF93" w:rsidR="00254CEF" w:rsidRPr="00A6180A" w:rsidRDefault="00254CEF">
            <w:pPr>
              <w:pStyle w:val="GSOdstavec"/>
              <w:rPr>
                <w:rFonts w:cs="Arial"/>
              </w:rPr>
            </w:pPr>
            <w:r w:rsidRPr="00A6180A">
              <w:rPr>
                <w:rFonts w:cs="Arial"/>
              </w:rPr>
              <w:t>Dodavatel použije standardizovanou strukturu EA repository a bude udržovat repozitory modelů projektu v aktuální stavu v souladu s modelovacím standardem MPSV.</w:t>
            </w:r>
          </w:p>
        </w:tc>
      </w:tr>
      <w:tr w:rsidR="00254CEF" w:rsidRPr="003871B3" w14:paraId="727EE93D" w14:textId="77777777" w:rsidTr="00254CEF">
        <w:tc>
          <w:tcPr>
            <w:tcW w:w="1271" w:type="dxa"/>
          </w:tcPr>
          <w:p w14:paraId="0C8553EC" w14:textId="7E03750C" w:rsidR="00254CEF" w:rsidRPr="003871B3" w:rsidRDefault="00254CEF">
            <w:pPr>
              <w:pStyle w:val="GSOdstavec"/>
            </w:pPr>
            <w:r w:rsidRPr="003871B3">
              <w:t>DOC003</w:t>
            </w:r>
          </w:p>
        </w:tc>
        <w:tc>
          <w:tcPr>
            <w:tcW w:w="7796" w:type="dxa"/>
          </w:tcPr>
          <w:p w14:paraId="52B8D16B" w14:textId="77777777" w:rsidR="00254CEF" w:rsidRPr="00A6180A" w:rsidRDefault="00254CEF">
            <w:pPr>
              <w:pStyle w:val="GSOdstavec"/>
              <w:rPr>
                <w:rFonts w:cs="Arial"/>
              </w:rPr>
            </w:pPr>
            <w:r w:rsidRPr="00A6180A">
              <w:rPr>
                <w:rFonts w:cs="Arial"/>
              </w:rPr>
              <w:t xml:space="preserve">Při tvorbě modelů bude dodavatel využívat v maximální možné míře dostupné sdílené prvky ze sdíleného repository MPSV. V souladu s modelovacím standardem. </w:t>
            </w:r>
          </w:p>
          <w:p w14:paraId="71F141E0" w14:textId="6232D240" w:rsidR="00254CEF" w:rsidRPr="00A6180A" w:rsidRDefault="00254CEF">
            <w:pPr>
              <w:pStyle w:val="GSOdstavec"/>
              <w:rPr>
                <w:rFonts w:cs="Arial"/>
              </w:rPr>
            </w:pPr>
            <w:r w:rsidRPr="00A6180A">
              <w:rPr>
                <w:rFonts w:cs="Arial"/>
              </w:rPr>
              <w:t>Dodavatel bude používat pro nově vytvořené modely sdílené prvky, které budou existovat v době tvorby modelu.</w:t>
            </w:r>
          </w:p>
        </w:tc>
      </w:tr>
      <w:tr w:rsidR="00254CEF" w:rsidRPr="003871B3" w14:paraId="10B7131C" w14:textId="77777777" w:rsidTr="00254CEF">
        <w:tc>
          <w:tcPr>
            <w:tcW w:w="1271" w:type="dxa"/>
          </w:tcPr>
          <w:p w14:paraId="6EBDE497" w14:textId="02CE26E2" w:rsidR="00254CEF" w:rsidRPr="003871B3" w:rsidRDefault="00254CEF">
            <w:pPr>
              <w:pStyle w:val="GSOdstavec"/>
            </w:pPr>
            <w:r w:rsidRPr="003871B3">
              <w:t>DOC004</w:t>
            </w:r>
          </w:p>
        </w:tc>
        <w:tc>
          <w:tcPr>
            <w:tcW w:w="7796" w:type="dxa"/>
          </w:tcPr>
          <w:p w14:paraId="635B8040" w14:textId="7C8688FE" w:rsidR="00254CEF" w:rsidRPr="00A6180A" w:rsidRDefault="00254CEF" w:rsidP="00A318E3">
            <w:pPr>
              <w:pStyle w:val="GSOdstavec"/>
              <w:rPr>
                <w:rFonts w:cs="Arial"/>
              </w:rPr>
            </w:pPr>
            <w:r w:rsidRPr="00A6180A">
              <w:rPr>
                <w:rFonts w:cs="Arial"/>
              </w:rPr>
              <w:t xml:space="preserve">Dodavatel provede aktualizaci EA modelu ve sdíleném repository MPSV před každým plánovaným releasem ve fázi návrhu řešení pro daný release. </w:t>
            </w:r>
          </w:p>
          <w:p w14:paraId="05F77A3B" w14:textId="22A4402B" w:rsidR="00254CEF" w:rsidRPr="00A6180A" w:rsidRDefault="00254CEF">
            <w:pPr>
              <w:pStyle w:val="GSOdstavec"/>
              <w:rPr>
                <w:rFonts w:cs="Arial"/>
              </w:rPr>
            </w:pPr>
            <w:r w:rsidRPr="00A6180A">
              <w:rPr>
                <w:rFonts w:cs="Arial"/>
              </w:rPr>
              <w:t>Případně bude aktualizace dokumentace provedena v rámci release, a to hlavně v případě, kdy výsledná podoba není na začátku sprintu známá a je během něj tvořena.</w:t>
            </w:r>
          </w:p>
        </w:tc>
      </w:tr>
      <w:tr w:rsidR="00254CEF" w:rsidRPr="003871B3" w14:paraId="5E8EE22A" w14:textId="77777777" w:rsidTr="00254CEF">
        <w:tc>
          <w:tcPr>
            <w:tcW w:w="1271" w:type="dxa"/>
          </w:tcPr>
          <w:p w14:paraId="351318AF" w14:textId="21BEA2EE" w:rsidR="00254CEF" w:rsidRPr="003871B3" w:rsidRDefault="00254CEF">
            <w:pPr>
              <w:pStyle w:val="GSOdstavec"/>
            </w:pPr>
            <w:r w:rsidRPr="003871B3">
              <w:t>DOC007</w:t>
            </w:r>
          </w:p>
        </w:tc>
        <w:tc>
          <w:tcPr>
            <w:tcW w:w="7796" w:type="dxa"/>
          </w:tcPr>
          <w:p w14:paraId="02774122" w14:textId="5D2AA764" w:rsidR="00254CEF" w:rsidRPr="00A6180A" w:rsidRDefault="00254CEF" w:rsidP="00A318E3">
            <w:pPr>
              <w:pStyle w:val="GSOdstavec"/>
              <w:rPr>
                <w:rFonts w:cs="Arial"/>
              </w:rPr>
            </w:pPr>
            <w:r w:rsidRPr="00A6180A">
              <w:rPr>
                <w:rFonts w:cs="Arial"/>
              </w:rPr>
              <w:t>Při modelování je nutné dodržovat několik zásad, které jsou definovány v modelovacím standardu MPSV. Jde zejména o dodržování jmenných konvencí, obecných zásad pro čitelnost a srozumitelnost a také dodržování pravidelného verzování modelů.</w:t>
            </w:r>
          </w:p>
          <w:p w14:paraId="38A6D2E8" w14:textId="44D4B87B" w:rsidR="00254CEF" w:rsidRPr="00A6180A" w:rsidRDefault="00254CEF" w:rsidP="00A318E3">
            <w:pPr>
              <w:pStyle w:val="GSOdstavec"/>
              <w:rPr>
                <w:rFonts w:cs="Arial"/>
              </w:rPr>
            </w:pPr>
            <w:r w:rsidRPr="00A6180A">
              <w:rPr>
                <w:rFonts w:cs="Arial"/>
              </w:rPr>
              <w:t>Dodavatel pro nově vytvořený kód bude používat jmenné konvence MPSV. Převzaté položky z jiných systému jsou na odpovědnosti ostatních dodavatelů. Jmenné konvence v L0 vrstvě jsou převzaty ze zdrojových systémů a v L2 vrstvě jsou tvořeny na základě požadavků cílových systému.</w:t>
            </w:r>
          </w:p>
        </w:tc>
      </w:tr>
      <w:tr w:rsidR="00254CEF" w:rsidRPr="003871B3" w14:paraId="12A8C0C7" w14:textId="77777777" w:rsidTr="00254CEF">
        <w:tc>
          <w:tcPr>
            <w:tcW w:w="1271" w:type="dxa"/>
          </w:tcPr>
          <w:p w14:paraId="13A3FE09" w14:textId="7B4A151F" w:rsidR="00254CEF" w:rsidRPr="003871B3" w:rsidRDefault="00254CEF">
            <w:pPr>
              <w:pStyle w:val="GSOdstavec"/>
            </w:pPr>
            <w:r w:rsidRPr="003871B3">
              <w:t>DOC010</w:t>
            </w:r>
          </w:p>
        </w:tc>
        <w:tc>
          <w:tcPr>
            <w:tcW w:w="7796" w:type="dxa"/>
          </w:tcPr>
          <w:p w14:paraId="74B86F68" w14:textId="2A4473B2" w:rsidR="00254CEF" w:rsidRPr="003871B3" w:rsidRDefault="00254CEF" w:rsidP="00A318E3">
            <w:pPr>
              <w:pStyle w:val="GSOdstavec"/>
              <w:rPr>
                <w:rFonts w:cs="Arial"/>
                <w:szCs w:val="22"/>
              </w:rPr>
            </w:pPr>
            <w:r w:rsidRPr="003871B3">
              <w:rPr>
                <w:rFonts w:cs="Arial"/>
                <w:szCs w:val="22"/>
              </w:rPr>
              <w:t xml:space="preserve">Dodavatel dodá analytickou dokumentaci, která bude rozdělena na nosný dokument a jeho přílohy, a bude obsahovat: </w:t>
            </w:r>
          </w:p>
          <w:p w14:paraId="6296DDE4"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Katalog požadavků (HL úroveň popisu v EA/UML, HL i detailní úroveň popisu v separátní příloze)</w:t>
            </w:r>
          </w:p>
          <w:p w14:paraId="50CB706F"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Jmenné konvence</w:t>
            </w:r>
          </w:p>
          <w:p w14:paraId="27A52ECA"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Přehled datových toků s okolními systémy</w:t>
            </w:r>
          </w:p>
          <w:p w14:paraId="0700B468"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Specifikace rozhraní</w:t>
            </w:r>
          </w:p>
          <w:p w14:paraId="4115B606"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Popis ETL transformací a jejich vazeb</w:t>
            </w:r>
          </w:p>
          <w:p w14:paraId="78F4DF84"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xml:space="preserve">- Popis každého vystaveného rozhraní (WS, DB rozhraní, souborového rozhraní) - popis bude mít charakter zadání pro vývoj (zejména definice povinných/nepovinných polí, datových typů, oborů hodnot / validačních schémat) </w:t>
            </w:r>
          </w:p>
          <w:p w14:paraId="652FB4E6"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Use Case modely s vazbou na požadavky (UML)</w:t>
            </w:r>
          </w:p>
          <w:p w14:paraId="723BD5C3"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Sekvenční modely (realizační sekvence v UML)</w:t>
            </w:r>
          </w:p>
          <w:p w14:paraId="7C847D7E"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Model persistence (datový model v UML) zdrojových a cílových db struktur</w:t>
            </w:r>
          </w:p>
          <w:p w14:paraId="01CF3B18"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Model tříd (UML)- Model nasazení (UML/součást infrastrukturní dokumentace)</w:t>
            </w:r>
          </w:p>
          <w:p w14:paraId="061AC5FD"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Model komponent (UML/ detailní přehled a popis aplikačních komponent systému/ integrační model s přehledem přes všechny zasažené systémy, komponenty a jejich rozhraní)</w:t>
            </w:r>
          </w:p>
          <w:p w14:paraId="4C2A2C37"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Model rozhraní (UML)</w:t>
            </w:r>
          </w:p>
          <w:p w14:paraId="08EF1862" w14:textId="77777777" w:rsidR="00254CEF" w:rsidRPr="003871B3" w:rsidRDefault="00254CEF" w:rsidP="00A318E3">
            <w:pPr>
              <w:ind w:left="2"/>
              <w:rPr>
                <w:rFonts w:ascii="Arial" w:hAnsi="Arial" w:cs="Arial"/>
                <w:sz w:val="22"/>
                <w:szCs w:val="22"/>
              </w:rPr>
            </w:pPr>
            <w:r w:rsidRPr="003871B3">
              <w:rPr>
                <w:rFonts w:ascii="Arial" w:hAnsi="Arial" w:cs="Arial"/>
                <w:sz w:val="22"/>
                <w:szCs w:val="22"/>
              </w:rPr>
              <w:t>- Model stavů (UML)</w:t>
            </w:r>
          </w:p>
          <w:p w14:paraId="57872D0F" w14:textId="0764BB16" w:rsidR="00254CEF" w:rsidRPr="003871B3" w:rsidRDefault="00254CEF" w:rsidP="00A318E3">
            <w:pPr>
              <w:ind w:left="2"/>
              <w:rPr>
                <w:rFonts w:ascii="Arial" w:hAnsi="Arial" w:cs="Arial"/>
                <w:sz w:val="22"/>
                <w:szCs w:val="22"/>
              </w:rPr>
            </w:pPr>
            <w:r w:rsidRPr="003871B3">
              <w:rPr>
                <w:rFonts w:ascii="Arial" w:hAnsi="Arial" w:cs="Arial"/>
                <w:sz w:val="22"/>
                <w:szCs w:val="22"/>
              </w:rPr>
              <w:t xml:space="preserve">- Licenční model (XLS tabulka s přehledem všech potřebných licencí pro pokrytí všech prostředí, kde bude uvedeno, zda je uvedená licence pokryta/zajištěna dodavatelem nebo </w:t>
            </w:r>
            <w:r w:rsidR="00262235">
              <w:rPr>
                <w:rFonts w:ascii="Arial" w:hAnsi="Arial" w:cs="Arial"/>
                <w:sz w:val="22"/>
                <w:szCs w:val="22"/>
              </w:rPr>
              <w:t>Objednatel</w:t>
            </w:r>
            <w:r w:rsidRPr="003871B3">
              <w:rPr>
                <w:rFonts w:ascii="Arial" w:hAnsi="Arial" w:cs="Arial"/>
                <w:sz w:val="22"/>
                <w:szCs w:val="22"/>
              </w:rPr>
              <w:t xml:space="preserve">em). </w:t>
            </w:r>
          </w:p>
          <w:p w14:paraId="77D880E5" w14:textId="226F9245" w:rsidR="00254CEF" w:rsidRPr="00A6180A" w:rsidRDefault="00254CEF" w:rsidP="00A6180A">
            <w:pPr>
              <w:pStyle w:val="GSOdstavec"/>
              <w:rPr>
                <w:rFonts w:cs="Arial"/>
              </w:rPr>
            </w:pPr>
            <w:r w:rsidRPr="00A6180A">
              <w:rPr>
                <w:rFonts w:cs="Arial"/>
              </w:rPr>
              <w:t>Modely budou tvořeny v souladu s modelovacím standardem MPSV. Jednotlivé modely budou vytvořeny s ohledem na jejich účelnost a čitelnost. Některé části migračních popisů budou tedy popsány jen částí vyjmenovaných možností modelů.</w:t>
            </w:r>
          </w:p>
          <w:p w14:paraId="15556C26" w14:textId="3E69F549" w:rsidR="00254CEF" w:rsidRPr="003871B3" w:rsidRDefault="00262235" w:rsidP="00A6180A">
            <w:pPr>
              <w:pStyle w:val="GSOdstavec"/>
              <w:rPr>
                <w:rFonts w:cs="Arial"/>
                <w:szCs w:val="22"/>
              </w:rPr>
            </w:pPr>
            <w:r w:rsidRPr="00A6180A">
              <w:rPr>
                <w:rFonts w:cs="Arial"/>
              </w:rPr>
              <w:t>Objednatel</w:t>
            </w:r>
            <w:r w:rsidR="00254CEF" w:rsidRPr="00A6180A">
              <w:rPr>
                <w:rFonts w:cs="Arial"/>
              </w:rPr>
              <w:t xml:space="preserve"> jako součinnost poskytne konzultace v oblasti způsobu realizace jednotlivých modelů podle standardu MPSV.</w:t>
            </w:r>
          </w:p>
        </w:tc>
      </w:tr>
      <w:tr w:rsidR="00254CEF" w:rsidRPr="003871B3" w14:paraId="34EEB673" w14:textId="77777777" w:rsidTr="00254CEF">
        <w:tc>
          <w:tcPr>
            <w:tcW w:w="1271" w:type="dxa"/>
          </w:tcPr>
          <w:p w14:paraId="2726F4F9" w14:textId="50376EE4" w:rsidR="00254CEF" w:rsidRPr="003871B3" w:rsidRDefault="00254CEF">
            <w:pPr>
              <w:pStyle w:val="GSOdstavec"/>
            </w:pPr>
            <w:r w:rsidRPr="003871B3">
              <w:t>DOC012</w:t>
            </w:r>
          </w:p>
        </w:tc>
        <w:tc>
          <w:tcPr>
            <w:tcW w:w="7796" w:type="dxa"/>
          </w:tcPr>
          <w:p w14:paraId="1C90A95C" w14:textId="1DA2FAE6" w:rsidR="00254CEF" w:rsidRPr="003871B3" w:rsidRDefault="00254CEF" w:rsidP="00A318E3">
            <w:pPr>
              <w:pStyle w:val="GSOdstavec"/>
              <w:rPr>
                <w:rFonts w:cs="Arial"/>
                <w:szCs w:val="22"/>
              </w:rPr>
            </w:pPr>
            <w:r w:rsidRPr="003871B3">
              <w:rPr>
                <w:rFonts w:cs="Arial"/>
                <w:szCs w:val="22"/>
              </w:rPr>
              <w:t>Instalační příručka, provozní příručka a uživatelský manuál budou dodány formou dokumentů ve formátu DOCX a PDF (každý dokument v obou formátech) ve verzi aktuálně uvolněné ke dni akceptace. Ve stejném formátu bude dodána i doplňková dokumentace ve vztahu ke zdrojovým kódům, vývojovému prostředí a softwarovým knihovnám.</w:t>
            </w:r>
          </w:p>
        </w:tc>
      </w:tr>
      <w:tr w:rsidR="00254CEF" w:rsidRPr="003871B3" w14:paraId="33C50145" w14:textId="77777777" w:rsidTr="00254CEF">
        <w:tc>
          <w:tcPr>
            <w:tcW w:w="1271" w:type="dxa"/>
          </w:tcPr>
          <w:p w14:paraId="59360103" w14:textId="3ED0ED2D" w:rsidR="00254CEF" w:rsidRPr="003871B3" w:rsidRDefault="00254CEF">
            <w:pPr>
              <w:pStyle w:val="GSOdstavec"/>
            </w:pPr>
            <w:r w:rsidRPr="003871B3">
              <w:t>DOC013</w:t>
            </w:r>
          </w:p>
        </w:tc>
        <w:tc>
          <w:tcPr>
            <w:tcW w:w="7796" w:type="dxa"/>
          </w:tcPr>
          <w:p w14:paraId="07D1C4FB" w14:textId="455D422C" w:rsidR="00254CEF" w:rsidRPr="003871B3" w:rsidRDefault="00254CEF" w:rsidP="00A318E3">
            <w:pPr>
              <w:pStyle w:val="GSOdstavec"/>
              <w:rPr>
                <w:rFonts w:cs="Arial"/>
                <w:szCs w:val="22"/>
              </w:rPr>
            </w:pPr>
            <w:r w:rsidRPr="003871B3">
              <w:rPr>
                <w:rFonts w:cs="Arial"/>
                <w:szCs w:val="22"/>
              </w:rPr>
              <w:t>Architektonické, analytické a vývojářské modely budou modelovány nástrojem SparxSystems Enterprise Architect ve verzi dle určené modelovacím standardem MPSV. Licenci EA (minimálně corporate edici) si musí zajistit Dodavatel.</w:t>
            </w:r>
          </w:p>
        </w:tc>
      </w:tr>
      <w:tr w:rsidR="00254CEF" w:rsidRPr="003871B3" w14:paraId="05B423C0" w14:textId="77777777" w:rsidTr="00254CEF">
        <w:tc>
          <w:tcPr>
            <w:tcW w:w="1271" w:type="dxa"/>
          </w:tcPr>
          <w:p w14:paraId="01058020" w14:textId="440ADE10" w:rsidR="00254CEF" w:rsidRPr="003871B3" w:rsidRDefault="00254CEF">
            <w:pPr>
              <w:pStyle w:val="GSOdstavec"/>
            </w:pPr>
            <w:r w:rsidRPr="003871B3">
              <w:t>DOC018</w:t>
            </w:r>
          </w:p>
        </w:tc>
        <w:tc>
          <w:tcPr>
            <w:tcW w:w="7796" w:type="dxa"/>
          </w:tcPr>
          <w:p w14:paraId="271DE0CF" w14:textId="3911BC86" w:rsidR="00254CEF" w:rsidRPr="003871B3" w:rsidRDefault="00254CEF" w:rsidP="00A6180A">
            <w:pPr>
              <w:pStyle w:val="GSOdstavec"/>
              <w:rPr>
                <w:rFonts w:cs="Arial"/>
                <w:szCs w:val="22"/>
              </w:rPr>
            </w:pPr>
            <w:r w:rsidRPr="003871B3">
              <w:rPr>
                <w:rFonts w:cs="Arial"/>
                <w:szCs w:val="22"/>
              </w:rPr>
              <w:t>Dodavatel dodá infrastrukturní dokumentaci, která bude obsahovat:</w:t>
            </w:r>
          </w:p>
          <w:p w14:paraId="40462184" w14:textId="77777777" w:rsidR="00254CEF" w:rsidRPr="003871B3" w:rsidRDefault="00254CEF" w:rsidP="00A318E3">
            <w:pPr>
              <w:pStyle w:val="ListParagraph"/>
              <w:numPr>
                <w:ilvl w:val="0"/>
                <w:numId w:val="21"/>
              </w:numPr>
              <w:spacing w:after="5" w:line="249" w:lineRule="auto"/>
              <w:jc w:val="both"/>
              <w:rPr>
                <w:rFonts w:ascii="Arial" w:hAnsi="Arial" w:cs="Arial"/>
                <w:b w:val="0"/>
                <w:sz w:val="22"/>
                <w:szCs w:val="22"/>
              </w:rPr>
            </w:pPr>
            <w:r w:rsidRPr="003871B3">
              <w:rPr>
                <w:rFonts w:ascii="Arial" w:hAnsi="Arial" w:cs="Arial"/>
                <w:b w:val="0"/>
                <w:sz w:val="22"/>
                <w:szCs w:val="22"/>
              </w:rPr>
              <w:t>matici serverů</w:t>
            </w:r>
          </w:p>
          <w:p w14:paraId="5D80A742" w14:textId="77777777" w:rsidR="00254CEF" w:rsidRPr="003871B3" w:rsidRDefault="00254CEF" w:rsidP="00A318E3">
            <w:pPr>
              <w:pStyle w:val="ListParagraph"/>
              <w:numPr>
                <w:ilvl w:val="0"/>
                <w:numId w:val="21"/>
              </w:numPr>
              <w:spacing w:after="5" w:line="249" w:lineRule="auto"/>
              <w:jc w:val="both"/>
              <w:rPr>
                <w:rFonts w:ascii="Arial" w:hAnsi="Arial" w:cs="Arial"/>
                <w:b w:val="0"/>
                <w:sz w:val="22"/>
                <w:szCs w:val="22"/>
              </w:rPr>
            </w:pPr>
            <w:r w:rsidRPr="003871B3">
              <w:rPr>
                <w:rFonts w:ascii="Arial" w:hAnsi="Arial" w:cs="Arial"/>
                <w:b w:val="0"/>
                <w:sz w:val="22"/>
                <w:szCs w:val="22"/>
              </w:rPr>
              <w:t>komunikační matici</w:t>
            </w:r>
          </w:p>
          <w:p w14:paraId="2B9D74CE" w14:textId="77777777" w:rsidR="00254CEF" w:rsidRPr="003871B3" w:rsidRDefault="00254CEF" w:rsidP="00A318E3">
            <w:pPr>
              <w:pStyle w:val="ListParagraph"/>
              <w:numPr>
                <w:ilvl w:val="0"/>
                <w:numId w:val="21"/>
              </w:numPr>
              <w:spacing w:after="5" w:line="249" w:lineRule="auto"/>
              <w:jc w:val="both"/>
              <w:rPr>
                <w:rFonts w:ascii="Arial" w:hAnsi="Arial" w:cs="Arial"/>
                <w:b w:val="0"/>
                <w:sz w:val="22"/>
                <w:szCs w:val="22"/>
              </w:rPr>
            </w:pPr>
            <w:r w:rsidRPr="003871B3">
              <w:rPr>
                <w:rFonts w:ascii="Arial" w:hAnsi="Arial" w:cs="Arial"/>
                <w:b w:val="0"/>
                <w:sz w:val="22"/>
                <w:szCs w:val="22"/>
              </w:rPr>
              <w:t>model nasazení pro každé prostředí (UML)</w:t>
            </w:r>
          </w:p>
          <w:p w14:paraId="5296D6E8" w14:textId="77777777" w:rsidR="00254CEF" w:rsidRPr="003871B3" w:rsidRDefault="00254CEF" w:rsidP="00A318E3">
            <w:pPr>
              <w:pStyle w:val="ListParagraph"/>
              <w:numPr>
                <w:ilvl w:val="0"/>
                <w:numId w:val="21"/>
              </w:numPr>
              <w:spacing w:after="5" w:line="249" w:lineRule="auto"/>
              <w:jc w:val="both"/>
              <w:rPr>
                <w:rFonts w:ascii="Arial" w:hAnsi="Arial" w:cs="Arial"/>
                <w:b w:val="0"/>
                <w:sz w:val="22"/>
                <w:szCs w:val="22"/>
              </w:rPr>
            </w:pPr>
            <w:r w:rsidRPr="003871B3">
              <w:rPr>
                <w:rFonts w:ascii="Arial" w:hAnsi="Arial" w:cs="Arial"/>
                <w:b w:val="0"/>
                <w:sz w:val="22"/>
                <w:szCs w:val="22"/>
              </w:rPr>
              <w:t>detailní popis každého prostředí</w:t>
            </w:r>
          </w:p>
          <w:p w14:paraId="4B10F582" w14:textId="57423F52" w:rsidR="00254CEF" w:rsidRPr="003871B3" w:rsidRDefault="00254CEF" w:rsidP="00A318E3">
            <w:pPr>
              <w:pStyle w:val="ListParagraph"/>
              <w:numPr>
                <w:ilvl w:val="0"/>
                <w:numId w:val="21"/>
              </w:numPr>
              <w:spacing w:after="5" w:line="249" w:lineRule="auto"/>
              <w:jc w:val="both"/>
              <w:rPr>
                <w:rFonts w:ascii="Arial" w:hAnsi="Arial" w:cs="Arial"/>
                <w:b w:val="0"/>
                <w:sz w:val="22"/>
                <w:szCs w:val="22"/>
              </w:rPr>
            </w:pPr>
            <w:r w:rsidRPr="003871B3">
              <w:rPr>
                <w:rFonts w:ascii="Arial" w:hAnsi="Arial" w:cs="Arial"/>
                <w:b w:val="0"/>
                <w:sz w:val="22"/>
                <w:szCs w:val="22"/>
              </w:rPr>
              <w:t>high level infrastrukturní schéma (MS Visio obrázek s rozlišením jednotlivých serverů,</w:t>
            </w:r>
            <w:r w:rsidRPr="003871B3">
              <w:rPr>
                <w:rFonts w:ascii="Arial" w:hAnsi="Arial" w:cs="Arial"/>
                <w:sz w:val="22"/>
                <w:szCs w:val="22"/>
              </w:rPr>
              <w:t xml:space="preserve"> </w:t>
            </w:r>
            <w:r w:rsidRPr="003871B3">
              <w:rPr>
                <w:rFonts w:ascii="Arial" w:hAnsi="Arial" w:cs="Arial"/>
                <w:b w:val="0"/>
                <w:sz w:val="22"/>
                <w:szCs w:val="22"/>
              </w:rPr>
              <w:t>prostředí, síťových segmentů/VLAN a klíčových síťových/infrastrukturních prvků)</w:t>
            </w:r>
          </w:p>
        </w:tc>
      </w:tr>
      <w:tr w:rsidR="00254CEF" w:rsidRPr="003871B3" w14:paraId="68729CC5" w14:textId="77777777" w:rsidTr="00254CEF">
        <w:tc>
          <w:tcPr>
            <w:tcW w:w="1271" w:type="dxa"/>
          </w:tcPr>
          <w:p w14:paraId="0BDD623E" w14:textId="3927FDFC" w:rsidR="00254CEF" w:rsidRPr="003871B3" w:rsidRDefault="00254CEF">
            <w:pPr>
              <w:pStyle w:val="GSOdstavec"/>
            </w:pPr>
            <w:r w:rsidRPr="003871B3">
              <w:t>DOC019</w:t>
            </w:r>
          </w:p>
        </w:tc>
        <w:tc>
          <w:tcPr>
            <w:tcW w:w="7796" w:type="dxa"/>
          </w:tcPr>
          <w:p w14:paraId="0FF52EB3" w14:textId="01F3D780" w:rsidR="00254CEF" w:rsidRPr="003871B3" w:rsidRDefault="00254CEF" w:rsidP="00A318E3">
            <w:pPr>
              <w:pStyle w:val="GSOdstavec"/>
              <w:rPr>
                <w:rFonts w:cs="Arial"/>
                <w:szCs w:val="22"/>
              </w:rPr>
            </w:pPr>
            <w:r w:rsidRPr="003871B3">
              <w:rPr>
                <w:rFonts w:cs="Arial"/>
                <w:szCs w:val="22"/>
              </w:rPr>
              <w:t xml:space="preserve">Modely budou Dodavatelem předávány prostřednictvím repository Enterprise Architect </w:t>
            </w:r>
            <w:r w:rsidR="00262235">
              <w:rPr>
                <w:rFonts w:cs="Arial"/>
                <w:szCs w:val="22"/>
              </w:rPr>
              <w:t>Objednatel</w:t>
            </w:r>
            <w:r w:rsidRPr="003871B3">
              <w:rPr>
                <w:rFonts w:cs="Arial"/>
                <w:szCs w:val="22"/>
              </w:rPr>
              <w:t>e.Veškeré modely budou obsahovat:</w:t>
            </w:r>
          </w:p>
          <w:p w14:paraId="4C0D498A" w14:textId="77777777" w:rsidR="00254CEF" w:rsidRPr="003871B3" w:rsidRDefault="00254CEF" w:rsidP="00A318E3">
            <w:pPr>
              <w:pStyle w:val="ListParagraph"/>
              <w:numPr>
                <w:ilvl w:val="0"/>
                <w:numId w:val="20"/>
              </w:numPr>
              <w:spacing w:after="5" w:line="249" w:lineRule="auto"/>
              <w:jc w:val="both"/>
              <w:rPr>
                <w:rFonts w:ascii="Arial" w:hAnsi="Arial" w:cs="Arial"/>
                <w:b w:val="0"/>
                <w:sz w:val="22"/>
                <w:szCs w:val="22"/>
              </w:rPr>
            </w:pPr>
            <w:r w:rsidRPr="003871B3">
              <w:rPr>
                <w:rFonts w:ascii="Arial" w:hAnsi="Arial" w:cs="Arial"/>
                <w:b w:val="0"/>
                <w:sz w:val="22"/>
                <w:szCs w:val="22"/>
              </w:rPr>
              <w:t xml:space="preserve">Model veškerých entit </w:t>
            </w:r>
          </w:p>
          <w:p w14:paraId="34CB1C09" w14:textId="77777777" w:rsidR="00254CEF" w:rsidRPr="003871B3" w:rsidRDefault="00254CEF" w:rsidP="00A318E3">
            <w:pPr>
              <w:pStyle w:val="ListParagraph"/>
              <w:numPr>
                <w:ilvl w:val="0"/>
                <w:numId w:val="20"/>
              </w:numPr>
              <w:spacing w:after="5" w:line="249" w:lineRule="auto"/>
              <w:jc w:val="both"/>
              <w:rPr>
                <w:rFonts w:ascii="Arial" w:hAnsi="Arial" w:cs="Arial"/>
                <w:b w:val="0"/>
                <w:sz w:val="22"/>
                <w:szCs w:val="22"/>
              </w:rPr>
            </w:pPr>
            <w:r w:rsidRPr="003871B3">
              <w:rPr>
                <w:rFonts w:ascii="Arial" w:hAnsi="Arial" w:cs="Arial"/>
                <w:b w:val="0"/>
                <w:sz w:val="22"/>
                <w:szCs w:val="22"/>
              </w:rPr>
              <w:t>Vazby jednotlivých entit v rámci architektonické vrstvy</w:t>
            </w:r>
          </w:p>
          <w:p w14:paraId="6EFF4422" w14:textId="77777777" w:rsidR="00254CEF" w:rsidRPr="003871B3" w:rsidRDefault="00254CEF" w:rsidP="00A318E3">
            <w:pPr>
              <w:pStyle w:val="ListParagraph"/>
              <w:numPr>
                <w:ilvl w:val="0"/>
                <w:numId w:val="20"/>
              </w:numPr>
              <w:spacing w:after="5" w:line="249" w:lineRule="auto"/>
              <w:jc w:val="both"/>
              <w:rPr>
                <w:rFonts w:ascii="Arial" w:hAnsi="Arial" w:cs="Arial"/>
                <w:b w:val="0"/>
                <w:sz w:val="22"/>
                <w:szCs w:val="22"/>
              </w:rPr>
            </w:pPr>
            <w:r w:rsidRPr="003871B3">
              <w:rPr>
                <w:rFonts w:ascii="Arial" w:hAnsi="Arial" w:cs="Arial"/>
                <w:b w:val="0"/>
                <w:sz w:val="22"/>
                <w:szCs w:val="22"/>
              </w:rPr>
              <w:t>Popis jednotlivých entit formou business popisu významu a využití entity</w:t>
            </w:r>
          </w:p>
          <w:p w14:paraId="51E5B566" w14:textId="77777777" w:rsidR="00254CEF" w:rsidRPr="003871B3" w:rsidRDefault="00254CEF" w:rsidP="00A318E3">
            <w:pPr>
              <w:pStyle w:val="ListParagraph"/>
              <w:numPr>
                <w:ilvl w:val="0"/>
                <w:numId w:val="20"/>
              </w:numPr>
              <w:spacing w:after="5" w:line="249" w:lineRule="auto"/>
              <w:jc w:val="both"/>
              <w:rPr>
                <w:rFonts w:ascii="Arial" w:hAnsi="Arial" w:cs="Arial"/>
                <w:b w:val="0"/>
                <w:sz w:val="22"/>
                <w:szCs w:val="22"/>
              </w:rPr>
            </w:pPr>
            <w:r w:rsidRPr="003871B3">
              <w:rPr>
                <w:rFonts w:ascii="Arial" w:hAnsi="Arial" w:cs="Arial"/>
                <w:b w:val="0"/>
                <w:sz w:val="22"/>
                <w:szCs w:val="22"/>
              </w:rPr>
              <w:t>Popis jednotlivých atributů formou business popisu významu a využití entity</w:t>
            </w:r>
          </w:p>
          <w:p w14:paraId="746CFD5E" w14:textId="77777777" w:rsidR="00254CEF" w:rsidRPr="003871B3" w:rsidRDefault="00254CEF" w:rsidP="00A318E3">
            <w:pPr>
              <w:pStyle w:val="ListParagraph"/>
              <w:numPr>
                <w:ilvl w:val="0"/>
                <w:numId w:val="20"/>
              </w:numPr>
              <w:spacing w:after="5" w:line="249" w:lineRule="auto"/>
              <w:jc w:val="both"/>
              <w:rPr>
                <w:rFonts w:ascii="Arial" w:hAnsi="Arial" w:cs="Arial"/>
                <w:b w:val="0"/>
                <w:sz w:val="22"/>
                <w:szCs w:val="22"/>
              </w:rPr>
            </w:pPr>
            <w:r w:rsidRPr="003871B3">
              <w:rPr>
                <w:rFonts w:ascii="Arial" w:hAnsi="Arial" w:cs="Arial"/>
                <w:b w:val="0"/>
                <w:sz w:val="22"/>
                <w:szCs w:val="22"/>
              </w:rPr>
              <w:t xml:space="preserve">Popis fyzické realizace dané entity </w:t>
            </w:r>
          </w:p>
          <w:p w14:paraId="1440EDE5" w14:textId="77777777" w:rsidR="00254CEF" w:rsidRPr="003871B3" w:rsidRDefault="00254CEF" w:rsidP="00A318E3">
            <w:pPr>
              <w:pStyle w:val="ListParagraph"/>
              <w:numPr>
                <w:ilvl w:val="0"/>
                <w:numId w:val="20"/>
              </w:numPr>
              <w:spacing w:after="5" w:line="249" w:lineRule="auto"/>
              <w:jc w:val="both"/>
              <w:rPr>
                <w:rFonts w:ascii="Arial" w:hAnsi="Arial" w:cs="Arial"/>
                <w:b w:val="0"/>
                <w:sz w:val="22"/>
                <w:szCs w:val="22"/>
              </w:rPr>
            </w:pPr>
            <w:r w:rsidRPr="003871B3">
              <w:rPr>
                <w:rFonts w:ascii="Arial" w:hAnsi="Arial" w:cs="Arial"/>
                <w:b w:val="0"/>
                <w:sz w:val="22"/>
                <w:szCs w:val="22"/>
              </w:rPr>
              <w:t>Datové toky a vazby jednotlivých entit mezi vrstvami a systémy</w:t>
            </w:r>
          </w:p>
          <w:p w14:paraId="470E8A5D" w14:textId="21F2B4F0" w:rsidR="00254CEF" w:rsidRPr="003871B3" w:rsidRDefault="00254CEF" w:rsidP="00A6180A">
            <w:pPr>
              <w:pStyle w:val="GSOdstavec"/>
              <w:rPr>
                <w:rFonts w:cs="Arial"/>
                <w:szCs w:val="22"/>
              </w:rPr>
            </w:pPr>
            <w:r w:rsidRPr="00A6180A">
              <w:rPr>
                <w:rFonts w:cs="Arial"/>
                <w:szCs w:val="22"/>
              </w:rPr>
              <w:t>Úroveň popisu jednotlivých entit a atributů bude záviset na dostupnosti těchto informací Dodavateli a jím provedené analýze.</w:t>
            </w:r>
          </w:p>
        </w:tc>
      </w:tr>
      <w:tr w:rsidR="00254CEF" w:rsidRPr="003871B3" w14:paraId="183B7EFB" w14:textId="77777777" w:rsidTr="00254CEF">
        <w:tc>
          <w:tcPr>
            <w:tcW w:w="1271" w:type="dxa"/>
          </w:tcPr>
          <w:p w14:paraId="6A693CDC" w14:textId="24C6D63D" w:rsidR="00254CEF" w:rsidRPr="003871B3" w:rsidRDefault="00254CEF">
            <w:pPr>
              <w:pStyle w:val="GSOdstavec"/>
            </w:pPr>
            <w:r w:rsidRPr="003871B3">
              <w:t>DOC020</w:t>
            </w:r>
          </w:p>
        </w:tc>
        <w:tc>
          <w:tcPr>
            <w:tcW w:w="7796" w:type="dxa"/>
          </w:tcPr>
          <w:p w14:paraId="6250B9DB" w14:textId="61C30E85" w:rsidR="00254CEF" w:rsidRPr="003871B3" w:rsidRDefault="00254CEF" w:rsidP="00A318E3">
            <w:pPr>
              <w:pStyle w:val="GSOdstavec"/>
              <w:rPr>
                <w:rFonts w:cs="Arial"/>
                <w:szCs w:val="22"/>
              </w:rPr>
            </w:pPr>
            <w:r w:rsidRPr="003871B3">
              <w:rPr>
                <w:rFonts w:cs="Arial"/>
                <w:szCs w:val="22"/>
              </w:rPr>
              <w:t>Pro modelování objektů vyšších datových vrstev (všech kromě L0 a L0uni) dodavatel použije datové domény, tzn. pojmenování konkrétních datových typů entitami reálného světa. Např. pro modelování sloupců s příznaky ANO/NE bude pro definici místo datového typu CHAR (1) využita doména „LogickaHodnota“. Cílem je zajistit konzistenci použití datových typů mezi veškerými entitami a jednoduší přístup k budoucím změnám.</w:t>
            </w:r>
          </w:p>
        </w:tc>
      </w:tr>
      <w:tr w:rsidR="00254CEF" w:rsidRPr="003871B3" w14:paraId="09144E34" w14:textId="77777777" w:rsidTr="00254CEF">
        <w:tc>
          <w:tcPr>
            <w:tcW w:w="1271" w:type="dxa"/>
          </w:tcPr>
          <w:p w14:paraId="25C5B900" w14:textId="46EC620A" w:rsidR="00254CEF" w:rsidRPr="003871B3" w:rsidRDefault="00254CEF">
            <w:pPr>
              <w:pStyle w:val="GSOdstavec"/>
            </w:pPr>
            <w:r w:rsidRPr="003871B3">
              <w:t>DOC021</w:t>
            </w:r>
          </w:p>
        </w:tc>
        <w:tc>
          <w:tcPr>
            <w:tcW w:w="7796" w:type="dxa"/>
          </w:tcPr>
          <w:p w14:paraId="6B08CD2C" w14:textId="1BFC0D8B" w:rsidR="00254CEF" w:rsidRPr="00254CEF" w:rsidRDefault="00254CEF" w:rsidP="00675E59">
            <w:pPr>
              <w:pStyle w:val="GSOdstavec"/>
              <w:rPr>
                <w:rFonts w:cs="Arial"/>
                <w:szCs w:val="22"/>
              </w:rPr>
            </w:pPr>
            <w:r w:rsidRPr="00254CEF">
              <w:rPr>
                <w:rFonts w:cs="Arial"/>
                <w:szCs w:val="22"/>
              </w:rPr>
              <w:t>V rámci popisu Entit dodavatel zadokumentuje:</w:t>
            </w:r>
          </w:p>
          <w:p w14:paraId="4BB3F83C" w14:textId="77777777" w:rsidR="00254CEF" w:rsidRPr="00254CEF" w:rsidRDefault="00254CEF" w:rsidP="00675E59">
            <w:pPr>
              <w:pStyle w:val="ListParagraph"/>
              <w:numPr>
                <w:ilvl w:val="0"/>
                <w:numId w:val="22"/>
              </w:numPr>
              <w:spacing w:after="5" w:line="249" w:lineRule="auto"/>
              <w:jc w:val="both"/>
              <w:rPr>
                <w:rFonts w:ascii="Arial" w:hAnsi="Arial" w:cs="Arial"/>
                <w:b w:val="0"/>
                <w:sz w:val="22"/>
                <w:szCs w:val="22"/>
              </w:rPr>
            </w:pPr>
            <w:r w:rsidRPr="00254CEF">
              <w:rPr>
                <w:rFonts w:ascii="Arial" w:hAnsi="Arial" w:cs="Arial"/>
                <w:b w:val="0"/>
                <w:sz w:val="22"/>
                <w:szCs w:val="22"/>
              </w:rPr>
              <w:t>Popis entity, její business význam (bude použito jako součást komentáře vytvářené databázové tabulky)</w:t>
            </w:r>
          </w:p>
          <w:p w14:paraId="5246FB53" w14:textId="77777777" w:rsidR="00254CEF" w:rsidRPr="00254CEF" w:rsidRDefault="00254CEF" w:rsidP="00675E59">
            <w:pPr>
              <w:pStyle w:val="ListParagraph"/>
              <w:numPr>
                <w:ilvl w:val="0"/>
                <w:numId w:val="22"/>
              </w:numPr>
              <w:spacing w:after="5" w:line="249" w:lineRule="auto"/>
              <w:jc w:val="both"/>
              <w:rPr>
                <w:rFonts w:ascii="Arial" w:hAnsi="Arial" w:cs="Arial"/>
                <w:b w:val="0"/>
                <w:sz w:val="22"/>
                <w:szCs w:val="22"/>
              </w:rPr>
            </w:pPr>
            <w:r w:rsidRPr="00254CEF">
              <w:rPr>
                <w:rFonts w:ascii="Arial" w:hAnsi="Arial" w:cs="Arial"/>
                <w:b w:val="0"/>
                <w:sz w:val="22"/>
                <w:szCs w:val="22"/>
              </w:rPr>
              <w:t>Popis jednotlivých atributů včetně jejich datových typů. Pro definici datových typů budou použity datové domény.</w:t>
            </w:r>
          </w:p>
          <w:p w14:paraId="08247DB7" w14:textId="77777777" w:rsidR="00254CEF" w:rsidRPr="00254CEF" w:rsidRDefault="00254CEF" w:rsidP="00675E59">
            <w:pPr>
              <w:ind w:left="2"/>
              <w:rPr>
                <w:rFonts w:ascii="Arial" w:hAnsi="Arial" w:cs="Arial"/>
                <w:sz w:val="22"/>
                <w:szCs w:val="22"/>
              </w:rPr>
            </w:pPr>
            <w:r w:rsidRPr="00254CEF">
              <w:rPr>
                <w:rFonts w:ascii="Arial" w:hAnsi="Arial" w:cs="Arial"/>
                <w:sz w:val="22"/>
                <w:szCs w:val="22"/>
              </w:rPr>
              <w:t xml:space="preserve">Součástí popisu je: </w:t>
            </w:r>
          </w:p>
          <w:p w14:paraId="7AF791CB"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Jméno, doménový typ, povinnost atributu a komentář (business popis) atributu</w:t>
            </w:r>
          </w:p>
          <w:p w14:paraId="06A1216B"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Integritní omezení na data ukládaná do entity</w:t>
            </w:r>
          </w:p>
          <w:p w14:paraId="6E8BC555"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Integritní omezení na vzájemné vazby jednotlivých entit</w:t>
            </w:r>
          </w:p>
          <w:p w14:paraId="031E4851"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Způsob kontroly správnosti dat načítaných do definované entity</w:t>
            </w:r>
          </w:p>
          <w:p w14:paraId="3BC8F769"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Požadovaný termín dodání dat (testovacích, dat pro migraci)</w:t>
            </w:r>
          </w:p>
          <w:p w14:paraId="27C84287"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V případě, že sloupec bude obsahovat budoucí identifikátor entity, bude stanoven způsob generování tohoto identifikátoru, případně jeho validace nebo vazbu na místo vzniku tohoto identifikátoru</w:t>
            </w:r>
          </w:p>
          <w:p w14:paraId="48ACF52E" w14:textId="77777777" w:rsidR="00254CEF" w:rsidRPr="00254CEF" w:rsidRDefault="00254CEF" w:rsidP="00675E59">
            <w:pPr>
              <w:pStyle w:val="ListParagraph"/>
              <w:numPr>
                <w:ilvl w:val="0"/>
                <w:numId w:val="21"/>
              </w:numPr>
              <w:spacing w:after="5" w:line="249" w:lineRule="auto"/>
              <w:jc w:val="both"/>
              <w:rPr>
                <w:rFonts w:ascii="Arial" w:hAnsi="Arial" w:cs="Arial"/>
                <w:b w:val="0"/>
                <w:sz w:val="22"/>
                <w:szCs w:val="22"/>
              </w:rPr>
            </w:pPr>
            <w:r w:rsidRPr="00254CEF">
              <w:rPr>
                <w:rFonts w:ascii="Arial" w:hAnsi="Arial" w:cs="Arial"/>
                <w:b w:val="0"/>
                <w:sz w:val="22"/>
                <w:szCs w:val="22"/>
              </w:rPr>
              <w:t>Identifikace, které atributy jsou využity jakým systémem</w:t>
            </w:r>
          </w:p>
          <w:p w14:paraId="2D56F105" w14:textId="217A391A" w:rsidR="00254CEF" w:rsidRPr="00254CEF" w:rsidRDefault="00254CEF" w:rsidP="00A6180A">
            <w:pPr>
              <w:pStyle w:val="GSOdstavec"/>
              <w:rPr>
                <w:rFonts w:cs="Arial"/>
                <w:szCs w:val="22"/>
              </w:rPr>
            </w:pPr>
            <w:r w:rsidRPr="00254CEF">
              <w:rPr>
                <w:rFonts w:cs="Arial"/>
                <w:szCs w:val="22"/>
              </w:rPr>
              <w:t>Úroveň popisu jednotlivých entit a atributů bude záviset na dostupnosti těchto informací Dodavateli a jím provedené analýze.</w:t>
            </w:r>
          </w:p>
        </w:tc>
      </w:tr>
      <w:tr w:rsidR="00254CEF" w:rsidRPr="003871B3" w14:paraId="5E5D4F09" w14:textId="77777777" w:rsidTr="00254CEF">
        <w:tc>
          <w:tcPr>
            <w:tcW w:w="1271" w:type="dxa"/>
          </w:tcPr>
          <w:p w14:paraId="00F12F27" w14:textId="159083F7" w:rsidR="00254CEF" w:rsidRPr="003871B3" w:rsidRDefault="00254CEF">
            <w:pPr>
              <w:pStyle w:val="GSOdstavec"/>
            </w:pPr>
            <w:r w:rsidRPr="003871B3">
              <w:t>DOC024</w:t>
            </w:r>
          </w:p>
        </w:tc>
        <w:tc>
          <w:tcPr>
            <w:tcW w:w="7796" w:type="dxa"/>
          </w:tcPr>
          <w:p w14:paraId="3FAA9235" w14:textId="2BB19833" w:rsidR="00254CEF" w:rsidRPr="003871B3" w:rsidRDefault="00254CEF" w:rsidP="00675E59">
            <w:pPr>
              <w:pStyle w:val="GSOdstavec"/>
              <w:rPr>
                <w:rFonts w:cs="Arial"/>
                <w:szCs w:val="22"/>
              </w:rPr>
            </w:pPr>
            <w:r w:rsidRPr="003871B3">
              <w:rPr>
                <w:rFonts w:cs="Arial"/>
                <w:szCs w:val="22"/>
              </w:rPr>
              <w:t>Dodavatel dodá dokument s detailním přehledem všech vazeb a datových toků, které byly/jsou/budou realizovány ve vazbě na migrační platformu.</w:t>
            </w:r>
          </w:p>
        </w:tc>
      </w:tr>
      <w:tr w:rsidR="00254CEF" w:rsidRPr="003871B3" w14:paraId="19B296C3" w14:textId="77777777" w:rsidTr="00254CEF">
        <w:tc>
          <w:tcPr>
            <w:tcW w:w="1271" w:type="dxa"/>
          </w:tcPr>
          <w:p w14:paraId="19699E87" w14:textId="126770B2" w:rsidR="00254CEF" w:rsidRPr="00E008F8" w:rsidRDefault="00F84639">
            <w:pPr>
              <w:pStyle w:val="GSOdstavec"/>
              <w:rPr>
                <w:highlight w:val="black"/>
              </w:rPr>
            </w:pPr>
            <w:r w:rsidRPr="00E008F8">
              <w:rPr>
                <w:highlight w:val="black"/>
              </w:rPr>
              <w:t>xxxxxxxx</w:t>
            </w:r>
          </w:p>
        </w:tc>
        <w:tc>
          <w:tcPr>
            <w:tcW w:w="7796" w:type="dxa"/>
          </w:tcPr>
          <w:p w14:paraId="03F36349" w14:textId="237C24D6" w:rsidR="00254CEF" w:rsidRPr="00E008F8" w:rsidRDefault="00F84639" w:rsidP="00675E59">
            <w:pPr>
              <w:pStyle w:val="GSOdstavec"/>
              <w:rPr>
                <w:highlight w:val="black"/>
              </w:rPr>
            </w:pPr>
            <w:r w:rsidRPr="00E008F8">
              <w:rPr>
                <w:highlight w:val="black"/>
              </w:rPr>
              <w:t>xxxxxxxxxxxxxxxx xxxxxxxxx xxxxxxxx xxxxxxxxxx xxxxxxxx xxxxxxxx xxxx xxxxxxxxxxxxxxxxxxxxxxxxxxxxxxxxxxxxxxxxxxxxxxxxxxx x x x x x xxxxxxxxxxxxxx xxxxxxxxx xxxxxxxxx xxxxxxxxxxx xxxxxx xxxxxx xxxxx xx xxxx x xxxxxxxxxxxxx xxx</w:t>
            </w:r>
          </w:p>
        </w:tc>
      </w:tr>
    </w:tbl>
    <w:p w14:paraId="6460FCE2" w14:textId="479D1D5F" w:rsidR="00E07CFB" w:rsidRPr="003871B3" w:rsidRDefault="00E07CFB" w:rsidP="00867B65">
      <w:pPr>
        <w:pStyle w:val="GSNadpis3"/>
      </w:pPr>
      <w:bookmarkStart w:id="8" w:name="_Ref520963020"/>
      <w:bookmarkStart w:id="9" w:name="_Toc522884693"/>
      <w:r w:rsidRPr="003871B3">
        <w:t>Přizpůsobení stávajícího zpracování dat aktuálnímu stavu</w:t>
      </w:r>
      <w:bookmarkEnd w:id="8"/>
      <w:bookmarkEnd w:id="9"/>
    </w:p>
    <w:p w14:paraId="77D25C70" w14:textId="12B48F80" w:rsidR="00C207EE" w:rsidRPr="003871B3" w:rsidRDefault="00C207EE" w:rsidP="00C207EE">
      <w:pPr>
        <w:pStyle w:val="GSOdstavec"/>
      </w:pPr>
      <w:r w:rsidRPr="003871B3">
        <w:t xml:space="preserve">Vzhledem k tomu, že práce </w:t>
      </w:r>
      <w:r w:rsidR="000B6A97" w:rsidRPr="003871B3">
        <w:t>na přípravě migračních dat pro IS</w:t>
      </w:r>
      <w:r w:rsidR="007C5635" w:rsidRPr="003871B3">
        <w:t> </w:t>
      </w:r>
      <w:r w:rsidR="000B6A97" w:rsidRPr="003871B3">
        <w:t>ZAM byly v období únor 2018 až červen</w:t>
      </w:r>
      <w:r w:rsidR="00DE264F" w:rsidRPr="003871B3">
        <w:t>ec</w:t>
      </w:r>
      <w:r w:rsidR="000B6A97" w:rsidRPr="003871B3">
        <w:t xml:space="preserve"> 2018 přerušeny, ale zdrojové systémy průběžně procházel</w:t>
      </w:r>
      <w:r w:rsidR="000C6FDC" w:rsidRPr="003871B3">
        <w:t>y</w:t>
      </w:r>
      <w:r w:rsidR="000B6A97" w:rsidRPr="003871B3">
        <w:t xml:space="preserve"> změnami, je nutné ověřit a následně upravit stávající transformační mechanizmus.</w:t>
      </w:r>
    </w:p>
    <w:p w14:paraId="5C313BEF" w14:textId="0C83AF97" w:rsidR="000B6A97" w:rsidRPr="003871B3" w:rsidRDefault="000B6A97" w:rsidP="00C207EE">
      <w:pPr>
        <w:pStyle w:val="GSOdstavec"/>
      </w:pPr>
      <w:r w:rsidRPr="003871B3">
        <w:t>V rámci úprav se předpokládá nové stažení L0 dat včetně porovnání změn v těchto strukturách a vyhodnocení dopadu na migrační mechanizmu</w:t>
      </w:r>
      <w:r w:rsidR="00E77491" w:rsidRPr="003871B3">
        <w:t>s</w:t>
      </w:r>
      <w:r w:rsidRPr="003871B3">
        <w:t>.</w:t>
      </w:r>
    </w:p>
    <w:p w14:paraId="67D5146B" w14:textId="77777777" w:rsidR="000B6A97" w:rsidRPr="003871B3" w:rsidRDefault="000B6A97" w:rsidP="00C207EE">
      <w:pPr>
        <w:pStyle w:val="GSOdstavec"/>
      </w:pPr>
      <w:r w:rsidRPr="003871B3">
        <w:t>Cílem přizpůsobení stávajícího zpracování je vystavení nového migračního setu na základě nově stažených dat</w:t>
      </w:r>
      <w:r w:rsidR="002A3E5C" w:rsidRPr="003871B3">
        <w:t>, ale původní transformační logiky</w:t>
      </w:r>
      <w:r w:rsidRPr="003871B3">
        <w:t>.</w:t>
      </w:r>
    </w:p>
    <w:p w14:paraId="747D297B" w14:textId="77777777" w:rsidR="000B6A97" w:rsidRPr="003871B3" w:rsidRDefault="000B6A97" w:rsidP="00C207EE">
      <w:pPr>
        <w:pStyle w:val="GSOdstavec"/>
      </w:pPr>
      <w:r w:rsidRPr="003871B3">
        <w:t>Vystavená data budou mít stejn</w:t>
      </w:r>
      <w:r w:rsidR="002A3E5C" w:rsidRPr="003871B3">
        <w:t xml:space="preserve">ý </w:t>
      </w:r>
      <w:r w:rsidRPr="003871B3">
        <w:t xml:space="preserve">rozsah a strukturu jako poslední vystavení migrační set z února 2018, ale vzhledem k vývoji na zdrojových systémů je možné, že </w:t>
      </w:r>
      <w:r w:rsidR="002A3E5C" w:rsidRPr="003871B3">
        <w:t>dojde k odlišnosti v povaze dat – významu některých dat, plnění nebo neplnění některých datových polí na zdroji a podobně.</w:t>
      </w:r>
    </w:p>
    <w:p w14:paraId="00AD4102" w14:textId="4C5FD6DC" w:rsidR="002A3E5C" w:rsidRPr="003871B3" w:rsidRDefault="002A3E5C" w:rsidP="00C207EE">
      <w:pPr>
        <w:pStyle w:val="GSOdstavec"/>
      </w:pPr>
      <w:r w:rsidRPr="003871B3">
        <w:t>Nové vystavení dat je nejenom podmínkou opětovného nastartování pravidelného vystavování dat, ale také důležitým vstupem do vytvoření GAP analýzy</w:t>
      </w:r>
      <w:r w:rsidR="001266FA" w:rsidRPr="003871B3">
        <w:t>.</w:t>
      </w:r>
    </w:p>
    <w:p w14:paraId="11A39DCE" w14:textId="77777777" w:rsidR="00E07CFB" w:rsidRPr="003871B3" w:rsidRDefault="00E07CFB" w:rsidP="00E921DD">
      <w:pPr>
        <w:pStyle w:val="GSNadpis3"/>
      </w:pPr>
      <w:bookmarkStart w:id="10" w:name="_Ref520826103"/>
      <w:bookmarkStart w:id="11" w:name="_Toc522884694"/>
      <w:r w:rsidRPr="003871B3">
        <w:t>Vytvoření GAP analýzy</w:t>
      </w:r>
      <w:bookmarkEnd w:id="10"/>
      <w:bookmarkEnd w:id="11"/>
    </w:p>
    <w:p w14:paraId="4CE9A487" w14:textId="2AC91704" w:rsidR="00A318E5" w:rsidRPr="003871B3" w:rsidRDefault="00A318E5" w:rsidP="00A318E5">
      <w:pPr>
        <w:pStyle w:val="GSOdstavec"/>
      </w:pPr>
      <w:r w:rsidRPr="003871B3">
        <w:t>V počáteční fázi projektové fáze budou identifikovány a v přiměřené míře detailu popsány veškeré rozdílové požadavky mezi aktuálním stavem přípravy migračních dat předaných v únoru 2018 a cílovým požadovaným stavem projektu IS</w:t>
      </w:r>
      <w:r w:rsidR="004E7AF7" w:rsidRPr="003871B3">
        <w:t> </w:t>
      </w:r>
      <w:r w:rsidRPr="003871B3">
        <w:t xml:space="preserve">ZAM. </w:t>
      </w:r>
    </w:p>
    <w:p w14:paraId="3A59B954" w14:textId="364D003C" w:rsidR="00A318E5" w:rsidRPr="003871B3" w:rsidRDefault="00A318E5" w:rsidP="00A318E5">
      <w:pPr>
        <w:pStyle w:val="GSOdstavec"/>
      </w:pPr>
      <w:r w:rsidRPr="003871B3">
        <w:t xml:space="preserve">Vytvoření GAP analýzy vyžaduje intenzivní součinnost MPSV realizovanou </w:t>
      </w:r>
      <w:r w:rsidR="004E7AF7" w:rsidRPr="003871B3">
        <w:t>D</w:t>
      </w:r>
      <w:r w:rsidRPr="003871B3">
        <w:t>odavatelem IS</w:t>
      </w:r>
      <w:r w:rsidR="00675E59" w:rsidRPr="003871B3">
        <w:t xml:space="preserve"> </w:t>
      </w:r>
      <w:r w:rsidRPr="003871B3">
        <w:t>ZAM a to minimálně v rozsahu 2</w:t>
      </w:r>
      <w:r w:rsidR="004D411B">
        <w:t xml:space="preserve"> </w:t>
      </w:r>
      <w:r w:rsidRPr="003871B3">
        <w:t>FTE po dobu této projektové aktivity. V rámci realizace se předpokládá organizace každodenních schůzek v rozsahu 4 hodin a následné zpracování nových požadavků a příprava na další schůzku.</w:t>
      </w:r>
    </w:p>
    <w:p w14:paraId="1F27AB6D" w14:textId="77F368C7" w:rsidR="002939AD" w:rsidRPr="003871B3" w:rsidRDefault="00A318E5" w:rsidP="00A318E5">
      <w:pPr>
        <w:pStyle w:val="GSOdstavec"/>
      </w:pPr>
      <w:r w:rsidRPr="003871B3">
        <w:t>Veškeré identifikované požadavky budou zaznamenány do systému Mantis do určené složky</w:t>
      </w:r>
      <w:r w:rsidR="00D33288" w:rsidRPr="003871B3">
        <w:t xml:space="preserve"> a tím vytvořen tzv. projektový backlog</w:t>
      </w:r>
      <w:r w:rsidR="002939AD" w:rsidRPr="003871B3">
        <w:t xml:space="preserve">. Požadavky budou kategorizovány dle oblastí dat. </w:t>
      </w:r>
    </w:p>
    <w:p w14:paraId="4FE83B41" w14:textId="77777777" w:rsidR="00A318E5" w:rsidRPr="003871B3" w:rsidRDefault="002939AD" w:rsidP="00A318E5">
      <w:pPr>
        <w:pStyle w:val="GSOdstavec"/>
        <w:rPr>
          <w:szCs w:val="22"/>
        </w:rPr>
      </w:pPr>
      <w:r w:rsidRPr="003871B3">
        <w:t>Jedno</w:t>
      </w:r>
      <w:r w:rsidRPr="003871B3">
        <w:rPr>
          <w:szCs w:val="22"/>
        </w:rPr>
        <w:t>tlivé požadavky budou obsahovat:</w:t>
      </w:r>
    </w:p>
    <w:p w14:paraId="1B361178" w14:textId="77777777" w:rsidR="002939AD" w:rsidRPr="003871B3" w:rsidRDefault="002939AD" w:rsidP="002939AD">
      <w:pPr>
        <w:pStyle w:val="ListParagraph"/>
        <w:numPr>
          <w:ilvl w:val="0"/>
          <w:numId w:val="25"/>
        </w:numPr>
        <w:rPr>
          <w:rFonts w:ascii="Arial" w:hAnsi="Arial" w:cs="Arial"/>
          <w:b w:val="0"/>
          <w:sz w:val="22"/>
          <w:szCs w:val="22"/>
        </w:rPr>
      </w:pPr>
      <w:r w:rsidRPr="003871B3">
        <w:rPr>
          <w:rFonts w:ascii="Arial" w:hAnsi="Arial" w:cs="Arial"/>
          <w:b w:val="0"/>
          <w:sz w:val="22"/>
          <w:szCs w:val="22"/>
        </w:rPr>
        <w:t>Kategorizaci dle oblasti dat</w:t>
      </w:r>
    </w:p>
    <w:p w14:paraId="0448EECE" w14:textId="77777777" w:rsidR="002939AD" w:rsidRPr="003871B3" w:rsidRDefault="002939AD" w:rsidP="002939AD">
      <w:pPr>
        <w:pStyle w:val="ListParagraph"/>
        <w:numPr>
          <w:ilvl w:val="0"/>
          <w:numId w:val="25"/>
        </w:numPr>
        <w:rPr>
          <w:rFonts w:ascii="Arial" w:hAnsi="Arial" w:cs="Arial"/>
          <w:b w:val="0"/>
          <w:sz w:val="22"/>
          <w:szCs w:val="22"/>
        </w:rPr>
      </w:pPr>
      <w:r w:rsidRPr="003871B3">
        <w:rPr>
          <w:rFonts w:ascii="Arial" w:hAnsi="Arial" w:cs="Arial"/>
          <w:b w:val="0"/>
          <w:sz w:val="22"/>
          <w:szCs w:val="22"/>
        </w:rPr>
        <w:t>Výchozí prioritu</w:t>
      </w:r>
    </w:p>
    <w:p w14:paraId="7CFE0FE0" w14:textId="77777777" w:rsidR="002939AD" w:rsidRPr="003871B3" w:rsidRDefault="002939AD" w:rsidP="002939AD">
      <w:pPr>
        <w:pStyle w:val="ListParagraph"/>
        <w:numPr>
          <w:ilvl w:val="0"/>
          <w:numId w:val="25"/>
        </w:numPr>
        <w:rPr>
          <w:rFonts w:ascii="Arial" w:hAnsi="Arial" w:cs="Arial"/>
          <w:b w:val="0"/>
          <w:sz w:val="22"/>
          <w:szCs w:val="22"/>
        </w:rPr>
      </w:pPr>
      <w:r w:rsidRPr="003871B3">
        <w:rPr>
          <w:rFonts w:ascii="Arial" w:hAnsi="Arial" w:cs="Arial"/>
          <w:b w:val="0"/>
          <w:sz w:val="22"/>
          <w:szCs w:val="22"/>
        </w:rPr>
        <w:t>Vazbu na ostatní požadavky (v případě, že požadavek blokuje nebo je blokovaný požadavkem jiným)</w:t>
      </w:r>
    </w:p>
    <w:p w14:paraId="39B409AC" w14:textId="77777777" w:rsidR="002939AD" w:rsidRPr="003871B3" w:rsidRDefault="002939AD" w:rsidP="002939AD">
      <w:pPr>
        <w:pStyle w:val="ListParagraph"/>
        <w:numPr>
          <w:ilvl w:val="0"/>
          <w:numId w:val="25"/>
        </w:numPr>
        <w:rPr>
          <w:rFonts w:ascii="Arial" w:hAnsi="Arial" w:cs="Arial"/>
          <w:b w:val="0"/>
          <w:sz w:val="22"/>
          <w:szCs w:val="22"/>
        </w:rPr>
      </w:pPr>
      <w:r w:rsidRPr="003871B3">
        <w:rPr>
          <w:rFonts w:ascii="Arial" w:hAnsi="Arial" w:cs="Arial"/>
          <w:b w:val="0"/>
          <w:sz w:val="22"/>
          <w:szCs w:val="22"/>
        </w:rPr>
        <w:t>Název a popis</w:t>
      </w:r>
    </w:p>
    <w:p w14:paraId="3C8CA9A2" w14:textId="3D2787ED" w:rsidR="00C95133" w:rsidRPr="003871B3" w:rsidRDefault="00C95133" w:rsidP="002939AD">
      <w:pPr>
        <w:pStyle w:val="ListParagraph"/>
        <w:numPr>
          <w:ilvl w:val="0"/>
          <w:numId w:val="25"/>
        </w:numPr>
        <w:rPr>
          <w:rFonts w:ascii="Arial" w:hAnsi="Arial" w:cs="Arial"/>
          <w:b w:val="0"/>
          <w:sz w:val="22"/>
          <w:szCs w:val="22"/>
        </w:rPr>
      </w:pPr>
      <w:r w:rsidRPr="003871B3">
        <w:rPr>
          <w:rFonts w:ascii="Arial" w:hAnsi="Arial" w:cs="Arial"/>
          <w:b w:val="0"/>
          <w:sz w:val="22"/>
          <w:szCs w:val="22"/>
        </w:rPr>
        <w:t xml:space="preserve">Předpokládanou součinnost ze strany </w:t>
      </w:r>
      <w:r w:rsidR="004E7AF7" w:rsidRPr="003871B3">
        <w:rPr>
          <w:rFonts w:ascii="Arial" w:hAnsi="Arial" w:cs="Arial"/>
          <w:b w:val="0"/>
          <w:sz w:val="22"/>
          <w:szCs w:val="22"/>
        </w:rPr>
        <w:t>Objednatele</w:t>
      </w:r>
      <w:r w:rsidRPr="003871B3">
        <w:rPr>
          <w:rFonts w:ascii="Arial" w:hAnsi="Arial" w:cs="Arial"/>
          <w:b w:val="0"/>
          <w:sz w:val="22"/>
          <w:szCs w:val="22"/>
        </w:rPr>
        <w:t>, garantů migrace a dodavatele IS</w:t>
      </w:r>
      <w:r w:rsidR="00A6180A">
        <w:rPr>
          <w:rFonts w:ascii="Arial" w:hAnsi="Arial" w:cs="Arial"/>
          <w:b w:val="0"/>
          <w:sz w:val="22"/>
          <w:szCs w:val="22"/>
        </w:rPr>
        <w:t> </w:t>
      </w:r>
      <w:r w:rsidRPr="003871B3">
        <w:rPr>
          <w:rFonts w:ascii="Arial" w:hAnsi="Arial" w:cs="Arial"/>
          <w:b w:val="0"/>
          <w:sz w:val="22"/>
          <w:szCs w:val="22"/>
        </w:rPr>
        <w:t>ZAM</w:t>
      </w:r>
    </w:p>
    <w:p w14:paraId="4AE3EAB8" w14:textId="65E67D6F" w:rsidR="00012883" w:rsidRPr="003871B3" w:rsidRDefault="00012883" w:rsidP="009A1A3F">
      <w:pPr>
        <w:pStyle w:val="GSOdstavec"/>
      </w:pPr>
      <w:r w:rsidRPr="003871B3">
        <w:rPr>
          <w:szCs w:val="22"/>
        </w:rPr>
        <w:t>V rámci GA</w:t>
      </w:r>
      <w:r w:rsidRPr="003871B3">
        <w:t>P analýzy bude založen registr rizik a vešker</w:t>
      </w:r>
      <w:r w:rsidR="009A1A3F" w:rsidRPr="003871B3">
        <w:t>á</w:t>
      </w:r>
      <w:r w:rsidRPr="003871B3">
        <w:t xml:space="preserve"> identifikovan</w:t>
      </w:r>
      <w:r w:rsidR="009A1A3F" w:rsidRPr="003871B3">
        <w:t xml:space="preserve">á rizika budou do tohoto registru uložena. Registr bude mít formu určené složky v Mantis a </w:t>
      </w:r>
      <w:r w:rsidR="000C6FDC" w:rsidRPr="003871B3">
        <w:t xml:space="preserve">bude </w:t>
      </w:r>
      <w:r w:rsidR="009A1A3F" w:rsidRPr="003871B3">
        <w:t xml:space="preserve">sdílen se </w:t>
      </w:r>
      <w:r w:rsidR="004E7AF7" w:rsidRPr="003871B3">
        <w:t>Objednatelem</w:t>
      </w:r>
      <w:r w:rsidR="009A1A3F" w:rsidRPr="003871B3">
        <w:t>.</w:t>
      </w:r>
    </w:p>
    <w:p w14:paraId="1926C30E" w14:textId="72B20471" w:rsidR="00675E59" w:rsidRPr="003871B3" w:rsidRDefault="00675E59" w:rsidP="009A1A3F">
      <w:pPr>
        <w:pStyle w:val="GSOdstavec"/>
      </w:pPr>
      <w:r w:rsidRPr="003871B3">
        <w:t xml:space="preserve">Výsledkem GAP analýzy bude závazný harmonogram, který bude po dokončení analýzy předložen spolu s ostatními výstupy ke schválení </w:t>
      </w:r>
      <w:r w:rsidR="004E7AF7" w:rsidRPr="003871B3">
        <w:t>Objednateli</w:t>
      </w:r>
      <w:r w:rsidRPr="003871B3">
        <w:t>.</w:t>
      </w:r>
    </w:p>
    <w:p w14:paraId="24B06984" w14:textId="3B5E913A" w:rsidR="00A318E5" w:rsidRPr="003871B3" w:rsidRDefault="00A318E5" w:rsidP="00A318E5">
      <w:pPr>
        <w:pStyle w:val="GSOdstavec"/>
      </w:pPr>
      <w:r w:rsidRPr="003871B3">
        <w:t>Vytvoření GAP analýzy vychází z předpokladu, že veškeré potřeby ISZAM na migrační data jsou známy a nebudou procházet dalšími změnami po ukončení této aktivity. Veškeré změny a požadavky identifikované po tomto termínu budou řešeny jako změnové požadavky a řešeny typicky výměnou za jiné, méně prioritní, plnění.</w:t>
      </w:r>
    </w:p>
    <w:tbl>
      <w:tblPr>
        <w:tblStyle w:val="TableGrid"/>
        <w:tblW w:w="9067" w:type="dxa"/>
        <w:tblLook w:val="04A0" w:firstRow="1" w:lastRow="0" w:firstColumn="1" w:lastColumn="0" w:noHBand="0" w:noVBand="1"/>
      </w:tblPr>
      <w:tblGrid>
        <w:gridCol w:w="1129"/>
        <w:gridCol w:w="7938"/>
      </w:tblGrid>
      <w:tr w:rsidR="00254CEF" w:rsidRPr="003871B3" w14:paraId="776D8289" w14:textId="77777777" w:rsidTr="00254CEF">
        <w:tc>
          <w:tcPr>
            <w:tcW w:w="1129" w:type="dxa"/>
          </w:tcPr>
          <w:p w14:paraId="7B0664A6" w14:textId="69EF3003" w:rsidR="00254CEF" w:rsidRPr="003871B3" w:rsidRDefault="00254CEF" w:rsidP="00A318E5">
            <w:pPr>
              <w:pStyle w:val="GSOdstavec"/>
            </w:pPr>
            <w:r w:rsidRPr="003871B3">
              <w:t>TP087</w:t>
            </w:r>
          </w:p>
        </w:tc>
        <w:tc>
          <w:tcPr>
            <w:tcW w:w="7938" w:type="dxa"/>
          </w:tcPr>
          <w:p w14:paraId="3F503B8D" w14:textId="029F0526" w:rsidR="00254CEF" w:rsidRPr="003871B3" w:rsidRDefault="00254CEF" w:rsidP="005C03E1">
            <w:pPr>
              <w:pStyle w:val="GSOdstavec"/>
            </w:pPr>
            <w:r w:rsidRPr="003871B3">
              <w:t xml:space="preserve">Vstupní analýza migrace </w:t>
            </w:r>
            <w:r>
              <w:t>b</w:t>
            </w:r>
            <w:r w:rsidRPr="005C03E1">
              <w:t xml:space="preserve">ude obsahovat analýzu stavu datových struktur zdrojových a cílových systémů, finalizované odhady pracnosti, proveditelný harmonogram všech prací a součinností v souladu s řídící metodikou migrace, který bude odsouhlasený/validovaný dotčenými projekty a předložen </w:t>
            </w:r>
            <w:r w:rsidR="00262235">
              <w:t>Objednatel</w:t>
            </w:r>
            <w:r w:rsidRPr="005C03E1">
              <w:t>i k finálnímu schválení.</w:t>
            </w:r>
            <w:r w:rsidR="00B7266F">
              <w:t xml:space="preserve"> </w:t>
            </w:r>
            <w:r w:rsidRPr="005C03E1">
              <w:t xml:space="preserve">Vstupní analýza migrace </w:t>
            </w:r>
            <w:r>
              <w:t>b</w:t>
            </w:r>
            <w:r w:rsidRPr="005C03E1">
              <w:t>ude dodána do nejpozději do 6týdnů od podpisu dodatku.</w:t>
            </w:r>
          </w:p>
        </w:tc>
      </w:tr>
    </w:tbl>
    <w:p w14:paraId="35F62062" w14:textId="77777777" w:rsidR="00675E59" w:rsidRPr="003871B3" w:rsidRDefault="00675E59" w:rsidP="00A318E5">
      <w:pPr>
        <w:pStyle w:val="GSOdstavec"/>
      </w:pPr>
    </w:p>
    <w:p w14:paraId="1ECCAA2C" w14:textId="77777777" w:rsidR="00E07CFB" w:rsidRPr="003871B3" w:rsidRDefault="00E921DD" w:rsidP="00E921DD">
      <w:pPr>
        <w:pStyle w:val="GSNadpis3"/>
      </w:pPr>
      <w:bookmarkStart w:id="12" w:name="_Ref520963030"/>
      <w:bookmarkStart w:id="13" w:name="_Toc522884695"/>
      <w:r w:rsidRPr="003871B3">
        <w:t>Analýza a návrh řešení rozdělení živá a archivní dat</w:t>
      </w:r>
      <w:bookmarkEnd w:id="12"/>
      <w:bookmarkEnd w:id="13"/>
    </w:p>
    <w:p w14:paraId="3604F686" w14:textId="289EFE78" w:rsidR="00F747F2" w:rsidRPr="003871B3" w:rsidRDefault="00F747F2" w:rsidP="002A3E5C">
      <w:pPr>
        <w:pStyle w:val="GSOdstavec"/>
      </w:pPr>
      <w:r w:rsidRPr="003871B3">
        <w:t xml:space="preserve">V návaznosti na požadavky </w:t>
      </w:r>
      <w:r w:rsidR="004E7AF7" w:rsidRPr="003871B3">
        <w:t>Objednatele</w:t>
      </w:r>
      <w:r w:rsidRPr="003871B3">
        <w:t xml:space="preserve"> ZAM</w:t>
      </w:r>
      <w:r w:rsidR="002F5595" w:rsidRPr="003871B3">
        <w:t>009</w:t>
      </w:r>
      <w:r w:rsidRPr="003871B3">
        <w:t xml:space="preserve"> a TP016 zajistí </w:t>
      </w:r>
      <w:r w:rsidR="00C60FBF">
        <w:t>D</w:t>
      </w:r>
      <w:r w:rsidRPr="003871B3">
        <w:t>odavatel rozdělení vystavovaných L2 dat pro ISZAM na data živá, která budou načtena systémem ISZAM a data archivní, případně data po uplynuté skartační lhůtě.</w:t>
      </w:r>
    </w:p>
    <w:p w14:paraId="28FE6CDE" w14:textId="597C86EF" w:rsidR="00F747F2" w:rsidRPr="003871B3" w:rsidRDefault="00F747F2" w:rsidP="002A3E5C">
      <w:pPr>
        <w:pStyle w:val="GSOdstavec"/>
      </w:pPr>
      <w:r w:rsidRPr="003871B3">
        <w:t xml:space="preserve">Pro definici podmínek rozdělení dat bude vyžadována součinnost </w:t>
      </w:r>
      <w:r w:rsidR="004E7AF7" w:rsidRPr="003871B3">
        <w:t>Objednatele</w:t>
      </w:r>
      <w:r w:rsidRPr="003871B3">
        <w:t xml:space="preserve"> v oblasti právního posouzení dané problematiky a sjednocení s platnou legislativou a odborných útvarů pro naplnění potřeb </w:t>
      </w:r>
      <w:r w:rsidR="004E7AF7" w:rsidRPr="003871B3">
        <w:t>Objednatele</w:t>
      </w:r>
      <w:r w:rsidRPr="003871B3">
        <w:t xml:space="preserve">. </w:t>
      </w:r>
    </w:p>
    <w:p w14:paraId="38A80BE3" w14:textId="40A6215D" w:rsidR="00F747F2" w:rsidRPr="003871B3" w:rsidRDefault="00F747F2" w:rsidP="002A3E5C">
      <w:pPr>
        <w:pStyle w:val="GSOdstavec"/>
      </w:pPr>
      <w:r w:rsidRPr="003871B3">
        <w:t>Dalším vstupem budou podmínky definované dodavatelem IS</w:t>
      </w:r>
      <w:r w:rsidR="00675E59" w:rsidRPr="003871B3">
        <w:t xml:space="preserve"> </w:t>
      </w:r>
      <w:r w:rsidRPr="003871B3">
        <w:t>ZAM pro nutné vazby jednotlivých dat. Některé otevřené případy potřebují pro správné vyhodnocení i dříve uzavřené případy, které i přesto, že budou dle legislativních podmínek patřit do kategorie archivních dat, budou právě díky této vazbě zachovány jako data živá.</w:t>
      </w:r>
    </w:p>
    <w:p w14:paraId="61DF9070" w14:textId="26D69810" w:rsidR="00F747F2" w:rsidRPr="003871B3" w:rsidRDefault="00F747F2" w:rsidP="00F747F2">
      <w:pPr>
        <w:pStyle w:val="GSOdstavec"/>
      </w:pPr>
      <w:r w:rsidRPr="003871B3">
        <w:t xml:space="preserve">Výstupem </w:t>
      </w:r>
      <w:r w:rsidR="00A433D3" w:rsidRPr="003871B3">
        <w:t>této části plnění bude:</w:t>
      </w:r>
    </w:p>
    <w:p w14:paraId="1194782E" w14:textId="2512EA8F" w:rsidR="00A433D3" w:rsidRPr="004251D1" w:rsidRDefault="00A433D3" w:rsidP="004251D1">
      <w:pPr>
        <w:pStyle w:val="ListParagraph"/>
        <w:numPr>
          <w:ilvl w:val="0"/>
          <w:numId w:val="25"/>
        </w:numPr>
        <w:rPr>
          <w:rFonts w:ascii="Arial" w:hAnsi="Arial" w:cs="Arial"/>
          <w:b w:val="0"/>
          <w:sz w:val="22"/>
          <w:szCs w:val="22"/>
        </w:rPr>
      </w:pPr>
      <w:r w:rsidRPr="004251D1">
        <w:rPr>
          <w:rFonts w:ascii="Arial" w:hAnsi="Arial" w:cs="Arial"/>
          <w:b w:val="0"/>
          <w:sz w:val="22"/>
          <w:szCs w:val="22"/>
        </w:rPr>
        <w:t>Rozšíření transformačního mechanizmu na rozdělení dat mezi L1 a L2</w:t>
      </w:r>
    </w:p>
    <w:p w14:paraId="61BD2512" w14:textId="0766FC82" w:rsidR="00A433D3" w:rsidRPr="004251D1" w:rsidRDefault="00A433D3" w:rsidP="004251D1">
      <w:pPr>
        <w:pStyle w:val="ListParagraph"/>
        <w:numPr>
          <w:ilvl w:val="0"/>
          <w:numId w:val="25"/>
        </w:numPr>
        <w:rPr>
          <w:rFonts w:ascii="Arial" w:hAnsi="Arial" w:cs="Arial"/>
          <w:b w:val="0"/>
          <w:sz w:val="22"/>
          <w:szCs w:val="22"/>
        </w:rPr>
      </w:pPr>
      <w:r w:rsidRPr="004251D1">
        <w:rPr>
          <w:rFonts w:ascii="Arial" w:hAnsi="Arial" w:cs="Arial"/>
          <w:b w:val="0"/>
          <w:sz w:val="22"/>
          <w:szCs w:val="22"/>
        </w:rPr>
        <w:t>Analytická dokumentace způsobu rozdělení dat na data živá, archivní a skartační</w:t>
      </w:r>
    </w:p>
    <w:p w14:paraId="69018DB6" w14:textId="385009DF" w:rsidR="00A433D3" w:rsidRPr="003871B3" w:rsidRDefault="00A433D3" w:rsidP="00F747F2">
      <w:pPr>
        <w:pStyle w:val="GSOdstavec"/>
      </w:pPr>
      <w:r w:rsidRPr="003871B3">
        <w:t>Provedení skartace dat pro data po uplynulé skartační lhůtě není součástí tohoto plnění.</w:t>
      </w:r>
    </w:p>
    <w:tbl>
      <w:tblPr>
        <w:tblStyle w:val="TableGrid"/>
        <w:tblW w:w="9067" w:type="dxa"/>
        <w:tblLook w:val="04A0" w:firstRow="1" w:lastRow="0" w:firstColumn="1" w:lastColumn="0" w:noHBand="0" w:noVBand="1"/>
      </w:tblPr>
      <w:tblGrid>
        <w:gridCol w:w="1129"/>
        <w:gridCol w:w="7938"/>
      </w:tblGrid>
      <w:tr w:rsidR="00254CEF" w:rsidRPr="003871B3" w14:paraId="41EFCEEC" w14:textId="77777777" w:rsidTr="00762EBB">
        <w:tc>
          <w:tcPr>
            <w:tcW w:w="1129" w:type="dxa"/>
          </w:tcPr>
          <w:p w14:paraId="2318B77F" w14:textId="5BF16C2C" w:rsidR="00254CEF" w:rsidRPr="003871B3" w:rsidRDefault="00254CEF" w:rsidP="00F747F2">
            <w:pPr>
              <w:pStyle w:val="GSOdstavec"/>
              <w:rPr>
                <w:szCs w:val="22"/>
              </w:rPr>
            </w:pPr>
            <w:r w:rsidRPr="003871B3">
              <w:rPr>
                <w:szCs w:val="22"/>
              </w:rPr>
              <w:t>TP016</w:t>
            </w:r>
          </w:p>
        </w:tc>
        <w:tc>
          <w:tcPr>
            <w:tcW w:w="7938" w:type="dxa"/>
          </w:tcPr>
          <w:p w14:paraId="06444E12" w14:textId="224B98C1" w:rsidR="00254CEF" w:rsidRPr="003871B3" w:rsidRDefault="00254CEF" w:rsidP="00F747F2">
            <w:pPr>
              <w:pStyle w:val="GSOdstavec"/>
              <w:rPr>
                <w:szCs w:val="22"/>
              </w:rPr>
            </w:pPr>
            <w:r w:rsidRPr="003871B3">
              <w:rPr>
                <w:szCs w:val="22"/>
              </w:rPr>
              <w:t>Dodavatel u zdrojových systémů provede analýzu, zda se jedná o data živá, archivní, nebo po uplynulé skartační době. Tato analýza bude vycházet z platné legislativy.</w:t>
            </w:r>
          </w:p>
        </w:tc>
      </w:tr>
      <w:tr w:rsidR="00254CEF" w:rsidRPr="003871B3" w14:paraId="2CCBDDED" w14:textId="77777777" w:rsidTr="00762EBB">
        <w:tc>
          <w:tcPr>
            <w:tcW w:w="1129" w:type="dxa"/>
          </w:tcPr>
          <w:p w14:paraId="27E20422" w14:textId="236D8366" w:rsidR="00254CEF" w:rsidRPr="003871B3" w:rsidRDefault="00254CEF" w:rsidP="00F747F2">
            <w:pPr>
              <w:pStyle w:val="GSOdstavec"/>
              <w:rPr>
                <w:szCs w:val="22"/>
              </w:rPr>
            </w:pPr>
            <w:r w:rsidRPr="003871B3">
              <w:rPr>
                <w:szCs w:val="22"/>
              </w:rPr>
              <w:t>ZAM009</w:t>
            </w:r>
          </w:p>
        </w:tc>
        <w:tc>
          <w:tcPr>
            <w:tcW w:w="7938" w:type="dxa"/>
          </w:tcPr>
          <w:p w14:paraId="24C5625F" w14:textId="29952666" w:rsidR="00254CEF" w:rsidRPr="003871B3" w:rsidRDefault="00254CEF" w:rsidP="00F747F2">
            <w:pPr>
              <w:pStyle w:val="GSOdstavec"/>
              <w:rPr>
                <w:szCs w:val="22"/>
              </w:rPr>
            </w:pPr>
            <w:r w:rsidRPr="003871B3">
              <w:rPr>
                <w:szCs w:val="22"/>
              </w:rPr>
              <w:t xml:space="preserve">Dodavatel zajistí vystavení dat ve struktuře LDM L2 se zajištěnou vnitřní a vnější referenční integritou na okolí systému JISPSV, tj. data exportovaná, konsolidovaná, unifikovaná ke stejnému časovému okamžiku, v rozsahu představujícím tzv. „živá“ data dle časové specifikace </w:t>
            </w:r>
            <w:r w:rsidR="00262235">
              <w:rPr>
                <w:szCs w:val="22"/>
              </w:rPr>
              <w:t>Objednatel</w:t>
            </w:r>
            <w:r w:rsidRPr="003871B3">
              <w:rPr>
                <w:szCs w:val="22"/>
              </w:rPr>
              <w:t>e (MPSV, Garant)</w:t>
            </w:r>
          </w:p>
        </w:tc>
      </w:tr>
    </w:tbl>
    <w:p w14:paraId="71978401" w14:textId="77777777" w:rsidR="00675E59" w:rsidRPr="004251D1" w:rsidRDefault="00675E59" w:rsidP="00F747F2">
      <w:pPr>
        <w:pStyle w:val="GSOdstavec"/>
      </w:pPr>
    </w:p>
    <w:p w14:paraId="5CED081B" w14:textId="77777777" w:rsidR="00E921DD" w:rsidRPr="003871B3" w:rsidRDefault="00E921DD" w:rsidP="00E921DD">
      <w:pPr>
        <w:pStyle w:val="GSNadpis3"/>
      </w:pPr>
      <w:bookmarkStart w:id="14" w:name="_Ref520898960"/>
      <w:bookmarkStart w:id="15" w:name="_Toc522884696"/>
      <w:r w:rsidRPr="003871B3">
        <w:t>Analýza a návrh řešení vedení dokumentace dle nové metodiky MPSV</w:t>
      </w:r>
      <w:bookmarkEnd w:id="14"/>
      <w:bookmarkEnd w:id="15"/>
    </w:p>
    <w:p w14:paraId="0C5CE8A0" w14:textId="420B3473" w:rsidR="002A3E5C" w:rsidRPr="003871B3" w:rsidRDefault="002A3E5C" w:rsidP="002A3E5C">
      <w:pPr>
        <w:pStyle w:val="GSOdstavec"/>
      </w:pPr>
      <w:r w:rsidRPr="003871B3">
        <w:t>V rámci požadavků na dokumentaci vznikly potřeby rozšířit stávající dokumentační postupy na těsnější využívání Enterprise Architect, předně ve větším rozsah</w:t>
      </w:r>
      <w:r w:rsidR="00866CB8" w:rsidRPr="003871B3">
        <w:t>u</w:t>
      </w:r>
      <w:r w:rsidRPr="003871B3">
        <w:t xml:space="preserve"> požadovaných modelů a obsažených dat v těchto modelech.</w:t>
      </w:r>
    </w:p>
    <w:p w14:paraId="6354FC6B" w14:textId="6EE1B73A" w:rsidR="002A3E5C" w:rsidRPr="003871B3" w:rsidRDefault="002A3E5C" w:rsidP="002A3E5C">
      <w:pPr>
        <w:pStyle w:val="GSOdstavec"/>
      </w:pPr>
      <w:r w:rsidRPr="003871B3">
        <w:t>Z tohoto důvodu je nutné navrhnout co neje</w:t>
      </w:r>
      <w:r w:rsidR="00041571" w:rsidRPr="003871B3">
        <w:t>fektivnější proces, který umožní průběžně generovat aktuální a kompletní dokumentaci s minimem průběžného úsilí, resp pouze s úsilím nutným k synchronizaci s EA repository.</w:t>
      </w:r>
    </w:p>
    <w:p w14:paraId="4E647AD9" w14:textId="77777777" w:rsidR="00041571" w:rsidRPr="003871B3" w:rsidRDefault="00041571" w:rsidP="002A3E5C">
      <w:pPr>
        <w:pStyle w:val="GSOdstavec"/>
      </w:pPr>
      <w:r w:rsidRPr="003871B3">
        <w:t>Pro návrh řešení vedení dokumentace dle nové metodiky MPSV bude nutné poskytnout ze strany MPSV konzultace k požadovanému způsobu modelování</w:t>
      </w:r>
      <w:r w:rsidR="00092AAD" w:rsidRPr="003871B3">
        <w:t>,</w:t>
      </w:r>
      <w:r w:rsidRPr="003871B3">
        <w:t xml:space="preserve"> a to alespoň v těchto oblastech:</w:t>
      </w:r>
    </w:p>
    <w:p w14:paraId="7FC9B8D6" w14:textId="77777777" w:rsidR="00041571" w:rsidRPr="00C22A86" w:rsidRDefault="00041571" w:rsidP="00092AAD">
      <w:pPr>
        <w:pStyle w:val="ListParagraph"/>
        <w:numPr>
          <w:ilvl w:val="0"/>
          <w:numId w:val="25"/>
        </w:numPr>
        <w:rPr>
          <w:rFonts w:ascii="Arial" w:hAnsi="Arial" w:cs="Arial"/>
          <w:b w:val="0"/>
          <w:sz w:val="22"/>
          <w:szCs w:val="22"/>
        </w:rPr>
      </w:pPr>
      <w:r w:rsidRPr="00C22A86">
        <w:rPr>
          <w:rFonts w:ascii="Arial" w:hAnsi="Arial" w:cs="Arial"/>
          <w:b w:val="0"/>
          <w:sz w:val="22"/>
          <w:szCs w:val="22"/>
        </w:rPr>
        <w:t>Datová analýza (E2E analýza s popisem vazeb od UI po pole v DB)</w:t>
      </w:r>
      <w:r w:rsidR="00092AAD" w:rsidRPr="00C22A86">
        <w:rPr>
          <w:rFonts w:ascii="Arial" w:hAnsi="Arial" w:cs="Arial"/>
          <w:b w:val="0"/>
          <w:sz w:val="22"/>
          <w:szCs w:val="22"/>
        </w:rPr>
        <w:t xml:space="preserve"> (DOC010)</w:t>
      </w:r>
    </w:p>
    <w:p w14:paraId="78C4DA0E" w14:textId="77777777" w:rsidR="00041571" w:rsidRPr="00C22A86" w:rsidRDefault="00041571" w:rsidP="00092AAD">
      <w:pPr>
        <w:pStyle w:val="ListParagraph"/>
        <w:numPr>
          <w:ilvl w:val="0"/>
          <w:numId w:val="25"/>
        </w:numPr>
        <w:rPr>
          <w:rFonts w:ascii="Arial" w:hAnsi="Arial" w:cs="Arial"/>
          <w:b w:val="0"/>
          <w:sz w:val="22"/>
          <w:szCs w:val="22"/>
        </w:rPr>
      </w:pPr>
      <w:r w:rsidRPr="00C22A86">
        <w:rPr>
          <w:rFonts w:ascii="Arial" w:hAnsi="Arial" w:cs="Arial"/>
          <w:b w:val="0"/>
          <w:sz w:val="22"/>
          <w:szCs w:val="22"/>
        </w:rPr>
        <w:t>Datové toky a vazby jednotlivých entit mezi vrstvami a systémy</w:t>
      </w:r>
      <w:r w:rsidR="00092AAD" w:rsidRPr="00C22A86">
        <w:rPr>
          <w:rFonts w:ascii="Arial" w:hAnsi="Arial" w:cs="Arial"/>
          <w:b w:val="0"/>
          <w:sz w:val="22"/>
          <w:szCs w:val="22"/>
        </w:rPr>
        <w:t xml:space="preserve"> (DOC019)</w:t>
      </w:r>
    </w:p>
    <w:p w14:paraId="32EE5614" w14:textId="77777777" w:rsidR="00041571" w:rsidRPr="00C22A86" w:rsidRDefault="00041571" w:rsidP="00092AAD">
      <w:pPr>
        <w:pStyle w:val="ListParagraph"/>
        <w:numPr>
          <w:ilvl w:val="0"/>
          <w:numId w:val="25"/>
        </w:numPr>
        <w:rPr>
          <w:rFonts w:ascii="Arial" w:hAnsi="Arial" w:cs="Arial"/>
          <w:b w:val="0"/>
          <w:sz w:val="22"/>
          <w:szCs w:val="22"/>
        </w:rPr>
      </w:pPr>
      <w:r w:rsidRPr="00C22A86">
        <w:rPr>
          <w:rFonts w:ascii="Arial" w:hAnsi="Arial" w:cs="Arial"/>
          <w:b w:val="0"/>
          <w:sz w:val="22"/>
          <w:szCs w:val="22"/>
        </w:rPr>
        <w:t>Způsob kontroly správnosti dat načítaných do definované entity</w:t>
      </w:r>
      <w:r w:rsidR="00092AAD" w:rsidRPr="00C22A86">
        <w:rPr>
          <w:rFonts w:ascii="Arial" w:hAnsi="Arial" w:cs="Arial"/>
          <w:b w:val="0"/>
          <w:sz w:val="22"/>
          <w:szCs w:val="22"/>
        </w:rPr>
        <w:t xml:space="preserve"> (DOC021)</w:t>
      </w:r>
    </w:p>
    <w:p w14:paraId="7C691501" w14:textId="6CCC0B6E" w:rsidR="00092AAD" w:rsidRPr="00C22A86" w:rsidRDefault="00092AAD" w:rsidP="00092AAD">
      <w:pPr>
        <w:pStyle w:val="ListParagraph"/>
        <w:numPr>
          <w:ilvl w:val="0"/>
          <w:numId w:val="25"/>
        </w:numPr>
        <w:rPr>
          <w:rFonts w:ascii="Arial" w:hAnsi="Arial" w:cs="Arial"/>
          <w:b w:val="0"/>
          <w:sz w:val="22"/>
          <w:szCs w:val="22"/>
        </w:rPr>
      </w:pPr>
      <w:r w:rsidRPr="00C22A86">
        <w:rPr>
          <w:rFonts w:ascii="Arial" w:hAnsi="Arial" w:cs="Arial"/>
          <w:b w:val="0"/>
          <w:sz w:val="22"/>
          <w:szCs w:val="22"/>
        </w:rPr>
        <w:t>Popis ETL transformací a jejich vazeb (DOC010)</w:t>
      </w:r>
    </w:p>
    <w:p w14:paraId="6ADF6522" w14:textId="28A51760" w:rsidR="001E3F13" w:rsidRPr="00C22A86" w:rsidRDefault="00060A71" w:rsidP="00C22A86">
      <w:pPr>
        <w:pStyle w:val="GSOdstavec"/>
      </w:pPr>
      <w:r w:rsidRPr="00C22A86">
        <w:t>Předpokládaný rozsah nutné součinnosti je cca 5</w:t>
      </w:r>
      <w:r w:rsidR="004D411B">
        <w:t xml:space="preserve"> </w:t>
      </w:r>
      <w:r w:rsidRPr="00C22A86">
        <w:t>MD.</w:t>
      </w:r>
    </w:p>
    <w:p w14:paraId="754DF7FF" w14:textId="77777777" w:rsidR="003E7F8F" w:rsidRPr="003871B3" w:rsidRDefault="003E7F8F" w:rsidP="00060A71">
      <w:pPr>
        <w:pStyle w:val="ListParagraph"/>
        <w:rPr>
          <w:rFonts w:ascii="Arial" w:hAnsi="Arial" w:cs="Arial"/>
          <w:b w:val="0"/>
          <w:sz w:val="22"/>
        </w:rPr>
      </w:pPr>
    </w:p>
    <w:p w14:paraId="4ED80B49" w14:textId="530FFA20" w:rsidR="00E921DD" w:rsidRPr="00E008F8" w:rsidRDefault="00F84639" w:rsidP="00E921DD">
      <w:pPr>
        <w:pStyle w:val="GSNadpis3"/>
        <w:rPr>
          <w:highlight w:val="black"/>
        </w:rPr>
      </w:pPr>
      <w:bookmarkStart w:id="16" w:name="_Ref520831931"/>
      <w:bookmarkStart w:id="17" w:name="_Toc522884697"/>
      <w:r w:rsidRPr="00E008F8">
        <w:rPr>
          <w:highlight w:val="black"/>
        </w:rPr>
        <w:t>xxxxxxxxxx xxxxxxxxxxx xxxxxxxxx xxxxxxxxxxxxxxxxxxx xxxxxx</w:t>
      </w:r>
      <w:bookmarkEnd w:id="16"/>
      <w:bookmarkEnd w:id="17"/>
      <w:r w:rsidRPr="00E008F8">
        <w:rPr>
          <w:highlight w:val="black"/>
        </w:rPr>
        <w:t>xx</w:t>
      </w:r>
    </w:p>
    <w:p w14:paraId="36E8C6F2" w14:textId="63227A88" w:rsidR="003E7F8F" w:rsidRPr="00E008F8" w:rsidRDefault="00F84639" w:rsidP="00060A71">
      <w:pPr>
        <w:pStyle w:val="GSOdstavec"/>
        <w:rPr>
          <w:highlight w:val="black"/>
        </w:rPr>
      </w:pPr>
      <w:r w:rsidRPr="00E008F8">
        <w:rPr>
          <w:highlight w:val="black"/>
        </w:rPr>
        <w:t>xxxxxxxxxxxxxxxx xxxx xxxxxxxxxxxx xxxxxxxxxxxxxxx xxxxxxxxxxxxxxxxxx xxxxxxxxx xxxxxxxxx xxxxxxxxxxxxxx xxxxxxxxxxxxxxxxxx xxxxxxxxxxxxxx xxxxxxxxxxx</w:t>
      </w:r>
      <w:r w:rsidR="00060A71" w:rsidRPr="00E008F8">
        <w:rPr>
          <w:highlight w:val="black"/>
        </w:rPr>
        <w:t xml:space="preserve"> </w:t>
      </w:r>
    </w:p>
    <w:tbl>
      <w:tblPr>
        <w:tblStyle w:val="TableGrid"/>
        <w:tblW w:w="9067" w:type="dxa"/>
        <w:tblLook w:val="04A0" w:firstRow="1" w:lastRow="0" w:firstColumn="1" w:lastColumn="0" w:noHBand="0" w:noVBand="1"/>
      </w:tblPr>
      <w:tblGrid>
        <w:gridCol w:w="1271"/>
        <w:gridCol w:w="7796"/>
      </w:tblGrid>
      <w:tr w:rsidR="00F84639" w:rsidRPr="00E008F8" w14:paraId="117EA543" w14:textId="77777777" w:rsidTr="00762EBB">
        <w:tc>
          <w:tcPr>
            <w:tcW w:w="1271" w:type="dxa"/>
          </w:tcPr>
          <w:p w14:paraId="721A4600" w14:textId="0A93D286" w:rsidR="00F84639" w:rsidRPr="00E008F8" w:rsidRDefault="00F84639" w:rsidP="00F84639">
            <w:pPr>
              <w:pStyle w:val="GSOdstavec"/>
              <w:rPr>
                <w:highlight w:val="black"/>
              </w:rPr>
            </w:pPr>
            <w:r w:rsidRPr="00E008F8">
              <w:rPr>
                <w:highlight w:val="black"/>
              </w:rPr>
              <w:t>xxxxxxxx</w:t>
            </w:r>
          </w:p>
        </w:tc>
        <w:tc>
          <w:tcPr>
            <w:tcW w:w="7796" w:type="dxa"/>
          </w:tcPr>
          <w:p w14:paraId="74FC6369" w14:textId="72F8EC5D" w:rsidR="00F84639" w:rsidRPr="00E008F8" w:rsidRDefault="00F84639" w:rsidP="00F84639">
            <w:pPr>
              <w:pStyle w:val="GSOdstavec"/>
              <w:rPr>
                <w:rFonts w:cs="Arial"/>
                <w:szCs w:val="22"/>
                <w:highlight w:val="black"/>
              </w:rPr>
            </w:pPr>
            <w:r w:rsidRPr="00E008F8">
              <w:rPr>
                <w:highlight w:val="black"/>
              </w:rPr>
              <w:t>xxxxxxxxxxxxxxxx xxxxxxxxx xxxxxxxx xxxxxxxxxx xxxxxxxx xxxxxxxx xxxx xxxxxxxxxxxxxxxxxxxxxxxxxxxxxxxxxxxxxxxxxxxxxxxxxxx x x x x x xxxxxxxxxxxxxx xxxxxxxxx xxxxxxxxx xxxxxxxxxxx xxxxxx xxxxxx xxxxx xx xxxx x xxxxxxxxxxxxx xxx</w:t>
            </w:r>
          </w:p>
        </w:tc>
      </w:tr>
    </w:tbl>
    <w:p w14:paraId="161108C5" w14:textId="77777777" w:rsidR="0047595B" w:rsidRPr="00E008F8" w:rsidRDefault="0047595B" w:rsidP="00060A71">
      <w:pPr>
        <w:pStyle w:val="GSOdstavec"/>
        <w:rPr>
          <w:highlight w:val="black"/>
        </w:rPr>
      </w:pPr>
    </w:p>
    <w:p w14:paraId="2F022E29" w14:textId="01B19E42" w:rsidR="0047595B" w:rsidRPr="00E008F8" w:rsidRDefault="0047595B" w:rsidP="00060A71">
      <w:pPr>
        <w:pStyle w:val="GSOdstavec"/>
        <w:rPr>
          <w:highlight w:val="black"/>
        </w:rPr>
      </w:pPr>
      <w:r w:rsidRPr="00E008F8">
        <w:rPr>
          <w:highlight w:val="black"/>
        </w:rPr>
        <w:t>xxxxxxxxxx xxxxxxxxxxxxx xxxxxxxxxxxxxxx xxxxxxxxxxxxxxx xxxxxxxxxxxxxx xxxxxxx</w:t>
      </w:r>
    </w:p>
    <w:p w14:paraId="268A294A" w14:textId="69FCEB8D" w:rsidR="0047595B" w:rsidRPr="00E008F8" w:rsidRDefault="0047595B" w:rsidP="00060A71">
      <w:pPr>
        <w:pStyle w:val="GSOdstavec"/>
        <w:rPr>
          <w:highlight w:val="black"/>
        </w:rPr>
      </w:pPr>
      <w:r w:rsidRPr="00E008F8">
        <w:rPr>
          <w:highlight w:val="black"/>
        </w:rPr>
        <w:t>xxxxxxxxxxxxxxxx xxxxxxxxxxxxxxxxxx xxxxxxxxxxxxxxxx xxxxxxxxxxxxxxxxxxxx xxx xxx xxxxxxxxxxxxx xxxxxxxxxxxxx xxxxxxxxxxxxxxxxxxxx xxxxxxxxxxxxxxxxx xxxxxxxxxxxx xxxxx xxxxxxxxxxxxxx xxxxxxxxxxxxxxx xxxxxx</w:t>
      </w:r>
    </w:p>
    <w:p w14:paraId="26E56E85" w14:textId="4ACDA62E" w:rsidR="0047595B" w:rsidRPr="00E008F8" w:rsidRDefault="0047595B" w:rsidP="00060A71">
      <w:pPr>
        <w:pStyle w:val="GSOdstavec"/>
        <w:rPr>
          <w:highlight w:val="black"/>
        </w:rPr>
      </w:pPr>
      <w:r w:rsidRPr="00E008F8">
        <w:rPr>
          <w:highlight w:val="black"/>
        </w:rPr>
        <w:t>xxxxxxxxxxxxxxxxx xxxxxxxxxxxxxxxx xxxxxxxxxxxxxxxxxxx xxxxxxxxxxxxxxx xxxxx xxx xxxxxxxxxxxxxxx xxxxxxxxxxxxxxxxx xxxxxxxxxxxxxxxx xxxxxxxxxx xxx x</w:t>
      </w:r>
    </w:p>
    <w:p w14:paraId="4E6CFF96" w14:textId="49C16F46" w:rsidR="0047595B" w:rsidRPr="00E008F8" w:rsidRDefault="0047595B" w:rsidP="00060A71">
      <w:pPr>
        <w:pStyle w:val="GSOdstavec"/>
        <w:rPr>
          <w:highlight w:val="black"/>
        </w:rPr>
      </w:pPr>
      <w:r w:rsidRPr="00E008F8">
        <w:rPr>
          <w:highlight w:val="black"/>
        </w:rPr>
        <w:t>xxxxxxxxxxxx xxxxxxxxxxxxxxxx xxxxxxxxxxxxxxxx xxxxxxxxxxxxxxxx xxxxxxxxxxxxxx xx x xxxxxxxxxxxxxxxxxxxxxxxxxxxxxxxxxxxxx xxxxxxxxxx xxxxxxxxxxxxxxxxxxx xxxxxxxx xxxxx xxxxxxxxxxxxxxxxxxxxxx xxxxxxxxxxxxxxxxxxxxxxx xxxxxxxxxxxxxxxxx xxxxxxx xx xxxxxxxxxxxxxxxxxxxxxxxxxxxxxxxx xxxxxxxxxxxxxxx xxxxxxxxxxxxxxxx xxxxxxxxxxx xxxxxxxxxxxxxxxxxxxxxxxxxxxxxxxxxxxxxxxxxxxxxxx xxxxxxxxxxxx xxxxxxxx xxxxxxx xx xx</w:t>
      </w:r>
    </w:p>
    <w:p w14:paraId="3E6028F3" w14:textId="11A9DC47" w:rsidR="00B87238" w:rsidRPr="00E008F8" w:rsidRDefault="0047595B" w:rsidP="00060A71">
      <w:pPr>
        <w:pStyle w:val="GSOdstavec"/>
        <w:rPr>
          <w:highlight w:val="black"/>
        </w:rPr>
      </w:pPr>
      <w:r w:rsidRPr="00E008F8">
        <w:rPr>
          <w:highlight w:val="black"/>
        </w:rPr>
        <w:t>xxxxxxxxxxxxxxxxxxxxx xxxxxxxxxxxxxxx xxxxxxxxxxxxxxxxxxxx xxxxxxxxxxxxxxxxxxxx xxxx xxxx xxxxxx</w:t>
      </w:r>
      <w:r w:rsidR="00B87238" w:rsidRPr="00E008F8">
        <w:rPr>
          <w:highlight w:val="black"/>
        </w:rPr>
        <w:t>.</w:t>
      </w:r>
    </w:p>
    <w:p w14:paraId="5135C131" w14:textId="77777777" w:rsidR="00E921DD" w:rsidRPr="003871B3" w:rsidRDefault="00E921DD" w:rsidP="00E921DD">
      <w:pPr>
        <w:pStyle w:val="GSNadpis3"/>
      </w:pPr>
      <w:bookmarkStart w:id="18" w:name="_Ref520963055"/>
      <w:bookmarkStart w:id="19" w:name="_Toc522884698"/>
      <w:r w:rsidRPr="003871B3">
        <w:t>Rozšíření kontrol načítaných dat do L0</w:t>
      </w:r>
      <w:bookmarkEnd w:id="18"/>
      <w:bookmarkEnd w:id="19"/>
    </w:p>
    <w:p w14:paraId="4B62F89B" w14:textId="77777777" w:rsidR="00226B2D" w:rsidRPr="003871B3" w:rsidRDefault="00EC6EDE" w:rsidP="00EC6EDE">
      <w:pPr>
        <w:pStyle w:val="GSOdstavec"/>
      </w:pPr>
      <w:r w:rsidRPr="003871B3">
        <w:t xml:space="preserve">V návaznosti na požadavek </w:t>
      </w:r>
    </w:p>
    <w:tbl>
      <w:tblPr>
        <w:tblStyle w:val="TableGrid"/>
        <w:tblW w:w="9067" w:type="dxa"/>
        <w:tblLook w:val="04A0" w:firstRow="1" w:lastRow="0" w:firstColumn="1" w:lastColumn="0" w:noHBand="0" w:noVBand="1"/>
      </w:tblPr>
      <w:tblGrid>
        <w:gridCol w:w="988"/>
        <w:gridCol w:w="8079"/>
      </w:tblGrid>
      <w:tr w:rsidR="00254CEF" w:rsidRPr="003871B3" w14:paraId="56B1A539" w14:textId="77777777" w:rsidTr="00762EBB">
        <w:tc>
          <w:tcPr>
            <w:tcW w:w="988" w:type="dxa"/>
          </w:tcPr>
          <w:p w14:paraId="3B9327DC" w14:textId="09CEE5BE" w:rsidR="00254CEF" w:rsidRPr="003871B3" w:rsidRDefault="00254CEF" w:rsidP="00EC6EDE">
            <w:pPr>
              <w:pStyle w:val="GSOdstavec"/>
            </w:pPr>
            <w:r w:rsidRPr="003871B3">
              <w:t>TP013</w:t>
            </w:r>
          </w:p>
        </w:tc>
        <w:tc>
          <w:tcPr>
            <w:tcW w:w="8079" w:type="dxa"/>
          </w:tcPr>
          <w:p w14:paraId="176CF45F" w14:textId="30AE2AF0" w:rsidR="00254CEF" w:rsidRPr="003871B3" w:rsidRDefault="00254CEF" w:rsidP="00EC6EDE">
            <w:pPr>
              <w:pStyle w:val="GSOdstavec"/>
            </w:pPr>
            <w:r w:rsidRPr="002F004A">
              <w:t>Dodavatel implementuje jako součást přenosu dat mezi zdrojovým a cílovým úložištěm nebo jednotlivými vrstvami v rámci migrační db automatizovaný mechanizmus zajišťující kontrolu kompletnosti přenosu dat.</w:t>
            </w:r>
          </w:p>
        </w:tc>
      </w:tr>
    </w:tbl>
    <w:p w14:paraId="4043CE38" w14:textId="1D366C38" w:rsidR="00E53FAB" w:rsidRPr="003871B3" w:rsidRDefault="00E53FAB" w:rsidP="00EC6EDE">
      <w:pPr>
        <w:pStyle w:val="GSOdstavec"/>
      </w:pPr>
      <w:r w:rsidRPr="003871B3">
        <w:t>Dodavatel rozšíří kontroly nad datovými přenosy ze zdrojových systémů do datových vrstev LISu.</w:t>
      </w:r>
    </w:p>
    <w:p w14:paraId="0C0D828E" w14:textId="6B5BEA99" w:rsidR="00EC6EDE" w:rsidRPr="003871B3" w:rsidRDefault="00EC6EDE" w:rsidP="00EC6EDE">
      <w:pPr>
        <w:pStyle w:val="GSOdstavec"/>
      </w:pPr>
      <w:r w:rsidRPr="003871B3">
        <w:t>Datové kontroly budou ověřovat kompletnost přenosu provedením kontrolních součtů. Vzhledem k tomu, že tyto kontroly mohou mít výkonnostní dopad na zdrojové systémy, je rozsah těchto kontrol vhodně dimenzovat a otestovat s provozovateli zdrojových systémů.</w:t>
      </w:r>
    </w:p>
    <w:p w14:paraId="3702EF67" w14:textId="6EFF2484" w:rsidR="00EC6EDE" w:rsidRPr="003871B3" w:rsidRDefault="00EC6EDE" w:rsidP="002F5595">
      <w:pPr>
        <w:pStyle w:val="GSOdstavec"/>
      </w:pPr>
      <w:r w:rsidRPr="003871B3">
        <w:t>Výsledkem kontrol bude report obsahující výsledky ověření a případně vyvolá</w:t>
      </w:r>
      <w:r w:rsidR="001B17AB" w:rsidRPr="003871B3">
        <w:t>ní upozornění pracovníka dohledu, tak aby mohl ještě v rámci dedikovaného časového okna pro stahování nekonzistenci vyřešit a data stáhnout kompletně a konzistentně.</w:t>
      </w:r>
    </w:p>
    <w:p w14:paraId="16414E31" w14:textId="77777777" w:rsidR="00E921DD" w:rsidRPr="003871B3" w:rsidRDefault="00E921DD" w:rsidP="00E921DD">
      <w:pPr>
        <w:pStyle w:val="GSNadpis3"/>
      </w:pPr>
      <w:bookmarkStart w:id="20" w:name="_Ref520963060"/>
      <w:bookmarkStart w:id="21" w:name="_Toc522884699"/>
      <w:r w:rsidRPr="003871B3">
        <w:t>Optimalizace stahování dat ze zdrojových systémů do L0</w:t>
      </w:r>
      <w:bookmarkEnd w:id="20"/>
      <w:bookmarkEnd w:id="21"/>
    </w:p>
    <w:p w14:paraId="6FF5A8A9" w14:textId="77777777" w:rsidR="000B6DA3" w:rsidRPr="003871B3" w:rsidRDefault="001B17AB" w:rsidP="001B17AB">
      <w:pPr>
        <w:pStyle w:val="GSOdstavec"/>
        <w:rPr>
          <w:rFonts w:eastAsia="Times New Roman" w:cs="Arial"/>
          <w:color w:val="000000"/>
          <w:szCs w:val="22"/>
          <w:lang w:eastAsia="cs-CZ"/>
        </w:rPr>
      </w:pPr>
      <w:r w:rsidRPr="003871B3">
        <w:rPr>
          <w:rFonts w:eastAsia="Times New Roman" w:cs="Arial"/>
          <w:color w:val="000000"/>
          <w:szCs w:val="22"/>
          <w:lang w:eastAsia="cs-CZ"/>
        </w:rPr>
        <w:t xml:space="preserve">Ve vazbě na požadavek </w:t>
      </w:r>
    </w:p>
    <w:tbl>
      <w:tblPr>
        <w:tblStyle w:val="TableGrid"/>
        <w:tblW w:w="9067" w:type="dxa"/>
        <w:tblLook w:val="04A0" w:firstRow="1" w:lastRow="0" w:firstColumn="1" w:lastColumn="0" w:noHBand="0" w:noVBand="1"/>
      </w:tblPr>
      <w:tblGrid>
        <w:gridCol w:w="1129"/>
        <w:gridCol w:w="7938"/>
      </w:tblGrid>
      <w:tr w:rsidR="00254CEF" w:rsidRPr="003871B3" w14:paraId="1B132811" w14:textId="77777777" w:rsidTr="00762EBB">
        <w:tc>
          <w:tcPr>
            <w:tcW w:w="1129" w:type="dxa"/>
          </w:tcPr>
          <w:p w14:paraId="40D08A6C" w14:textId="589119A9" w:rsidR="00254CEF" w:rsidRPr="003871B3" w:rsidRDefault="00254CEF" w:rsidP="001B17AB">
            <w:pPr>
              <w:pStyle w:val="GSOdstavec"/>
              <w:rPr>
                <w:rFonts w:eastAsia="Times New Roman" w:cs="Arial"/>
                <w:color w:val="000000"/>
                <w:szCs w:val="22"/>
                <w:lang w:eastAsia="cs-CZ"/>
              </w:rPr>
            </w:pPr>
            <w:r w:rsidRPr="003871B3">
              <w:rPr>
                <w:rFonts w:eastAsia="Times New Roman" w:cs="Arial"/>
                <w:color w:val="000000"/>
                <w:szCs w:val="22"/>
                <w:lang w:eastAsia="cs-CZ"/>
              </w:rPr>
              <w:t>TP081</w:t>
            </w:r>
          </w:p>
        </w:tc>
        <w:tc>
          <w:tcPr>
            <w:tcW w:w="7938" w:type="dxa"/>
          </w:tcPr>
          <w:p w14:paraId="1B5B3B56" w14:textId="2D7B0A6D" w:rsidR="00254CEF" w:rsidRPr="003871B3" w:rsidRDefault="00254CEF" w:rsidP="001B17AB">
            <w:pPr>
              <w:pStyle w:val="GSOdstavec"/>
              <w:rPr>
                <w:rFonts w:cs="Arial"/>
              </w:rPr>
            </w:pPr>
            <w:r w:rsidRPr="003871B3">
              <w:rPr>
                <w:rFonts w:cs="Arial"/>
              </w:rPr>
              <w:t>Dodavatel bude průběžně optimalizovat přípravu migračních dat v migrační db mezi vrstvami L0-L1-L2 s cílem minimalizovat dobu nutnou pro přípravu těchto dat. Čas potřebný pro přípravu dat musí být maximálně 8 hodin, provedeme kroky k optimalizaci stahování zdrojových dat z OK aplikací do L0.</w:t>
            </w:r>
          </w:p>
        </w:tc>
      </w:tr>
    </w:tbl>
    <w:p w14:paraId="353CA10C" w14:textId="311C70F8" w:rsidR="001B17AB" w:rsidRPr="00C22A86" w:rsidRDefault="001B17AB" w:rsidP="001B17AB">
      <w:pPr>
        <w:pStyle w:val="GSOdstavec"/>
        <w:rPr>
          <w:rFonts w:eastAsia="Times New Roman" w:cs="Arial"/>
          <w:color w:val="000000"/>
          <w:szCs w:val="22"/>
          <w:lang w:eastAsia="cs-CZ"/>
        </w:rPr>
      </w:pPr>
      <w:r w:rsidRPr="00C22A86">
        <w:rPr>
          <w:rFonts w:eastAsia="Times New Roman" w:cs="Arial"/>
          <w:color w:val="000000"/>
          <w:szCs w:val="22"/>
          <w:lang w:eastAsia="cs-CZ"/>
        </w:rPr>
        <w:t>Stávající mechanizmus je neefektivní pro tabulky obsahující velké množství dat a jeho optimalizací by bylo dosaženo výrazné časové úspory v celkové době přípravy migračních dat mezi zdrojovými aplikacemi a LIS L2 vrstvou.</w:t>
      </w:r>
    </w:p>
    <w:p w14:paraId="2B2699DC" w14:textId="1759E230" w:rsidR="00DB7EE7" w:rsidRPr="00C22A86" w:rsidRDefault="00DB7EE7" w:rsidP="001B17AB">
      <w:pPr>
        <w:pStyle w:val="GSOdstavec"/>
        <w:rPr>
          <w:rFonts w:eastAsia="Times New Roman" w:cs="Arial"/>
          <w:color w:val="000000"/>
          <w:szCs w:val="22"/>
          <w:lang w:eastAsia="cs-CZ"/>
        </w:rPr>
      </w:pPr>
      <w:r w:rsidRPr="00C22A86">
        <w:rPr>
          <w:rFonts w:eastAsia="Times New Roman" w:cs="Arial"/>
          <w:color w:val="000000"/>
          <w:szCs w:val="22"/>
          <w:lang w:eastAsia="cs-CZ"/>
        </w:rPr>
        <w:t>V rámci plnění budou provedeny následující kroky:</w:t>
      </w:r>
    </w:p>
    <w:p w14:paraId="28B6A768" w14:textId="14DE83C7" w:rsidR="00DB7EE7" w:rsidRPr="00C22A86" w:rsidRDefault="00DB7EE7" w:rsidP="00DB7EE7">
      <w:pPr>
        <w:pStyle w:val="ListParagraph"/>
        <w:numPr>
          <w:ilvl w:val="0"/>
          <w:numId w:val="25"/>
        </w:numPr>
        <w:rPr>
          <w:rFonts w:ascii="Arial" w:hAnsi="Arial" w:cs="Arial"/>
          <w:b w:val="0"/>
          <w:sz w:val="22"/>
          <w:szCs w:val="22"/>
        </w:rPr>
      </w:pPr>
      <w:r w:rsidRPr="00C22A86">
        <w:rPr>
          <w:rFonts w:ascii="Arial" w:hAnsi="Arial" w:cs="Arial"/>
          <w:b w:val="0"/>
          <w:sz w:val="22"/>
          <w:szCs w:val="22"/>
        </w:rPr>
        <w:t>Identifikace hlavních neefektivností v rámci datových přenosů</w:t>
      </w:r>
    </w:p>
    <w:p w14:paraId="6E4702E2" w14:textId="730A0535" w:rsidR="00DB7EE7" w:rsidRPr="00C22A86" w:rsidRDefault="00DB7EE7" w:rsidP="00DB7EE7">
      <w:pPr>
        <w:pStyle w:val="ListParagraph"/>
        <w:numPr>
          <w:ilvl w:val="0"/>
          <w:numId w:val="25"/>
        </w:numPr>
        <w:rPr>
          <w:rFonts w:ascii="Arial" w:hAnsi="Arial" w:cs="Arial"/>
          <w:b w:val="0"/>
          <w:sz w:val="22"/>
          <w:szCs w:val="22"/>
        </w:rPr>
      </w:pPr>
      <w:r w:rsidRPr="00C22A86">
        <w:rPr>
          <w:rFonts w:ascii="Arial" w:hAnsi="Arial" w:cs="Arial"/>
          <w:b w:val="0"/>
          <w:sz w:val="22"/>
          <w:szCs w:val="22"/>
        </w:rPr>
        <w:t>Návrh variant optimalizace a vyhodnocení dopadu jednotlivých variant</w:t>
      </w:r>
    </w:p>
    <w:p w14:paraId="6276C574" w14:textId="080CD22D" w:rsidR="00DB7EE7" w:rsidRPr="00C22A86" w:rsidRDefault="00DB7EE7" w:rsidP="00DB7EE7">
      <w:pPr>
        <w:pStyle w:val="ListParagraph"/>
        <w:numPr>
          <w:ilvl w:val="0"/>
          <w:numId w:val="25"/>
        </w:numPr>
        <w:rPr>
          <w:rFonts w:ascii="Arial" w:hAnsi="Arial" w:cs="Arial"/>
          <w:b w:val="0"/>
          <w:sz w:val="22"/>
          <w:szCs w:val="22"/>
        </w:rPr>
      </w:pPr>
      <w:r w:rsidRPr="00C22A86">
        <w:rPr>
          <w:rFonts w:ascii="Arial" w:hAnsi="Arial" w:cs="Arial"/>
          <w:b w:val="0"/>
          <w:sz w:val="22"/>
          <w:szCs w:val="22"/>
        </w:rPr>
        <w:t>Ověření vybraných variant a zapracování optimalizace do migračních mechanizmů</w:t>
      </w:r>
    </w:p>
    <w:p w14:paraId="62617C06" w14:textId="77777777" w:rsidR="00E921DD" w:rsidRPr="003871B3" w:rsidRDefault="00E921DD" w:rsidP="00E921DD">
      <w:pPr>
        <w:pStyle w:val="GSNadpis3"/>
      </w:pPr>
      <w:bookmarkStart w:id="22" w:name="_Ref520963072"/>
      <w:bookmarkStart w:id="23" w:name="_Toc522884700"/>
      <w:r w:rsidRPr="003871B3">
        <w:t>Příprava testovacích scénářů</w:t>
      </w:r>
      <w:bookmarkEnd w:id="22"/>
      <w:bookmarkEnd w:id="23"/>
    </w:p>
    <w:p w14:paraId="7C61BF81" w14:textId="353E9001" w:rsidR="008D2C0F" w:rsidRPr="003871B3" w:rsidRDefault="004F5E3D" w:rsidP="008D2C0F">
      <w:pPr>
        <w:pStyle w:val="GSOdstavec"/>
      </w:pPr>
      <w:r w:rsidRPr="003871B3">
        <w:t>V </w:t>
      </w:r>
      <w:r w:rsidR="00A51A06" w:rsidRPr="003871B3">
        <w:t>n</w:t>
      </w:r>
      <w:r w:rsidRPr="003871B3">
        <w:t xml:space="preserve">ávaznosti na požadavky </w:t>
      </w:r>
      <w:r w:rsidR="004E7AF7" w:rsidRPr="003871B3">
        <w:t>Objednatele</w:t>
      </w:r>
      <w:r w:rsidRPr="003871B3">
        <w:t xml:space="preserve"> </w:t>
      </w:r>
      <w:r w:rsidR="008D2C0F" w:rsidRPr="003871B3">
        <w:t>TP073 a TP082 vytvoří Dodavatel testovací scénáře transformací, a to zpětně k dříve realizovaným transformacím. Testovací scénáře k nově realizovaným scénářům budou součástí nových implementací.</w:t>
      </w:r>
    </w:p>
    <w:p w14:paraId="4CFCA08A" w14:textId="689FAF6C" w:rsidR="008D2C0F" w:rsidRPr="003871B3" w:rsidRDefault="008D2C0F" w:rsidP="008D2C0F">
      <w:pPr>
        <w:pStyle w:val="GSOdstavec"/>
      </w:pPr>
      <w:r w:rsidRPr="003871B3">
        <w:t xml:space="preserve">Testovací scénáře předá Dodavatel s předstihem před začátkem testování k oponentnímu řízení </w:t>
      </w:r>
      <w:r w:rsidR="004E7AF7" w:rsidRPr="003871B3">
        <w:t>Objednatele</w:t>
      </w:r>
      <w:r w:rsidRPr="003871B3">
        <w:t xml:space="preserve">. Za účelem úspory času se předpokládá součinnost </w:t>
      </w:r>
      <w:r w:rsidR="004E7AF7" w:rsidRPr="003871B3">
        <w:t>Objednatele</w:t>
      </w:r>
      <w:r w:rsidRPr="003871B3">
        <w:t xml:space="preserve"> v definici podoby a rozsahu testovacích scénářů, tak aby byla maximalizována šance rychlého a úspěšného jednokolového oponentního řízení.</w:t>
      </w:r>
    </w:p>
    <w:p w14:paraId="12A79E89" w14:textId="3453CD94" w:rsidR="008D2C0F" w:rsidRPr="003871B3" w:rsidRDefault="008D2C0F" w:rsidP="008D2C0F">
      <w:pPr>
        <w:pStyle w:val="GSOdstavec"/>
      </w:pPr>
      <w:r w:rsidRPr="003871B3">
        <w:t xml:space="preserve">Pro testovací scénáře budou vybrány reprezentativní datové vzorky, a to buď týmem LIS nebo v součinnosti s garanty migrace ze strany </w:t>
      </w:r>
      <w:r w:rsidR="004E7AF7" w:rsidRPr="003871B3">
        <w:t>Objednatele</w:t>
      </w:r>
      <w:r w:rsidRPr="003871B3">
        <w:t>.</w:t>
      </w:r>
      <w:r w:rsidR="00E352F7" w:rsidRPr="003871B3">
        <w:t xml:space="preserve"> V obou případech se nepředpokládá vytvoření umělých testovacích dat, ale použití potenciálu stávajících migračních dat.</w:t>
      </w:r>
    </w:p>
    <w:p w14:paraId="1E3AC334" w14:textId="55EC7760" w:rsidR="00E352F7" w:rsidRPr="003871B3" w:rsidRDefault="00E352F7" w:rsidP="008D2C0F">
      <w:pPr>
        <w:pStyle w:val="GSOdstavec"/>
      </w:pPr>
      <w:r w:rsidRPr="003871B3">
        <w:t>V případě, že bude pro provedení testů potřeba v navázaných systémech připravit data jiným způsobem než načtením připravených migračních dat, bude toto řešeno jako součinnost daného systému pro provedení testu.</w:t>
      </w:r>
    </w:p>
    <w:p w14:paraId="74129CD1" w14:textId="3139BABB" w:rsidR="000B6DA3" w:rsidRPr="003871B3" w:rsidRDefault="008D2C0F" w:rsidP="002F5595">
      <w:pPr>
        <w:pStyle w:val="GSOdstavec"/>
      </w:pPr>
      <w:r w:rsidRPr="003871B3">
        <w:t xml:space="preserve">Dodavatel poskytne součinnost pro provedení testů </w:t>
      </w:r>
      <w:r w:rsidR="004E7AF7" w:rsidRPr="003871B3">
        <w:t>Objednatelem</w:t>
      </w:r>
      <w:r w:rsidRPr="003871B3">
        <w:t xml:space="preserve"> nebo jím pověřenou třetí stranou.</w:t>
      </w:r>
    </w:p>
    <w:tbl>
      <w:tblPr>
        <w:tblStyle w:val="TableGrid"/>
        <w:tblW w:w="9067" w:type="dxa"/>
        <w:tblLook w:val="04A0" w:firstRow="1" w:lastRow="0" w:firstColumn="1" w:lastColumn="0" w:noHBand="0" w:noVBand="1"/>
      </w:tblPr>
      <w:tblGrid>
        <w:gridCol w:w="1129"/>
        <w:gridCol w:w="7938"/>
      </w:tblGrid>
      <w:tr w:rsidR="00254CEF" w:rsidRPr="003871B3" w14:paraId="2CCAD682" w14:textId="77777777" w:rsidTr="00254CEF">
        <w:tc>
          <w:tcPr>
            <w:tcW w:w="1129" w:type="dxa"/>
          </w:tcPr>
          <w:p w14:paraId="47602C08" w14:textId="2DCCDD93" w:rsidR="00254CEF" w:rsidRPr="003871B3" w:rsidRDefault="00254CEF" w:rsidP="002F5595">
            <w:pPr>
              <w:pStyle w:val="GSOdstavec"/>
            </w:pPr>
            <w:r w:rsidRPr="003871B3">
              <w:t>TP073</w:t>
            </w:r>
          </w:p>
        </w:tc>
        <w:tc>
          <w:tcPr>
            <w:tcW w:w="7938" w:type="dxa"/>
          </w:tcPr>
          <w:p w14:paraId="4F861B7A" w14:textId="59EEEC3E" w:rsidR="00254CEF" w:rsidRPr="003871B3" w:rsidRDefault="00254CEF" w:rsidP="002F5595">
            <w:pPr>
              <w:pStyle w:val="GSOdstavec"/>
            </w:pPr>
            <w:r w:rsidRPr="003871B3">
              <w:t xml:space="preserve">Testovací scénáře transformací dodá Dodavatel s dohodnutým předstihem před začátkem testování. Dodavatel po dodání požádá </w:t>
            </w:r>
            <w:r w:rsidR="00262235">
              <w:t>Objednatel</w:t>
            </w:r>
            <w:r w:rsidRPr="003871B3">
              <w:t>e o spuštění oponentního řízení k testovacím scénářům.</w:t>
            </w:r>
          </w:p>
        </w:tc>
      </w:tr>
      <w:tr w:rsidR="00254CEF" w:rsidRPr="003871B3" w14:paraId="48869962" w14:textId="77777777" w:rsidTr="00254CEF">
        <w:tc>
          <w:tcPr>
            <w:tcW w:w="1129" w:type="dxa"/>
          </w:tcPr>
          <w:p w14:paraId="7C93F205" w14:textId="07607F04" w:rsidR="00254CEF" w:rsidRPr="003871B3" w:rsidRDefault="00254CEF" w:rsidP="00205BEB">
            <w:pPr>
              <w:pStyle w:val="GSOdstavec"/>
            </w:pPr>
            <w:r w:rsidRPr="003871B3">
              <w:t>TP082</w:t>
            </w:r>
          </w:p>
        </w:tc>
        <w:tc>
          <w:tcPr>
            <w:tcW w:w="7938" w:type="dxa"/>
            <w:vAlign w:val="center"/>
          </w:tcPr>
          <w:p w14:paraId="52B89DE1" w14:textId="436C72A2" w:rsidR="00254CEF" w:rsidRPr="003871B3" w:rsidRDefault="00254CEF" w:rsidP="00205BEB">
            <w:pPr>
              <w:pStyle w:val="GSOdstavec"/>
            </w:pPr>
            <w:r w:rsidRPr="003871B3">
              <w:t xml:space="preserve">Pro potřeby provedení testů v rámci akceptace díla připraví dodavatel Testovací Plán. Dodavatel připraví do prostředí </w:t>
            </w:r>
            <w:r w:rsidR="00262235">
              <w:t>Objednatel</w:t>
            </w:r>
            <w:r w:rsidRPr="003871B3">
              <w:t>e sadu testovacích scénářů včetně testovacích dat vážících se ke každému z implementovaných případů. Před každým kolem testů připraví dodavatel pro každý použitý testovací scénář testovací data v navázaných systémech.</w:t>
            </w:r>
            <w:r w:rsidRPr="003871B3">
              <w:rPr>
                <w:sz w:val="16"/>
              </w:rPr>
              <w:t xml:space="preserve"> </w:t>
            </w:r>
            <w:r w:rsidRPr="003871B3">
              <w:t xml:space="preserve">Provedení testů v rámci akceptace bude na základě připravených scénářů a dat realizovat </w:t>
            </w:r>
            <w:r w:rsidR="00262235">
              <w:t>Objednatel</w:t>
            </w:r>
            <w:r w:rsidRPr="003871B3">
              <w:t xml:space="preserve"> či jím pověřená třetí strana. Případné chyby nalezené při testování je dodavatel povinen na své náklady odstranit. Popis a řízení odstranění chyby (bug tracking) je prováděn v prostředí </w:t>
            </w:r>
            <w:r w:rsidR="00262235">
              <w:t>Objednatel</w:t>
            </w:r>
            <w:r w:rsidRPr="003871B3">
              <w:t>e.</w:t>
            </w:r>
          </w:p>
        </w:tc>
      </w:tr>
    </w:tbl>
    <w:p w14:paraId="4EFB2DF2" w14:textId="77777777" w:rsidR="000B6DA3" w:rsidRPr="003871B3" w:rsidRDefault="000B6DA3" w:rsidP="002F5595">
      <w:pPr>
        <w:pStyle w:val="GSOdstavec"/>
      </w:pPr>
    </w:p>
    <w:p w14:paraId="50DFE44B" w14:textId="77777777" w:rsidR="00E921DD" w:rsidRPr="003871B3" w:rsidRDefault="00E921DD" w:rsidP="00E921DD">
      <w:pPr>
        <w:pStyle w:val="GSNadpis3"/>
      </w:pPr>
      <w:bookmarkStart w:id="24" w:name="_Ref520963078"/>
      <w:bookmarkStart w:id="25" w:name="_Toc522884701"/>
      <w:r w:rsidRPr="003871B3">
        <w:t>Aktualizace bezpečnostního modelu</w:t>
      </w:r>
      <w:bookmarkEnd w:id="24"/>
      <w:bookmarkEnd w:id="25"/>
    </w:p>
    <w:p w14:paraId="581F5EF4" w14:textId="1E9A7F51" w:rsidR="00FC59ED" w:rsidRPr="003871B3" w:rsidRDefault="006034A2" w:rsidP="00E95B10">
      <w:pPr>
        <w:pStyle w:val="GSOdstavec"/>
        <w:rPr>
          <w:rFonts w:eastAsia="Times New Roman" w:cs="Arial"/>
          <w:color w:val="000000"/>
          <w:szCs w:val="22"/>
          <w:lang w:eastAsia="cs-CZ"/>
        </w:rPr>
      </w:pPr>
      <w:r w:rsidRPr="003871B3">
        <w:rPr>
          <w:rFonts w:eastAsia="Times New Roman" w:cs="Arial"/>
          <w:color w:val="000000"/>
          <w:szCs w:val="22"/>
          <w:lang w:eastAsia="cs-CZ"/>
        </w:rPr>
        <w:t xml:space="preserve">Cílem tohoto plnění je naplnit požadavek </w:t>
      </w:r>
      <w:r w:rsidR="004E7AF7" w:rsidRPr="00C22A86">
        <w:rPr>
          <w:rFonts w:eastAsia="Times New Roman" w:cs="Arial"/>
          <w:color w:val="000000"/>
          <w:szCs w:val="22"/>
          <w:lang w:eastAsia="cs-CZ"/>
        </w:rPr>
        <w:t>Objednatele</w:t>
      </w:r>
      <w:r w:rsidRPr="003871B3">
        <w:rPr>
          <w:rFonts w:eastAsia="Times New Roman" w:cs="Arial"/>
          <w:color w:val="000000"/>
          <w:szCs w:val="22"/>
          <w:lang w:eastAsia="cs-CZ"/>
        </w:rPr>
        <w:t xml:space="preserve"> </w:t>
      </w:r>
      <w:r w:rsidR="00F9290D" w:rsidRPr="003871B3">
        <w:rPr>
          <w:rFonts w:eastAsia="Times New Roman" w:cs="Arial"/>
          <w:color w:val="000000"/>
          <w:szCs w:val="22"/>
          <w:lang w:eastAsia="cs-CZ"/>
        </w:rPr>
        <w:t xml:space="preserve">BEZ003 </w:t>
      </w:r>
    </w:p>
    <w:tbl>
      <w:tblPr>
        <w:tblStyle w:val="TableGrid"/>
        <w:tblW w:w="9067" w:type="dxa"/>
        <w:tblLook w:val="04A0" w:firstRow="1" w:lastRow="0" w:firstColumn="1" w:lastColumn="0" w:noHBand="0" w:noVBand="1"/>
      </w:tblPr>
      <w:tblGrid>
        <w:gridCol w:w="1413"/>
        <w:gridCol w:w="7654"/>
      </w:tblGrid>
      <w:tr w:rsidR="00254CEF" w:rsidRPr="003871B3" w14:paraId="51CBBB57" w14:textId="77777777" w:rsidTr="00254CEF">
        <w:tc>
          <w:tcPr>
            <w:tcW w:w="1413" w:type="dxa"/>
          </w:tcPr>
          <w:p w14:paraId="7905DE08" w14:textId="63E320D2" w:rsidR="00254CEF" w:rsidRPr="003871B3" w:rsidRDefault="00254CEF" w:rsidP="00E95B10">
            <w:pPr>
              <w:pStyle w:val="GSOdstavec"/>
              <w:rPr>
                <w:rFonts w:eastAsia="Times New Roman" w:cs="Arial"/>
                <w:color w:val="000000"/>
                <w:szCs w:val="22"/>
                <w:lang w:eastAsia="cs-CZ"/>
              </w:rPr>
            </w:pPr>
            <w:r w:rsidRPr="003871B3">
              <w:rPr>
                <w:rFonts w:eastAsia="Times New Roman" w:cs="Arial"/>
                <w:color w:val="000000"/>
                <w:szCs w:val="22"/>
                <w:lang w:eastAsia="cs-CZ"/>
              </w:rPr>
              <w:t>BEZ003</w:t>
            </w:r>
          </w:p>
        </w:tc>
        <w:tc>
          <w:tcPr>
            <w:tcW w:w="7654" w:type="dxa"/>
          </w:tcPr>
          <w:p w14:paraId="7123CFBD" w14:textId="2E32F7C6" w:rsidR="00254CEF" w:rsidRPr="003871B3" w:rsidRDefault="00254CEF" w:rsidP="00E95B10">
            <w:pPr>
              <w:pStyle w:val="GSOdstavec"/>
              <w:rPr>
                <w:rFonts w:eastAsia="Times New Roman" w:cs="Arial"/>
                <w:color w:val="000000"/>
                <w:szCs w:val="22"/>
                <w:lang w:eastAsia="cs-CZ"/>
              </w:rPr>
            </w:pPr>
            <w:r w:rsidRPr="003871B3">
              <w:rPr>
                <w:rFonts w:eastAsia="Times New Roman" w:cs="Arial"/>
                <w:color w:val="000000"/>
                <w:szCs w:val="22"/>
                <w:lang w:eastAsia="cs-CZ"/>
              </w:rPr>
              <w:t>Uživatelské</w:t>
            </w:r>
            <w:r w:rsidRPr="003871B3">
              <w:rPr>
                <w:rFonts w:cs="Arial"/>
              </w:rPr>
              <w:t xml:space="preserve"> účty budou uloženy a spravovány v MS AD. Systém bude z AD v okamžiku přihlášení přebírat identitu uživatele. Dodavatel provede analýzu činností uživatelů a navrhne jejich rozdělení do business rolí (MS AD skupin) z pohledu jejich pracovních činností realizovaných v systému včetně mapování potřebných přístupových oprávnění (autorizační koncept).</w:t>
            </w:r>
          </w:p>
        </w:tc>
      </w:tr>
    </w:tbl>
    <w:p w14:paraId="1F40C1DB" w14:textId="77777777" w:rsidR="00FC59ED" w:rsidRPr="003871B3" w:rsidRDefault="00FC59ED" w:rsidP="002F5595">
      <w:pPr>
        <w:spacing w:line="240" w:lineRule="auto"/>
        <w:rPr>
          <w:rFonts w:ascii="Arial" w:eastAsia="Times New Roman" w:hAnsi="Arial" w:cs="Arial"/>
          <w:color w:val="000000"/>
          <w:sz w:val="22"/>
          <w:szCs w:val="22"/>
          <w:lang w:eastAsia="cs-CZ"/>
        </w:rPr>
      </w:pPr>
    </w:p>
    <w:p w14:paraId="38CD318E" w14:textId="7BB71C33" w:rsidR="006034A2" w:rsidRPr="003871B3" w:rsidRDefault="006034A2" w:rsidP="00C22A86">
      <w:pPr>
        <w:pStyle w:val="GSOdstavec"/>
        <w:rPr>
          <w:rFonts w:eastAsia="Times New Roman" w:cs="Arial"/>
          <w:color w:val="000000"/>
          <w:szCs w:val="22"/>
          <w:lang w:eastAsia="cs-CZ"/>
        </w:rPr>
      </w:pPr>
      <w:r w:rsidRPr="003871B3">
        <w:rPr>
          <w:rFonts w:eastAsia="Times New Roman" w:cs="Arial"/>
          <w:color w:val="000000"/>
          <w:szCs w:val="22"/>
          <w:lang w:eastAsia="cs-CZ"/>
        </w:rPr>
        <w:t>Platforma LIS umožňuje autentizaci buď jménem a heslem uloženým přímo v SQL Serveru (tzv</w:t>
      </w:r>
      <w:r w:rsidR="0065300F" w:rsidRPr="003871B3">
        <w:rPr>
          <w:rFonts w:eastAsia="Times New Roman" w:cs="Arial"/>
          <w:color w:val="000000"/>
          <w:szCs w:val="22"/>
          <w:lang w:eastAsia="cs-CZ"/>
        </w:rPr>
        <w:t>.</w:t>
      </w:r>
      <w:r w:rsidRPr="003871B3">
        <w:rPr>
          <w:rFonts w:eastAsia="Times New Roman" w:cs="Arial"/>
          <w:color w:val="000000"/>
          <w:szCs w:val="22"/>
          <w:lang w:eastAsia="cs-CZ"/>
        </w:rPr>
        <w:t xml:space="preserve"> SQL Autentizace) nebo doménovým (AD) účtem. Pro vyhovění tomuto požadavku bude nutné převést veškeré uživatelské účty využívající SQL autentizaci na AD účty. V součinnosti s</w:t>
      </w:r>
      <w:r w:rsidR="004E7AF7" w:rsidRPr="003871B3">
        <w:rPr>
          <w:rFonts w:eastAsia="Times New Roman" w:cs="Arial"/>
          <w:color w:val="000000"/>
          <w:szCs w:val="22"/>
          <w:lang w:eastAsia="cs-CZ"/>
        </w:rPr>
        <w:t xml:space="preserve"> Objednatelem</w:t>
      </w:r>
      <w:r w:rsidRPr="003871B3">
        <w:rPr>
          <w:rFonts w:eastAsia="Times New Roman" w:cs="Arial"/>
          <w:color w:val="000000"/>
          <w:szCs w:val="22"/>
          <w:lang w:eastAsia="cs-CZ"/>
        </w:rPr>
        <w:t xml:space="preserve"> bude vytvořeno mapování těchto účtu na AD účty a </w:t>
      </w:r>
      <w:r w:rsidR="00D15578" w:rsidRPr="003871B3">
        <w:rPr>
          <w:rFonts w:eastAsia="Times New Roman" w:cs="Arial"/>
          <w:color w:val="000000"/>
          <w:szCs w:val="22"/>
          <w:lang w:eastAsia="cs-CZ"/>
        </w:rPr>
        <w:t>postupně budou převedeny.</w:t>
      </w:r>
    </w:p>
    <w:p w14:paraId="1A815260" w14:textId="0CBEF8AF" w:rsidR="00E95B10" w:rsidRPr="003871B3" w:rsidRDefault="00E95B10" w:rsidP="00C22A86">
      <w:pPr>
        <w:pStyle w:val="GSOdstavec"/>
        <w:rPr>
          <w:rFonts w:eastAsia="Times New Roman" w:cs="Arial"/>
          <w:color w:val="000000"/>
          <w:szCs w:val="22"/>
          <w:lang w:eastAsia="cs-CZ"/>
        </w:rPr>
      </w:pPr>
      <w:r w:rsidRPr="003871B3">
        <w:rPr>
          <w:rFonts w:eastAsia="Times New Roman" w:cs="Arial"/>
          <w:color w:val="000000"/>
          <w:szCs w:val="22"/>
          <w:lang w:eastAsia="cs-CZ"/>
        </w:rPr>
        <w:t xml:space="preserve">Pro řízení přístupových práv jsou v SQL serveru definovány databázové role, které agregují potřebné oprávnění pro jednotlivé skupiny uživatelů na jednotlivé objekty spravovaných databází. Pro naplnění víše uvedeného požadavku musí </w:t>
      </w:r>
      <w:r w:rsidR="004E7AF7" w:rsidRPr="003871B3">
        <w:rPr>
          <w:rFonts w:eastAsia="Times New Roman" w:cs="Arial"/>
          <w:color w:val="000000"/>
          <w:szCs w:val="22"/>
          <w:lang w:eastAsia="cs-CZ"/>
        </w:rPr>
        <w:t>Objednatel</w:t>
      </w:r>
      <w:r w:rsidRPr="003871B3">
        <w:rPr>
          <w:rFonts w:eastAsia="Times New Roman" w:cs="Arial"/>
          <w:color w:val="000000"/>
          <w:szCs w:val="22"/>
          <w:lang w:eastAsia="cs-CZ"/>
        </w:rPr>
        <w:t xml:space="preserve"> založit potřebné doménové skupiny (LIS předá seznam) a přiřadit je AD účtům. V rámci LISu budou následně tyto AD skupiny namapovány na dříve používané databázové role a tím dojde k naplnění požadavku na řízení přístupů i oprávnění pomocí AD.</w:t>
      </w:r>
    </w:p>
    <w:p w14:paraId="44905A17" w14:textId="6FD191BC" w:rsidR="00205BEB" w:rsidRPr="003871B3" w:rsidRDefault="00563962" w:rsidP="00C22A86">
      <w:pPr>
        <w:pStyle w:val="GSOdstavec"/>
        <w:rPr>
          <w:rFonts w:eastAsia="Times New Roman" w:cs="Arial"/>
          <w:color w:val="000000"/>
          <w:szCs w:val="22"/>
          <w:lang w:eastAsia="cs-CZ"/>
        </w:rPr>
      </w:pPr>
      <w:r w:rsidRPr="003871B3">
        <w:rPr>
          <w:rFonts w:eastAsia="Times New Roman" w:cs="Arial"/>
          <w:color w:val="000000"/>
          <w:szCs w:val="22"/>
          <w:lang w:eastAsia="cs-CZ"/>
        </w:rPr>
        <w:t>Výsledkem bude splnění i požadavku BEZ004</w:t>
      </w:r>
      <w:r w:rsidR="00E352F7" w:rsidRPr="003871B3">
        <w:rPr>
          <w:rFonts w:eastAsia="Times New Roman" w:cs="Arial"/>
          <w:color w:val="000000"/>
          <w:szCs w:val="22"/>
          <w:lang w:eastAsia="cs-CZ"/>
        </w:rPr>
        <w:t xml:space="preserve"> (kromě bodů poplatných novým aplikacím)</w:t>
      </w:r>
    </w:p>
    <w:p w14:paraId="66253775" w14:textId="77777777" w:rsidR="00205BEB" w:rsidRPr="003871B3" w:rsidRDefault="00205BEB" w:rsidP="00563962">
      <w:pPr>
        <w:ind w:left="2"/>
        <w:rPr>
          <w:rFonts w:ascii="Arial" w:eastAsia="Times New Roman" w:hAnsi="Arial" w:cs="Arial"/>
          <w:color w:val="000000"/>
          <w:sz w:val="22"/>
          <w:szCs w:val="22"/>
          <w:lang w:eastAsia="cs-CZ"/>
        </w:rPr>
      </w:pPr>
    </w:p>
    <w:tbl>
      <w:tblPr>
        <w:tblStyle w:val="TableGrid"/>
        <w:tblW w:w="9065" w:type="dxa"/>
        <w:tblInd w:w="2" w:type="dxa"/>
        <w:tblLook w:val="04A0" w:firstRow="1" w:lastRow="0" w:firstColumn="1" w:lastColumn="0" w:noHBand="0" w:noVBand="1"/>
      </w:tblPr>
      <w:tblGrid>
        <w:gridCol w:w="1127"/>
        <w:gridCol w:w="7938"/>
      </w:tblGrid>
      <w:tr w:rsidR="00254CEF" w:rsidRPr="003871B3" w14:paraId="513F0F65" w14:textId="77777777" w:rsidTr="00254CEF">
        <w:tc>
          <w:tcPr>
            <w:tcW w:w="1127" w:type="dxa"/>
          </w:tcPr>
          <w:p w14:paraId="2FA67F07" w14:textId="3A7748F7" w:rsidR="00254CEF" w:rsidRPr="003871B3" w:rsidRDefault="00254CEF" w:rsidP="00A6180A">
            <w:pPr>
              <w:pStyle w:val="GSOdstavec"/>
              <w:rPr>
                <w:rFonts w:eastAsia="Times New Roman" w:cs="Arial"/>
                <w:color w:val="000000"/>
                <w:szCs w:val="22"/>
                <w:lang w:eastAsia="cs-CZ"/>
              </w:rPr>
            </w:pPr>
            <w:r w:rsidRPr="003871B3">
              <w:rPr>
                <w:rFonts w:eastAsia="Times New Roman" w:cs="Arial"/>
                <w:color w:val="000000"/>
                <w:szCs w:val="22"/>
                <w:lang w:eastAsia="cs-CZ"/>
              </w:rPr>
              <w:t>BEZ004</w:t>
            </w:r>
          </w:p>
        </w:tc>
        <w:tc>
          <w:tcPr>
            <w:tcW w:w="7938" w:type="dxa"/>
          </w:tcPr>
          <w:p w14:paraId="1C940A83" w14:textId="77777777" w:rsidR="00254CEF" w:rsidRPr="003871B3" w:rsidRDefault="00254CEF" w:rsidP="00A6180A">
            <w:pPr>
              <w:pStyle w:val="GSOdstavec"/>
              <w:rPr>
                <w:rFonts w:cs="Arial"/>
              </w:rPr>
            </w:pPr>
            <w:r w:rsidRPr="003871B3">
              <w:rPr>
                <w:rFonts w:cs="Arial"/>
              </w:rPr>
              <w:t>Dodavatel zajistí správu rolí a oprávnění v databázových systémech dle technických možností daného systému dle „best practices“.</w:t>
            </w:r>
          </w:p>
          <w:p w14:paraId="2163E977" w14:textId="3658667D" w:rsidR="00254CEF" w:rsidRPr="003871B3" w:rsidRDefault="00254CEF" w:rsidP="00A6180A">
            <w:pPr>
              <w:pStyle w:val="GSOdstavec"/>
              <w:rPr>
                <w:rFonts w:cs="Arial"/>
              </w:rPr>
            </w:pPr>
            <w:r w:rsidRPr="003871B3">
              <w:rPr>
                <w:rFonts w:cs="Arial"/>
              </w:rPr>
              <w:t>V případě nově dodávané aplikace (systému), stávající spravované aplikace v rámci projektu dodavatel zajistí, aby systém umožňoval možnost správy elementárních oprávnění potřebných k prováděným činnostem („entitlements“), a tvorbu Aplikačních rolí (kompozitních oprávnění zahrnujících kombinaci elementárních oprávnění) administrátorem aplikace. Design elementárních oprávnění musí umožňovat řízení přístupu až na jednotlivé datové položky a operace s nimi. Součástí správy aplikačních rolí bude návrh Aplikačních rolí, popis elementárních oprávnění a aplikačních rolí, nástroj a postup k vytváření, údržbě a rušení Aplikačních rolí. Návrh Aplikačních rolí musí respektovat požadavky na zajištění odděleného přístupu k datům na základě pracovní pozice, organizační struktury, lokality a činností vykonávaných jednotlivými uživateli/rolemi. Systém musí umožnit přidělení přístupových oprávnění uživateli na základě jeho zařazení v MS AD skupině. Součástí nabídky musí být základní autorizační koncept. Detailní autorizační koncept bude vypracován v rámci realizace</w:t>
            </w:r>
          </w:p>
        </w:tc>
      </w:tr>
      <w:tr w:rsidR="00254CEF" w:rsidRPr="003871B3" w14:paraId="233F49E6" w14:textId="77777777" w:rsidTr="00254CEF">
        <w:tc>
          <w:tcPr>
            <w:tcW w:w="1127" w:type="dxa"/>
          </w:tcPr>
          <w:p w14:paraId="5EDD84A6" w14:textId="7E3261FA" w:rsidR="00254CEF" w:rsidRPr="003871B3" w:rsidRDefault="00254CEF" w:rsidP="00A6180A">
            <w:pPr>
              <w:pStyle w:val="GSOdstavec"/>
              <w:rPr>
                <w:rFonts w:eastAsia="Times New Roman" w:cs="Arial"/>
                <w:color w:val="000000"/>
                <w:szCs w:val="22"/>
                <w:lang w:eastAsia="cs-CZ"/>
              </w:rPr>
            </w:pPr>
            <w:r w:rsidRPr="003871B3">
              <w:rPr>
                <w:rFonts w:eastAsia="Times New Roman" w:cs="Arial"/>
                <w:color w:val="000000"/>
                <w:szCs w:val="22"/>
                <w:lang w:eastAsia="cs-CZ"/>
              </w:rPr>
              <w:t>BEZ005</w:t>
            </w:r>
          </w:p>
        </w:tc>
        <w:tc>
          <w:tcPr>
            <w:tcW w:w="7938" w:type="dxa"/>
          </w:tcPr>
          <w:p w14:paraId="701EC029" w14:textId="77777777" w:rsidR="00254CEF" w:rsidRPr="003871B3" w:rsidRDefault="00254CEF" w:rsidP="00A6180A">
            <w:pPr>
              <w:pStyle w:val="GSOdstavec"/>
              <w:rPr>
                <w:rFonts w:cs="Arial"/>
              </w:rPr>
            </w:pPr>
            <w:r w:rsidRPr="003871B3">
              <w:rPr>
                <w:rFonts w:cs="Arial"/>
              </w:rPr>
              <w:t>Dodavatel provozující stávajícího řešení zajistí oddělení pravomocí pro všechny technologie, které tuto možnost podporují nativně od výrobce. Pro technologie, které oddělení pravomocí neumožňují, je možné udělit výjimku odsouhlasenou MKB.</w:t>
            </w:r>
          </w:p>
          <w:p w14:paraId="7336BE07" w14:textId="66BEE026" w:rsidR="00254CEF" w:rsidRPr="003871B3" w:rsidRDefault="00254CEF" w:rsidP="00A6180A">
            <w:pPr>
              <w:pStyle w:val="GSOdstavec"/>
              <w:rPr>
                <w:rFonts w:eastAsia="Times New Roman" w:cs="Arial"/>
                <w:color w:val="000000"/>
                <w:szCs w:val="22"/>
                <w:lang w:eastAsia="cs-CZ"/>
              </w:rPr>
            </w:pPr>
            <w:r w:rsidRPr="003871B3">
              <w:rPr>
                <w:rFonts w:cs="Arial"/>
              </w:rPr>
              <w:t>V případě nově dodávané aplikace (systému v rámci projektu dodavatel zajistí, aby systém umožňoval definici konfliktních oprávnění, kontrolu a správu pravidel oddělení pravomocí (SoD). To znamená, že musí obsahovat mechanismus, který umožní nadefinovat jednotlivé aplikační role ev. Elementární oprávnění, které nesmí být přiděleny současně jednomu uživateli a kontrolu dodržení těchto pravidel při designu aplikačních rolí a přidělování rolí a oprávnění uživatelům. Na porušení SoD pravidel musí systém upozornit, avšak přidělení konfliktních práv nesmí znemožnit (oprávněné porušení z důvodu nedostatku pracovníků, nemoc, dovolená a pod…). Oprávněné porušení SoD musí systém zaznamenat v logu jako kybernetickou bezpečnostní událost včetně důvodu porušení SoD (umožnit administrátorovi zadat text v upozorňovacím dialogu).</w:t>
            </w:r>
          </w:p>
        </w:tc>
      </w:tr>
    </w:tbl>
    <w:p w14:paraId="518A5E67" w14:textId="431821F6" w:rsidR="00462813" w:rsidRPr="003871B3" w:rsidRDefault="00563962" w:rsidP="00563962">
      <w:pPr>
        <w:ind w:left="2"/>
        <w:rPr>
          <w:rFonts w:ascii="Arial" w:eastAsia="Times New Roman" w:hAnsi="Arial" w:cs="Arial"/>
          <w:color w:val="000000"/>
          <w:sz w:val="22"/>
          <w:szCs w:val="22"/>
          <w:lang w:eastAsia="cs-CZ"/>
        </w:rPr>
      </w:pPr>
      <w:r w:rsidRPr="003871B3">
        <w:rPr>
          <w:rFonts w:ascii="Arial" w:eastAsia="Times New Roman" w:hAnsi="Arial" w:cs="Arial"/>
          <w:color w:val="000000"/>
          <w:sz w:val="22"/>
          <w:szCs w:val="22"/>
          <w:lang w:eastAsia="cs-CZ"/>
        </w:rPr>
        <w:t xml:space="preserve"> </w:t>
      </w:r>
    </w:p>
    <w:p w14:paraId="46263534" w14:textId="0FDBAF44" w:rsidR="00563962" w:rsidRPr="003871B3" w:rsidRDefault="00563962" w:rsidP="00C22A86">
      <w:pPr>
        <w:pStyle w:val="GSOdstavec"/>
        <w:rPr>
          <w:rFonts w:eastAsia="Times New Roman" w:cs="Arial"/>
          <w:color w:val="000000"/>
          <w:szCs w:val="22"/>
          <w:lang w:eastAsia="cs-CZ"/>
        </w:rPr>
      </w:pPr>
      <w:r w:rsidRPr="003871B3">
        <w:rPr>
          <w:rFonts w:eastAsia="Times New Roman" w:cs="Arial"/>
          <w:color w:val="000000"/>
          <w:szCs w:val="22"/>
          <w:lang w:eastAsia="cs-CZ"/>
        </w:rPr>
        <w:t>a částečné naplnění BEZ005 - Dodavatel provozující stávajícího řešení zajistí oddělení pravomocí pro všechny technologie, které tuto možnost podporují nativně od výrobce. Pro technologie, které oddělení pravomocí neumožňují, je možné udělit výjimku odsouhlasenou MKB.</w:t>
      </w:r>
    </w:p>
    <w:p w14:paraId="72CA45D4" w14:textId="33361880" w:rsidR="002F2DEF" w:rsidRPr="003871B3" w:rsidRDefault="004E7AF7" w:rsidP="00C22A86">
      <w:pPr>
        <w:pStyle w:val="GSOdstavec"/>
        <w:rPr>
          <w:rFonts w:eastAsia="Times New Roman" w:cs="Arial"/>
          <w:color w:val="000000"/>
          <w:szCs w:val="22"/>
          <w:lang w:eastAsia="cs-CZ"/>
        </w:rPr>
      </w:pPr>
      <w:r w:rsidRPr="003871B3">
        <w:rPr>
          <w:rFonts w:eastAsia="Times New Roman" w:cs="Arial"/>
          <w:color w:val="000000"/>
          <w:szCs w:val="22"/>
          <w:lang w:eastAsia="cs-CZ"/>
        </w:rPr>
        <w:t>Objednatel</w:t>
      </w:r>
      <w:r w:rsidR="002F2DEF" w:rsidRPr="003871B3">
        <w:rPr>
          <w:rFonts w:eastAsia="Times New Roman" w:cs="Arial"/>
          <w:color w:val="000000"/>
          <w:szCs w:val="22"/>
          <w:lang w:eastAsia="cs-CZ"/>
        </w:rPr>
        <w:t xml:space="preserve"> poskytne součinnost při analýze způsobu aplikace tohoto požadavku na technologii MS SQL Server.</w:t>
      </w:r>
    </w:p>
    <w:p w14:paraId="0F17F99A" w14:textId="4EA4C3DD" w:rsidR="00205BEB" w:rsidRPr="003871B3" w:rsidRDefault="00563962" w:rsidP="00C22A86">
      <w:pPr>
        <w:pStyle w:val="GSOdstavec"/>
        <w:rPr>
          <w:rFonts w:eastAsia="Times New Roman" w:cs="Arial"/>
          <w:color w:val="000000"/>
          <w:szCs w:val="22"/>
          <w:lang w:eastAsia="cs-CZ"/>
        </w:rPr>
      </w:pPr>
      <w:r w:rsidRPr="003871B3">
        <w:rPr>
          <w:rFonts w:eastAsia="Times New Roman" w:cs="Arial"/>
          <w:color w:val="000000"/>
          <w:szCs w:val="22"/>
          <w:lang w:eastAsia="cs-CZ"/>
        </w:rPr>
        <w:t xml:space="preserve">Dalším řešeným požadavkem bude BEZ006 </w:t>
      </w:r>
    </w:p>
    <w:p w14:paraId="1898E091" w14:textId="50CC1A2A" w:rsidR="00205BEB" w:rsidRPr="003871B3" w:rsidRDefault="00205BEB" w:rsidP="00563962">
      <w:pPr>
        <w:ind w:left="2"/>
        <w:rPr>
          <w:rFonts w:ascii="Arial" w:eastAsia="Times New Roman" w:hAnsi="Arial" w:cs="Arial"/>
          <w:color w:val="000000"/>
          <w:sz w:val="22"/>
          <w:szCs w:val="22"/>
          <w:lang w:eastAsia="cs-CZ"/>
        </w:rPr>
      </w:pPr>
    </w:p>
    <w:tbl>
      <w:tblPr>
        <w:tblStyle w:val="TableGrid"/>
        <w:tblW w:w="9065" w:type="dxa"/>
        <w:tblInd w:w="2" w:type="dxa"/>
        <w:tblLook w:val="04A0" w:firstRow="1" w:lastRow="0" w:firstColumn="1" w:lastColumn="0" w:noHBand="0" w:noVBand="1"/>
      </w:tblPr>
      <w:tblGrid>
        <w:gridCol w:w="1127"/>
        <w:gridCol w:w="7938"/>
      </w:tblGrid>
      <w:tr w:rsidR="00254CEF" w:rsidRPr="003871B3" w14:paraId="0666E03E" w14:textId="77777777" w:rsidTr="00762EBB">
        <w:tc>
          <w:tcPr>
            <w:tcW w:w="1127" w:type="dxa"/>
          </w:tcPr>
          <w:p w14:paraId="136F91E4" w14:textId="459D02B3" w:rsidR="00254CEF" w:rsidRPr="003871B3" w:rsidRDefault="00254CEF" w:rsidP="00A6180A">
            <w:pPr>
              <w:pStyle w:val="GSOdstavec"/>
              <w:rPr>
                <w:rFonts w:eastAsia="Times New Roman" w:cs="Arial"/>
                <w:color w:val="000000"/>
                <w:szCs w:val="22"/>
                <w:lang w:eastAsia="cs-CZ"/>
              </w:rPr>
            </w:pPr>
            <w:r w:rsidRPr="003871B3">
              <w:rPr>
                <w:rFonts w:eastAsia="Times New Roman" w:cs="Arial"/>
                <w:color w:val="000000"/>
                <w:szCs w:val="22"/>
                <w:lang w:eastAsia="cs-CZ"/>
              </w:rPr>
              <w:t>BEZ006</w:t>
            </w:r>
          </w:p>
        </w:tc>
        <w:tc>
          <w:tcPr>
            <w:tcW w:w="7938" w:type="dxa"/>
          </w:tcPr>
          <w:p w14:paraId="5A49A751" w14:textId="77777777" w:rsidR="00254CEF" w:rsidRPr="00A6180A" w:rsidRDefault="00254CEF" w:rsidP="00A6180A">
            <w:pPr>
              <w:pStyle w:val="GSOdstavec"/>
              <w:rPr>
                <w:rFonts w:cs="Arial"/>
              </w:rPr>
            </w:pPr>
            <w:r w:rsidRPr="003871B3">
              <w:rPr>
                <w:rFonts w:cs="Arial"/>
                <w:szCs w:val="22"/>
              </w:rPr>
              <w:t>D</w:t>
            </w:r>
            <w:r w:rsidRPr="00A6180A">
              <w:rPr>
                <w:rFonts w:cs="Arial"/>
              </w:rPr>
              <w:t>odavatel zajistí jednotný přístup k provozovaným technologií a logování tohoto přístup dle možných nastavení jednotlivých systémů.</w:t>
            </w:r>
          </w:p>
          <w:p w14:paraId="56A4AD49" w14:textId="288094F1" w:rsidR="00254CEF" w:rsidRPr="00A6180A" w:rsidRDefault="00254CEF" w:rsidP="00A6180A">
            <w:pPr>
              <w:pStyle w:val="GSOdstavec"/>
              <w:rPr>
                <w:rFonts w:cs="Arial"/>
              </w:rPr>
            </w:pPr>
            <w:r w:rsidRPr="00A6180A">
              <w:rPr>
                <w:rFonts w:cs="Arial"/>
              </w:rPr>
              <w:t>U stávajících provozovaných technologií, které neumožňují jednotný přístup, je možné uplatnit výjimku. Výjimky navrhne dodavatel včetně odůvodnění a nechá odsouhlasit MKB MPSV.</w:t>
            </w:r>
          </w:p>
          <w:p w14:paraId="3A3C8250" w14:textId="5477A827" w:rsidR="00254CEF" w:rsidRPr="003871B3" w:rsidRDefault="00254CEF" w:rsidP="00A6180A">
            <w:pPr>
              <w:pStyle w:val="GSOdstavec"/>
              <w:rPr>
                <w:rFonts w:eastAsia="Times New Roman" w:cs="Arial"/>
                <w:color w:val="000000"/>
                <w:szCs w:val="22"/>
                <w:lang w:eastAsia="cs-CZ"/>
              </w:rPr>
            </w:pPr>
            <w:r w:rsidRPr="00A6180A">
              <w:rPr>
                <w:rFonts w:cs="Arial"/>
              </w:rPr>
              <w:t>V případě nově dodávané aplikace (systému), v rámci projektu dodavatel zajistí, že všechny přístupy k poskytované službě musí být jednotné bez ohledu na to, jestli přistupuje uživatel pomocí uživatelského rozhraní nebo aplikace pomocí webové služby. Vždy je nezbytné provést ověření uživatele a jeho oprávnění přístupu k datům na základě role nebo oprávnění a provést auditní záznam o tomto přístupu (ev. zamítnutí přístupu) a činnosti, kterou s daty uživatel provádí. Každý přístup ke službě musí být jednoznačně identifikován a přiřazen ke koncovému uživateli, který s daty pracuje (i v případě přístupu přes API je nutné přebírat identitu uživatele a ověřovat oprávnění). O přístupu k službám (funkcionalitám systému) musí být veden záznam v rozsahu definovaném vyhláškou o kybernetické bezpečnosti v aktuálním znění.</w:t>
            </w:r>
          </w:p>
        </w:tc>
      </w:tr>
    </w:tbl>
    <w:p w14:paraId="1AB6C749" w14:textId="5A4AD7DB" w:rsidR="00563962" w:rsidRPr="003871B3" w:rsidRDefault="00563962" w:rsidP="00C22A86">
      <w:pPr>
        <w:pStyle w:val="GSOdstavec"/>
        <w:rPr>
          <w:rFonts w:eastAsia="Times New Roman" w:cs="Arial"/>
          <w:color w:val="000000"/>
          <w:szCs w:val="22"/>
          <w:lang w:eastAsia="cs-CZ"/>
        </w:rPr>
      </w:pPr>
      <w:r w:rsidRPr="003871B3">
        <w:rPr>
          <w:rFonts w:eastAsia="Times New Roman" w:cs="Arial"/>
          <w:color w:val="000000"/>
          <w:szCs w:val="22"/>
          <w:lang w:eastAsia="cs-CZ"/>
        </w:rPr>
        <w:t>Činnosti administrátorů a uživatelů informačního systému budou zaznamenávány do auditního logu.</w:t>
      </w:r>
    </w:p>
    <w:p w14:paraId="710809D1" w14:textId="17CAE987" w:rsidR="00563962" w:rsidRPr="003871B3" w:rsidRDefault="00563962" w:rsidP="00C22A86">
      <w:pPr>
        <w:pStyle w:val="GSOdstavec"/>
        <w:rPr>
          <w:rFonts w:eastAsia="Times New Roman" w:cs="Arial"/>
          <w:color w:val="000000"/>
          <w:szCs w:val="22"/>
          <w:lang w:eastAsia="cs-CZ"/>
        </w:rPr>
      </w:pPr>
      <w:r w:rsidRPr="003871B3">
        <w:rPr>
          <w:rFonts w:eastAsia="Times New Roman" w:cs="Arial"/>
          <w:color w:val="000000"/>
          <w:szCs w:val="22"/>
          <w:lang w:eastAsia="cs-CZ"/>
        </w:rPr>
        <w:t xml:space="preserve">Auditní záznam ponese všechny informace, které jsou vyžadovány legislativou a poskytované technologií MS SQL Server 2014. </w:t>
      </w:r>
      <w:r w:rsidR="004E7AF7" w:rsidRPr="003871B3">
        <w:rPr>
          <w:rFonts w:eastAsia="Times New Roman" w:cs="Arial"/>
          <w:color w:val="000000"/>
          <w:szCs w:val="22"/>
          <w:lang w:eastAsia="cs-CZ"/>
        </w:rPr>
        <w:t>Objednatel</w:t>
      </w:r>
      <w:r w:rsidRPr="003871B3">
        <w:rPr>
          <w:rFonts w:eastAsia="Times New Roman" w:cs="Arial"/>
          <w:color w:val="000000"/>
          <w:szCs w:val="22"/>
          <w:lang w:eastAsia="cs-CZ"/>
        </w:rPr>
        <w:t xml:space="preserve"> dodá, jako svoj</w:t>
      </w:r>
      <w:r w:rsidR="002F2DEF" w:rsidRPr="003871B3">
        <w:rPr>
          <w:rFonts w:eastAsia="Times New Roman" w:cs="Arial"/>
          <w:color w:val="000000"/>
          <w:szCs w:val="22"/>
          <w:lang w:eastAsia="cs-CZ"/>
        </w:rPr>
        <w:t>i</w:t>
      </w:r>
      <w:r w:rsidRPr="003871B3">
        <w:rPr>
          <w:rFonts w:eastAsia="Times New Roman" w:cs="Arial"/>
          <w:color w:val="000000"/>
          <w:szCs w:val="22"/>
          <w:lang w:eastAsia="cs-CZ"/>
        </w:rPr>
        <w:t xml:space="preserve"> součinnost, rozsah a popis vyžadovaných informací. </w:t>
      </w:r>
    </w:p>
    <w:p w14:paraId="5C6D9002" w14:textId="345F1314" w:rsidR="002F5595" w:rsidRPr="003871B3" w:rsidRDefault="00563962" w:rsidP="00C22A86">
      <w:pPr>
        <w:pStyle w:val="GSOdstavec"/>
        <w:rPr>
          <w:rFonts w:eastAsia="Times New Roman" w:cs="Arial"/>
          <w:color w:val="000000"/>
          <w:szCs w:val="22"/>
          <w:lang w:eastAsia="cs-CZ"/>
        </w:rPr>
      </w:pPr>
      <w:r w:rsidRPr="003871B3">
        <w:rPr>
          <w:rFonts w:eastAsia="Times New Roman" w:cs="Arial"/>
          <w:color w:val="000000"/>
          <w:szCs w:val="22"/>
          <w:lang w:eastAsia="cs-CZ"/>
        </w:rPr>
        <w:t xml:space="preserve">Systém bezpečnostních dohledů </w:t>
      </w:r>
      <w:r w:rsidR="002F2DEF" w:rsidRPr="003871B3">
        <w:rPr>
          <w:rFonts w:eastAsia="Times New Roman" w:cs="Arial"/>
          <w:color w:val="000000"/>
          <w:szCs w:val="22"/>
          <w:lang w:eastAsia="cs-CZ"/>
        </w:rPr>
        <w:t>i</w:t>
      </w:r>
      <w:r w:rsidRPr="003871B3">
        <w:rPr>
          <w:rFonts w:eastAsia="Times New Roman" w:cs="Arial"/>
          <w:color w:val="000000"/>
          <w:szCs w:val="22"/>
          <w:lang w:eastAsia="cs-CZ"/>
        </w:rPr>
        <w:t xml:space="preserve"> auditní logy budou </w:t>
      </w:r>
      <w:r w:rsidR="004E7AF7" w:rsidRPr="003871B3">
        <w:rPr>
          <w:rFonts w:eastAsia="Times New Roman" w:cs="Arial"/>
          <w:color w:val="000000"/>
          <w:szCs w:val="22"/>
          <w:lang w:eastAsia="cs-CZ"/>
        </w:rPr>
        <w:t>Objednatelem</w:t>
      </w:r>
      <w:r w:rsidRPr="003871B3">
        <w:rPr>
          <w:rFonts w:eastAsia="Times New Roman" w:cs="Arial"/>
          <w:color w:val="000000"/>
          <w:szCs w:val="22"/>
          <w:lang w:eastAsia="cs-CZ"/>
        </w:rPr>
        <w:t xml:space="preserve"> chráněny proti neoprávněnému přístupu a/nebo manipulaci.</w:t>
      </w:r>
    </w:p>
    <w:p w14:paraId="38460396" w14:textId="77777777" w:rsidR="00E921DD" w:rsidRPr="003871B3" w:rsidRDefault="00E921DD" w:rsidP="00E921DD">
      <w:pPr>
        <w:pStyle w:val="GSNadpis3"/>
      </w:pPr>
      <w:bookmarkStart w:id="26" w:name="_Ref520963082"/>
      <w:bookmarkStart w:id="27" w:name="_Toc522884702"/>
      <w:r w:rsidRPr="003871B3">
        <w:t>Vytvoření bezpečnostní dokumentace</w:t>
      </w:r>
      <w:bookmarkEnd w:id="26"/>
      <w:bookmarkEnd w:id="27"/>
    </w:p>
    <w:p w14:paraId="78BAE5F4" w14:textId="57B5AD98" w:rsidR="00205BEB" w:rsidRPr="003871B3" w:rsidRDefault="00562F1B" w:rsidP="00562F1B">
      <w:pPr>
        <w:pStyle w:val="GSOdstavec"/>
        <w:rPr>
          <w:rFonts w:eastAsia="Times New Roman"/>
          <w:color w:val="000000"/>
          <w:lang w:eastAsia="cs-CZ"/>
        </w:rPr>
      </w:pPr>
      <w:r w:rsidRPr="003871B3">
        <w:rPr>
          <w:rFonts w:eastAsia="Times New Roman"/>
          <w:color w:val="000000"/>
          <w:lang w:eastAsia="cs-CZ"/>
        </w:rPr>
        <w:t>Dodavatel dodá bezpečnostní dokumentaci podle požadavku BEZ022</w:t>
      </w:r>
    </w:p>
    <w:p w14:paraId="7541111C" w14:textId="77777777" w:rsidR="00205BEB" w:rsidRPr="003871B3" w:rsidRDefault="00205BEB" w:rsidP="00562F1B">
      <w:pPr>
        <w:pStyle w:val="GSOdstavec"/>
        <w:rPr>
          <w:rFonts w:eastAsia="Times New Roman"/>
          <w:color w:val="000000"/>
          <w:lang w:eastAsia="cs-CZ"/>
        </w:rPr>
      </w:pPr>
    </w:p>
    <w:tbl>
      <w:tblPr>
        <w:tblStyle w:val="TableGrid"/>
        <w:tblW w:w="9067" w:type="dxa"/>
        <w:tblLook w:val="04A0" w:firstRow="1" w:lastRow="0" w:firstColumn="1" w:lastColumn="0" w:noHBand="0" w:noVBand="1"/>
      </w:tblPr>
      <w:tblGrid>
        <w:gridCol w:w="1129"/>
        <w:gridCol w:w="7938"/>
      </w:tblGrid>
      <w:tr w:rsidR="00254CEF" w:rsidRPr="003871B3" w14:paraId="77878D02" w14:textId="77777777" w:rsidTr="00762EBB">
        <w:tc>
          <w:tcPr>
            <w:tcW w:w="1129" w:type="dxa"/>
          </w:tcPr>
          <w:p w14:paraId="36E55A63" w14:textId="2B22F075" w:rsidR="00254CEF" w:rsidRPr="003871B3" w:rsidRDefault="00254CEF" w:rsidP="009E2A51">
            <w:pPr>
              <w:pStyle w:val="GSOdstavec"/>
              <w:rPr>
                <w:rFonts w:eastAsia="Times New Roman"/>
                <w:color w:val="000000"/>
                <w:lang w:eastAsia="cs-CZ"/>
              </w:rPr>
            </w:pPr>
            <w:r w:rsidRPr="003871B3">
              <w:rPr>
                <w:rFonts w:eastAsia="Times New Roman"/>
                <w:color w:val="000000"/>
                <w:lang w:eastAsia="cs-CZ"/>
              </w:rPr>
              <w:t>BEZ022</w:t>
            </w:r>
          </w:p>
        </w:tc>
        <w:tc>
          <w:tcPr>
            <w:tcW w:w="7938" w:type="dxa"/>
            <w:vAlign w:val="center"/>
          </w:tcPr>
          <w:p w14:paraId="38351123" w14:textId="32769748" w:rsidR="00254CEF" w:rsidRPr="003871B3" w:rsidRDefault="00254CEF" w:rsidP="00A6180A">
            <w:pPr>
              <w:pStyle w:val="GSOdstavec"/>
              <w:rPr>
                <w:rFonts w:cs="Arial"/>
                <w:szCs w:val="22"/>
              </w:rPr>
            </w:pPr>
            <w:r w:rsidRPr="003871B3">
              <w:rPr>
                <w:rFonts w:cs="Arial"/>
                <w:szCs w:val="22"/>
              </w:rPr>
              <w:t xml:space="preserve">Dodavatel zajistí zpracování bezpečnostní dokumentace v následujícím rozsahu, </w:t>
            </w:r>
            <w:r w:rsidRPr="00A6180A">
              <w:rPr>
                <w:rFonts w:cs="Arial"/>
              </w:rPr>
              <w:t>případně</w:t>
            </w:r>
            <w:r w:rsidRPr="003871B3">
              <w:rPr>
                <w:rFonts w:cs="Arial"/>
                <w:szCs w:val="22"/>
              </w:rPr>
              <w:t xml:space="preserve"> jednotlivých částí, dle požadavku </w:t>
            </w:r>
            <w:r w:rsidR="00262235">
              <w:rPr>
                <w:rFonts w:cs="Arial"/>
                <w:szCs w:val="22"/>
              </w:rPr>
              <w:t>Objednatel</w:t>
            </w:r>
            <w:r w:rsidRPr="003871B3">
              <w:rPr>
                <w:rFonts w:cs="Arial"/>
                <w:szCs w:val="22"/>
              </w:rPr>
              <w:t>e.</w:t>
            </w:r>
          </w:p>
          <w:p w14:paraId="66DF4507"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Bezpečnostní dokumentace je zpracována na základě výsledků analýzy rizik, popisuje organizační a technická opatření k pokrytí identifikovaných rizik v souladu se strategií zvládání rizik MPSV.</w:t>
            </w:r>
          </w:p>
          <w:p w14:paraId="1E680B2A"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Bezpečnostní dokumentace předepisuje činnost bezpečnostních správců informačního systému v jednotlivých rolích, zavedených pro LIS pro zajištění zabezpečené správy informačního systému.</w:t>
            </w:r>
          </w:p>
          <w:p w14:paraId="18811A22"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Bezpečnostní dokumentace musí obsahovat všechny relevantní oblasti bezpečnosti informací vyžadované VKB, nebo vyplývající z výsledků analýzy rizik.</w:t>
            </w:r>
          </w:p>
          <w:p w14:paraId="2BD455F5" w14:textId="0CA0DAC1" w:rsidR="00254CEF" w:rsidRPr="003871B3" w:rsidRDefault="00254CEF" w:rsidP="009E2A51">
            <w:pPr>
              <w:ind w:left="2"/>
              <w:rPr>
                <w:rFonts w:ascii="Arial" w:hAnsi="Arial" w:cs="Arial"/>
                <w:sz w:val="22"/>
                <w:szCs w:val="22"/>
              </w:rPr>
            </w:pPr>
            <w:r w:rsidRPr="003871B3">
              <w:rPr>
                <w:rFonts w:ascii="Arial" w:hAnsi="Arial" w:cs="Arial"/>
                <w:sz w:val="22"/>
                <w:szCs w:val="22"/>
              </w:rPr>
              <w:t>• Struktura a obsah bezpečnostní dokumentace musí vycházet z doporučené struktury bezpečnostních politik a další bezpečnostní dokumentace uvedené v příloze č. 5 VKB.</w:t>
            </w:r>
          </w:p>
          <w:p w14:paraId="0BF2560C"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Součástí bezpečnostní dokumentace jsou následující dokumenty:</w:t>
            </w:r>
          </w:p>
          <w:p w14:paraId="6ADBCD1E"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1. Evidence aktiv LIS </w:t>
            </w:r>
          </w:p>
          <w:p w14:paraId="0D58F209"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a) Identifikace, hodnocení a evidence podpůrných aktiv - určení a evidence jednotlivých podpůrných aktiv včetně určení jejich garantů, - určení vazeb mezi primárními a podpůrnými aktivy.</w:t>
            </w:r>
          </w:p>
          <w:p w14:paraId="2849F9BF"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2. Pracovní postup pro řízení provozu a komunikací LIS (provozní příručka) </w:t>
            </w:r>
          </w:p>
          <w:p w14:paraId="38FEC9E3"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Postupy bezpečného provozu. </w:t>
            </w:r>
          </w:p>
          <w:p w14:paraId="2193D778"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b) Řízení technických zranitelností.</w:t>
            </w:r>
          </w:p>
          <w:p w14:paraId="3FBDCD71"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3. Pracovní postup pro řízení přístupu LIS </w:t>
            </w:r>
          </w:p>
          <w:p w14:paraId="6F7F4063"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Postupy řízení přístupu. </w:t>
            </w:r>
          </w:p>
          <w:p w14:paraId="7FD61C15"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b) Postupy pro pravidelné přezkoumání přístupových oprávnění na úrovni IS včetně rozdělení jednotlivých uživatelů v přístupových skupinách.</w:t>
            </w:r>
          </w:p>
          <w:p w14:paraId="5400573A"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4. Pracovní postup pro zálohování a obnovu LIS </w:t>
            </w:r>
          </w:p>
          <w:p w14:paraId="2C1F20D1"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a) Pravidla a postupy zálohování.</w:t>
            </w:r>
          </w:p>
          <w:p w14:paraId="413AB61C"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b) Pravidla bezpečného uložení záloh. </w:t>
            </w:r>
          </w:p>
          <w:p w14:paraId="04693541"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c) Pravidla a postupy obnovy. </w:t>
            </w:r>
          </w:p>
          <w:p w14:paraId="532CB35D"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d) Pravidla a postupy testování zálohování a obnovy.</w:t>
            </w:r>
          </w:p>
          <w:p w14:paraId="74E9CBD3"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5. Pracovní postup pro řízení technických zranitelností LIS </w:t>
            </w:r>
          </w:p>
          <w:p w14:paraId="483D6413"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Pravidla pro omezení instalace programového vybavení. </w:t>
            </w:r>
          </w:p>
          <w:p w14:paraId="763501A5"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b) Pravidla a postupy vyhledávání opravných programových balíčků. </w:t>
            </w:r>
          </w:p>
          <w:p w14:paraId="6A8D017D"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c) Pravidla a postupy testování oprav programového vybavení. </w:t>
            </w:r>
          </w:p>
          <w:p w14:paraId="3E7EFDA4"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d) Pravidla a postupy nasazení oprav programového vybavení.</w:t>
            </w:r>
          </w:p>
          <w:p w14:paraId="28D53F44"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6. Pracovní postup dlouhodobého ukládání a archivace informací LIS </w:t>
            </w:r>
          </w:p>
          <w:p w14:paraId="17E8E082"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a) Postupy archivace dokumentů a záznamů v IS.</w:t>
            </w:r>
          </w:p>
          <w:p w14:paraId="5BF995AB"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7. Zajištění ochrany osobních údajů zpracovávaných v LIS </w:t>
            </w:r>
          </w:p>
          <w:p w14:paraId="10EFB50A"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Popis přijatých a provedených organizačních opatření pro ochranu osobních údajů (v případě dodávky ICT služeb – outsourcing). </w:t>
            </w:r>
          </w:p>
          <w:p w14:paraId="5700F408"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b) Popis přijatých a provedených technických opatření pro ochranu osobních údajů.</w:t>
            </w:r>
          </w:p>
          <w:p w14:paraId="5A9EC7F9"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8. Pracovní postup zajištění ochrany před škodlivým kódem v LIS </w:t>
            </w:r>
          </w:p>
          <w:p w14:paraId="186A78F8"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Postupy pro ochranu komunikace mezi vnitřní a vnější sítí. </w:t>
            </w:r>
          </w:p>
          <w:p w14:paraId="47AF8FF2"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b) Postupy pro ochranu serverů a sdílených datových uložišť. </w:t>
            </w:r>
          </w:p>
          <w:p w14:paraId="35320630"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c) Postupy pro ochranu pracovních stanic.</w:t>
            </w:r>
          </w:p>
          <w:p w14:paraId="5B244005"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9. Pracovní postup nasazení a používání nástroje pro detekci kybernetických bezpečnostních událostí </w:t>
            </w:r>
          </w:p>
          <w:p w14:paraId="18B8DED4"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Postupy nasazení nástroje pro detekci kybernetických bezpečnostních událostí. </w:t>
            </w:r>
          </w:p>
          <w:p w14:paraId="07492AC9"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b) Provozní postupy pro vyhodnocování a reagování na detekované kybernetické bezpečnostní události. </w:t>
            </w:r>
          </w:p>
          <w:p w14:paraId="1CFB043D"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c) Postupy pro optimalizaci nastaveni nástroje pro detekci kybernetických bezpečnostních událostí. (v případě dodávky služby provozování nástroje)</w:t>
            </w:r>
          </w:p>
          <w:p w14:paraId="64DE59DF"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10. Pracovní postup pro využití a údržby nástroje pro sběr a vyhodnocení kybernetických bezpečnostních událostí </w:t>
            </w:r>
          </w:p>
          <w:p w14:paraId="412AA551"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Postupy pro evidenci a vyhodnocení kybernetických bezpečnostních událostí. </w:t>
            </w:r>
          </w:p>
          <w:p w14:paraId="1C14DE15"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b) Postupy pravidelné aktualizace pravidel pro vyhodnocení kybernetických bezpečnostních událostí. </w:t>
            </w:r>
          </w:p>
          <w:p w14:paraId="6798944F"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c) Postupy pro optimální nastavení bezpečnostních vlastností nástroje pro sběr a vyhodnocení kybernetických bezpečnostních událostí.</w:t>
            </w:r>
          </w:p>
          <w:p w14:paraId="637E7BE1"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 xml:space="preserve">11. Pracovní postup pro zvládání kybernetických bezpečnostních incidentů </w:t>
            </w:r>
          </w:p>
          <w:p w14:paraId="06635722"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a) Postupy pro evidenci a zvládání jednotlivých kategorií kybernetických bezpečnostních incidentů.  </w:t>
            </w:r>
          </w:p>
          <w:p w14:paraId="2C127883"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 xml:space="preserve">b) Postupy testováni systému zvládání kybernetických bezpečnostních incidentů. </w:t>
            </w:r>
          </w:p>
          <w:p w14:paraId="5BA6062A" w14:textId="77777777" w:rsidR="00254CEF" w:rsidRPr="003871B3" w:rsidRDefault="00254CEF" w:rsidP="009E2A51">
            <w:pPr>
              <w:ind w:left="2"/>
              <w:rPr>
                <w:rFonts w:ascii="Arial" w:hAnsi="Arial" w:cs="Arial"/>
                <w:sz w:val="22"/>
                <w:szCs w:val="22"/>
              </w:rPr>
            </w:pPr>
            <w:r w:rsidRPr="003871B3">
              <w:rPr>
                <w:rFonts w:ascii="Arial" w:hAnsi="Arial" w:cs="Arial"/>
                <w:sz w:val="22"/>
                <w:szCs w:val="22"/>
              </w:rPr>
              <w:t>c) Postupy pro vyhodnocení kybernetických bezpečnostních incidentů a pro zlepšování kybernetické bezpečnosti.</w:t>
            </w:r>
          </w:p>
          <w:p w14:paraId="0B476B87" w14:textId="77777777" w:rsidR="00254CEF" w:rsidRPr="003871B3" w:rsidRDefault="00254CEF" w:rsidP="00A6180A">
            <w:pPr>
              <w:spacing w:before="60"/>
              <w:rPr>
                <w:rFonts w:ascii="Arial" w:hAnsi="Arial" w:cs="Arial"/>
                <w:sz w:val="22"/>
                <w:szCs w:val="22"/>
              </w:rPr>
            </w:pPr>
            <w:r w:rsidRPr="003871B3">
              <w:rPr>
                <w:rFonts w:ascii="Arial" w:hAnsi="Arial" w:cs="Arial"/>
                <w:sz w:val="22"/>
                <w:szCs w:val="22"/>
              </w:rPr>
              <w:t>12. Plány obnovy (DRP)</w:t>
            </w:r>
          </w:p>
          <w:p w14:paraId="17C96913" w14:textId="4DF4CD98" w:rsidR="00254CEF" w:rsidRPr="003871B3" w:rsidRDefault="00254CEF" w:rsidP="00A6180A">
            <w:pPr>
              <w:spacing w:before="60"/>
              <w:rPr>
                <w:rFonts w:eastAsia="Times New Roman"/>
                <w:color w:val="000000"/>
                <w:lang w:eastAsia="cs-CZ"/>
              </w:rPr>
            </w:pPr>
            <w:r w:rsidRPr="00A6180A">
              <w:rPr>
                <w:rFonts w:ascii="Arial" w:hAnsi="Arial" w:cs="Arial"/>
                <w:sz w:val="22"/>
                <w:szCs w:val="22"/>
              </w:rPr>
              <w:t>13. Plány obnovy činností (BCP) nutných k dodávce služeb MPSV (Plán obnovy činností dodavatelské organizace nutných k dodávce služeb MPSV specifikovaných ve smlouvě).</w:t>
            </w:r>
          </w:p>
        </w:tc>
      </w:tr>
    </w:tbl>
    <w:p w14:paraId="5AD5B03F" w14:textId="10248116" w:rsidR="00562F1B" w:rsidRPr="003871B3" w:rsidRDefault="00562F1B" w:rsidP="00562F1B">
      <w:pPr>
        <w:pStyle w:val="GSOdstavec"/>
      </w:pPr>
      <w:r w:rsidRPr="003871B3">
        <w:t xml:space="preserve">Provozní a bezpečnostní dokumentace bude zahrnovat všechny požadované dokumenty, procesy a postupy vyžadované standardy </w:t>
      </w:r>
      <w:r w:rsidR="004E7AF7" w:rsidRPr="003871B3">
        <w:t>Objednatele</w:t>
      </w:r>
      <w:r w:rsidRPr="003871B3">
        <w:t xml:space="preserve"> a zák. č. 181/2014 Sb. </w:t>
      </w:r>
      <w:r w:rsidR="004C564E">
        <w:t>a</w:t>
      </w:r>
      <w:r w:rsidRPr="003871B3">
        <w:t xml:space="preserve"> vyhlášky č. </w:t>
      </w:r>
      <w:r w:rsidR="00C26BD9">
        <w:t>82</w:t>
      </w:r>
      <w:r w:rsidRPr="003871B3">
        <w:t>/201</w:t>
      </w:r>
      <w:r w:rsidR="00C26BD9">
        <w:t>8</w:t>
      </w:r>
      <w:r w:rsidRPr="003871B3">
        <w:t xml:space="preserve"> Sb.</w:t>
      </w:r>
    </w:p>
    <w:p w14:paraId="7104725F" w14:textId="1EB33F33" w:rsidR="00E921DD" w:rsidRPr="003871B3" w:rsidRDefault="00E921DD" w:rsidP="00E921DD">
      <w:pPr>
        <w:pStyle w:val="GSNadpis3"/>
      </w:pPr>
      <w:bookmarkStart w:id="28" w:name="_Ref520963087"/>
      <w:bookmarkStart w:id="29" w:name="_Toc522884703"/>
      <w:r w:rsidRPr="003871B3">
        <w:t>Vystavení čistých dat IS</w:t>
      </w:r>
      <w:r w:rsidR="00CD0DE1" w:rsidRPr="003871B3">
        <w:t> </w:t>
      </w:r>
      <w:r w:rsidRPr="003871B3">
        <w:t>ZAM pro ověřovací provoz</w:t>
      </w:r>
      <w:bookmarkEnd w:id="28"/>
      <w:bookmarkEnd w:id="29"/>
    </w:p>
    <w:p w14:paraId="2194E9C0" w14:textId="77777777" w:rsidR="009E2A51" w:rsidRDefault="00562F1B" w:rsidP="002F5595">
      <w:pPr>
        <w:pStyle w:val="GSOdstavec"/>
        <w:rPr>
          <w:rFonts w:eastAsia="Times New Roman" w:cs="Arial"/>
          <w:color w:val="000000"/>
          <w:szCs w:val="22"/>
          <w:lang w:eastAsia="cs-CZ"/>
        </w:rPr>
      </w:pPr>
      <w:r w:rsidRPr="00C22A86">
        <w:rPr>
          <w:rFonts w:eastAsia="Times New Roman" w:cs="Arial"/>
          <w:color w:val="000000"/>
          <w:szCs w:val="22"/>
          <w:lang w:eastAsia="cs-CZ"/>
        </w:rPr>
        <w:t>V </w:t>
      </w:r>
      <w:r w:rsidRPr="00D3471D">
        <w:t>návaznosti</w:t>
      </w:r>
      <w:r w:rsidRPr="00C22A86">
        <w:rPr>
          <w:rFonts w:eastAsia="Times New Roman" w:cs="Arial"/>
          <w:color w:val="000000"/>
          <w:szCs w:val="22"/>
          <w:lang w:eastAsia="cs-CZ"/>
        </w:rPr>
        <w:t xml:space="preserve"> na požadavek </w:t>
      </w:r>
      <w:r w:rsidR="002F5595" w:rsidRPr="00C22A86">
        <w:rPr>
          <w:rFonts w:eastAsia="Times New Roman" w:cs="Arial"/>
          <w:color w:val="000000"/>
          <w:szCs w:val="22"/>
          <w:lang w:eastAsia="cs-CZ"/>
        </w:rPr>
        <w:t>ZAM01</w:t>
      </w:r>
      <w:r w:rsidRPr="00C22A86">
        <w:rPr>
          <w:rFonts w:eastAsia="Times New Roman" w:cs="Arial"/>
          <w:color w:val="000000"/>
          <w:szCs w:val="22"/>
          <w:lang w:eastAsia="cs-CZ"/>
        </w:rPr>
        <w:t xml:space="preserve">2 </w:t>
      </w:r>
    </w:p>
    <w:tbl>
      <w:tblPr>
        <w:tblStyle w:val="TableGrid"/>
        <w:tblW w:w="9067" w:type="dxa"/>
        <w:tblLook w:val="04A0" w:firstRow="1" w:lastRow="0" w:firstColumn="1" w:lastColumn="0" w:noHBand="0" w:noVBand="1"/>
      </w:tblPr>
      <w:tblGrid>
        <w:gridCol w:w="1271"/>
        <w:gridCol w:w="7796"/>
      </w:tblGrid>
      <w:tr w:rsidR="00254CEF" w:rsidRPr="003871B3" w14:paraId="2DC10599" w14:textId="77777777" w:rsidTr="00762EBB">
        <w:tc>
          <w:tcPr>
            <w:tcW w:w="1271" w:type="dxa"/>
          </w:tcPr>
          <w:p w14:paraId="7B474269" w14:textId="6BB3E57C" w:rsidR="00254CEF" w:rsidRPr="003871B3" w:rsidRDefault="00254CEF" w:rsidP="002F5595">
            <w:pPr>
              <w:pStyle w:val="GSOdstavec"/>
            </w:pPr>
            <w:r w:rsidRPr="003871B3">
              <w:t>ZAM012</w:t>
            </w:r>
          </w:p>
        </w:tc>
        <w:tc>
          <w:tcPr>
            <w:tcW w:w="7796" w:type="dxa"/>
          </w:tcPr>
          <w:p w14:paraId="77CBA8B5" w14:textId="5C01106B" w:rsidR="00254CEF" w:rsidRPr="003871B3" w:rsidRDefault="00254CEF" w:rsidP="002F5595">
            <w:pPr>
              <w:pStyle w:val="GSOdstavec"/>
              <w:rPr>
                <w:szCs w:val="22"/>
              </w:rPr>
            </w:pPr>
            <w:r w:rsidRPr="003871B3">
              <w:rPr>
                <w:szCs w:val="22"/>
              </w:rPr>
              <w:t>Dodavatel zajistí vystavení finálních čistých dat dle všemi stranami odsouhlaseného rozsahu a harmonogramu pro hlavní milníky projektu, tj. zahájení UAT, OP a přechod do produkce, min. však o 1 týden před stanoveným termínem zahájení (pokud není uvedeno v harmonogramu jinak). Rozsah vystavovaných dat bude vždy předem pro jednotlivé milníky dopředu tématem migračních schůzek a jednotlivé otevřené body (požadavky na úpravu a doplnění těchto dat) budou společně prioritizovány tak, aby bylo možné data v termínu, času a kvalitě vystavit.</w:t>
            </w:r>
          </w:p>
        </w:tc>
      </w:tr>
    </w:tbl>
    <w:p w14:paraId="4BD57597" w14:textId="68D81C93" w:rsidR="00562F1B" w:rsidRPr="00C22A86" w:rsidRDefault="00562F1B" w:rsidP="002F5595">
      <w:pPr>
        <w:pStyle w:val="GSOdstavec"/>
        <w:rPr>
          <w:rFonts w:eastAsia="Times New Roman" w:cs="Arial"/>
          <w:color w:val="000000"/>
          <w:szCs w:val="22"/>
          <w:lang w:eastAsia="cs-CZ"/>
        </w:rPr>
      </w:pPr>
      <w:r w:rsidRPr="00C22A86">
        <w:rPr>
          <w:rFonts w:eastAsia="Times New Roman" w:cs="Arial"/>
          <w:color w:val="000000"/>
          <w:szCs w:val="22"/>
          <w:lang w:eastAsia="cs-CZ"/>
        </w:rPr>
        <w:t>Dodavatel vystaví čist</w:t>
      </w:r>
      <w:r w:rsidR="004D0281" w:rsidRPr="00C22A86">
        <w:rPr>
          <w:rFonts w:eastAsia="Times New Roman" w:cs="Arial"/>
          <w:color w:val="000000"/>
          <w:szCs w:val="22"/>
          <w:lang w:eastAsia="cs-CZ"/>
        </w:rPr>
        <w:t>á</w:t>
      </w:r>
      <w:r w:rsidRPr="00C22A86">
        <w:rPr>
          <w:rFonts w:eastAsia="Times New Roman" w:cs="Arial"/>
          <w:color w:val="000000"/>
          <w:szCs w:val="22"/>
          <w:lang w:eastAsia="cs-CZ"/>
        </w:rPr>
        <w:t xml:space="preserve"> migrační data </w:t>
      </w:r>
      <w:r w:rsidR="00E15AFF" w:rsidRPr="00C22A86">
        <w:rPr>
          <w:rFonts w:eastAsia="Times New Roman" w:cs="Arial"/>
          <w:color w:val="000000"/>
          <w:szCs w:val="22"/>
          <w:lang w:eastAsia="cs-CZ"/>
        </w:rPr>
        <w:t>k definovaným okamžikům dle projektového plánu, a to minimálně k hlavním milníkům projektu:</w:t>
      </w:r>
    </w:p>
    <w:p w14:paraId="13CA2AAD" w14:textId="4226E79D" w:rsidR="00E15AFF" w:rsidRPr="003871B3" w:rsidRDefault="00E15AFF" w:rsidP="00E15AFF">
      <w:pPr>
        <w:pStyle w:val="GSOdstavec"/>
        <w:numPr>
          <w:ilvl w:val="0"/>
          <w:numId w:val="7"/>
        </w:numPr>
        <w:spacing w:before="0" w:after="80"/>
        <w:ind w:left="714" w:hanging="357"/>
        <w:jc w:val="both"/>
        <w:rPr>
          <w:rFonts w:cs="Arial"/>
          <w:szCs w:val="22"/>
        </w:rPr>
      </w:pPr>
      <w:r w:rsidRPr="003871B3">
        <w:rPr>
          <w:rFonts w:cs="Arial"/>
          <w:szCs w:val="22"/>
        </w:rPr>
        <w:t>Vystavení kontrolního release</w:t>
      </w:r>
    </w:p>
    <w:p w14:paraId="69905756" w14:textId="76C68D3C" w:rsidR="00E15AFF" w:rsidRPr="003871B3" w:rsidRDefault="00E15AFF" w:rsidP="00E15AFF">
      <w:pPr>
        <w:pStyle w:val="GSOdstavec"/>
        <w:numPr>
          <w:ilvl w:val="0"/>
          <w:numId w:val="7"/>
        </w:numPr>
        <w:spacing w:before="0" w:after="80"/>
        <w:ind w:left="714" w:hanging="357"/>
        <w:jc w:val="both"/>
        <w:rPr>
          <w:rFonts w:cs="Arial"/>
          <w:szCs w:val="22"/>
        </w:rPr>
      </w:pPr>
      <w:r w:rsidRPr="003871B3">
        <w:rPr>
          <w:rFonts w:cs="Arial"/>
          <w:szCs w:val="22"/>
        </w:rPr>
        <w:t>Vystavení release pro potřeby UAT-OP</w:t>
      </w:r>
    </w:p>
    <w:p w14:paraId="2EA2F81C" w14:textId="5D8C44BE" w:rsidR="00E15AFF" w:rsidRPr="00C22A86" w:rsidRDefault="00E15AFF" w:rsidP="00E15AFF">
      <w:pPr>
        <w:pStyle w:val="GSOdstavec"/>
        <w:rPr>
          <w:rFonts w:eastAsia="Times New Roman" w:cs="Arial"/>
          <w:color w:val="000000"/>
          <w:szCs w:val="22"/>
          <w:lang w:eastAsia="cs-CZ"/>
        </w:rPr>
      </w:pPr>
      <w:r w:rsidRPr="00C22A86">
        <w:rPr>
          <w:rFonts w:eastAsia="Times New Roman" w:cs="Arial"/>
          <w:color w:val="000000"/>
          <w:szCs w:val="22"/>
          <w:lang w:eastAsia="cs-CZ"/>
        </w:rPr>
        <w:t>Následné vystavení finálních migračních dat pro přechod do produkčního provozu IS</w:t>
      </w:r>
      <w:r w:rsidR="00CD0DE1" w:rsidRPr="00C22A86">
        <w:rPr>
          <w:rFonts w:eastAsia="Times New Roman" w:cs="Arial"/>
          <w:color w:val="000000"/>
          <w:szCs w:val="22"/>
          <w:lang w:eastAsia="cs-CZ"/>
        </w:rPr>
        <w:t> </w:t>
      </w:r>
      <w:r w:rsidRPr="00C22A86">
        <w:rPr>
          <w:rFonts w:eastAsia="Times New Roman" w:cs="Arial"/>
          <w:color w:val="000000"/>
          <w:szCs w:val="22"/>
          <w:lang w:eastAsia="cs-CZ"/>
        </w:rPr>
        <w:t xml:space="preserve">ZAM provede v rámci plnění popsaného v kapitole </w:t>
      </w:r>
      <w:r w:rsidRPr="00C22A86">
        <w:rPr>
          <w:rFonts w:eastAsia="Times New Roman" w:cs="Arial"/>
          <w:color w:val="000000"/>
          <w:szCs w:val="22"/>
          <w:lang w:eastAsia="cs-CZ"/>
        </w:rPr>
        <w:fldChar w:fldCharType="begin"/>
      </w:r>
      <w:r w:rsidRPr="00C22A86">
        <w:rPr>
          <w:rFonts w:eastAsia="Times New Roman" w:cs="Arial"/>
          <w:color w:val="000000"/>
          <w:szCs w:val="22"/>
          <w:lang w:eastAsia="cs-CZ"/>
        </w:rPr>
        <w:instrText xml:space="preserve"> REF _Ref520906512 \r \h  \* MERGEFORMAT </w:instrText>
      </w:r>
      <w:r w:rsidRPr="00C22A86">
        <w:rPr>
          <w:rFonts w:eastAsia="Times New Roman" w:cs="Arial"/>
          <w:color w:val="000000"/>
          <w:szCs w:val="22"/>
          <w:lang w:eastAsia="cs-CZ"/>
        </w:rPr>
      </w:r>
      <w:r w:rsidRPr="00C22A86">
        <w:rPr>
          <w:rFonts w:eastAsia="Times New Roman" w:cs="Arial"/>
          <w:color w:val="000000"/>
          <w:szCs w:val="22"/>
          <w:lang w:eastAsia="cs-CZ"/>
        </w:rPr>
        <w:fldChar w:fldCharType="separate"/>
      </w:r>
      <w:r w:rsidR="00B3394C">
        <w:rPr>
          <w:rFonts w:eastAsia="Times New Roman" w:cs="Arial"/>
          <w:b/>
          <w:bCs/>
          <w:color w:val="000000"/>
          <w:szCs w:val="22"/>
          <w:lang w:val="en-US" w:eastAsia="cs-CZ"/>
        </w:rPr>
        <w:t>Error! Reference source not found.</w:t>
      </w:r>
      <w:r w:rsidRPr="00C22A86">
        <w:rPr>
          <w:rFonts w:eastAsia="Times New Roman" w:cs="Arial"/>
          <w:color w:val="000000"/>
          <w:szCs w:val="22"/>
          <w:lang w:eastAsia="cs-CZ"/>
        </w:rPr>
        <w:fldChar w:fldCharType="end"/>
      </w:r>
      <w:r w:rsidRPr="00C22A86">
        <w:rPr>
          <w:rFonts w:eastAsia="Times New Roman" w:cs="Arial"/>
          <w:color w:val="000000"/>
          <w:szCs w:val="22"/>
          <w:lang w:eastAsia="cs-CZ"/>
        </w:rPr>
        <w:t>.</w:t>
      </w:r>
    </w:p>
    <w:p w14:paraId="2D49953B" w14:textId="550AB9B3" w:rsidR="00E15AFF" w:rsidRPr="00C22A86" w:rsidRDefault="00E15AFF" w:rsidP="00E15AFF">
      <w:pPr>
        <w:pStyle w:val="GSOdstavec"/>
        <w:rPr>
          <w:rFonts w:eastAsia="Times New Roman" w:cs="Arial"/>
          <w:color w:val="000000"/>
          <w:szCs w:val="22"/>
          <w:lang w:eastAsia="cs-CZ"/>
        </w:rPr>
      </w:pPr>
      <w:r w:rsidRPr="00C22A86">
        <w:rPr>
          <w:rFonts w:eastAsia="Times New Roman" w:cs="Arial"/>
          <w:color w:val="000000"/>
          <w:szCs w:val="22"/>
          <w:lang w:eastAsia="cs-CZ"/>
        </w:rPr>
        <w:t>Data budou vystavena dle domluveného harmonogramu</w:t>
      </w:r>
      <w:r w:rsidR="00B14CA6" w:rsidRPr="00C22A86">
        <w:rPr>
          <w:rFonts w:eastAsia="Times New Roman" w:cs="Arial"/>
          <w:color w:val="000000"/>
          <w:szCs w:val="22"/>
          <w:lang w:eastAsia="cs-CZ"/>
        </w:rPr>
        <w:t>, vycházejícího ze splnění součinností a předpokladů k termínu T:</w:t>
      </w:r>
    </w:p>
    <w:p w14:paraId="4FA9C305" w14:textId="2FE3DCCE" w:rsidR="00B14CA6" w:rsidRPr="003871B3" w:rsidRDefault="00B14CA6" w:rsidP="00D3471D">
      <w:pPr>
        <w:pStyle w:val="GSOdstavec"/>
        <w:numPr>
          <w:ilvl w:val="0"/>
          <w:numId w:val="25"/>
        </w:numPr>
        <w:spacing w:before="0" w:after="80"/>
        <w:ind w:left="720" w:hanging="357"/>
        <w:rPr>
          <w:szCs w:val="22"/>
        </w:rPr>
      </w:pPr>
      <w:r w:rsidRPr="003871B3">
        <w:rPr>
          <w:szCs w:val="22"/>
        </w:rPr>
        <w:t>Ukončení GAP analýzy v termínu dle harmonogramu</w:t>
      </w:r>
      <w:r w:rsidR="00DB62CF" w:rsidRPr="003871B3">
        <w:rPr>
          <w:szCs w:val="22"/>
        </w:rPr>
        <w:t xml:space="preserve"> v předpokládané kvalitě</w:t>
      </w:r>
    </w:p>
    <w:p w14:paraId="0B4A4BE8" w14:textId="6F709928" w:rsidR="00B14CA6" w:rsidRPr="003871B3" w:rsidRDefault="00D3240C" w:rsidP="00D3471D">
      <w:pPr>
        <w:pStyle w:val="GSOdstavec"/>
        <w:numPr>
          <w:ilvl w:val="0"/>
          <w:numId w:val="25"/>
        </w:numPr>
        <w:spacing w:before="0" w:after="80"/>
        <w:ind w:left="720" w:hanging="357"/>
        <w:rPr>
          <w:szCs w:val="22"/>
        </w:rPr>
      </w:pPr>
      <w:r w:rsidRPr="003871B3">
        <w:rPr>
          <w:szCs w:val="22"/>
        </w:rPr>
        <w:t>Žádné změny v požadavcích po ukončení GAP analýzy</w:t>
      </w:r>
    </w:p>
    <w:p w14:paraId="4DB079CF" w14:textId="70EE5E76" w:rsidR="00D3240C" w:rsidRPr="003871B3" w:rsidRDefault="00D3240C" w:rsidP="00D3471D">
      <w:pPr>
        <w:pStyle w:val="GSOdstavec"/>
        <w:numPr>
          <w:ilvl w:val="0"/>
          <w:numId w:val="25"/>
        </w:numPr>
        <w:spacing w:before="0" w:after="80"/>
        <w:ind w:left="720" w:hanging="357"/>
        <w:rPr>
          <w:szCs w:val="22"/>
        </w:rPr>
      </w:pPr>
      <w:r w:rsidRPr="003871B3">
        <w:rPr>
          <w:szCs w:val="22"/>
        </w:rPr>
        <w:t>Poskytnutí veškerých požadovaných součinností uvedených v tomto dodatku a definovaných v rámci GAP analýzy</w:t>
      </w:r>
    </w:p>
    <w:p w14:paraId="4CFFA676" w14:textId="77A7D20B" w:rsidR="002F5595" w:rsidRPr="00C22A86" w:rsidRDefault="00E15AFF" w:rsidP="00E15AFF">
      <w:pPr>
        <w:pStyle w:val="GSOdstavec"/>
        <w:rPr>
          <w:rFonts w:eastAsia="Times New Roman" w:cs="Arial"/>
          <w:color w:val="000000"/>
          <w:szCs w:val="22"/>
          <w:lang w:eastAsia="cs-CZ"/>
        </w:rPr>
      </w:pPr>
      <w:r w:rsidRPr="00C22A86">
        <w:rPr>
          <w:rFonts w:eastAsia="Times New Roman" w:cs="Arial"/>
          <w:color w:val="000000"/>
          <w:szCs w:val="22"/>
          <w:lang w:eastAsia="cs-CZ"/>
        </w:rPr>
        <w:t xml:space="preserve">Rozsah vystavovaných dat bude předem odsouhlasen projektovým vedením </w:t>
      </w:r>
      <w:r w:rsidR="004E7AF7" w:rsidRPr="00C22A86">
        <w:rPr>
          <w:rFonts w:eastAsia="Times New Roman" w:cs="Arial"/>
          <w:color w:val="000000"/>
          <w:szCs w:val="22"/>
          <w:lang w:eastAsia="cs-CZ"/>
        </w:rPr>
        <w:t>Objednatele</w:t>
      </w:r>
      <w:r w:rsidRPr="00C22A86">
        <w:rPr>
          <w:rFonts w:eastAsia="Times New Roman" w:cs="Arial"/>
          <w:color w:val="000000"/>
          <w:szCs w:val="22"/>
          <w:lang w:eastAsia="cs-CZ"/>
        </w:rPr>
        <w:t xml:space="preserve"> a bude tématem migračních schůzek</w:t>
      </w:r>
      <w:r w:rsidR="002F5595" w:rsidRPr="00C22A86">
        <w:rPr>
          <w:rFonts w:eastAsia="Times New Roman" w:cs="Arial"/>
          <w:color w:val="000000"/>
          <w:szCs w:val="22"/>
          <w:lang w:eastAsia="cs-CZ"/>
        </w:rPr>
        <w:t xml:space="preserve"> a jednotlivé otevřené body (požadavky na úpravu a doplnění těchto dat) budou společně prioritizovány tak, aby bylo možné data v termínu, času a kvalitě vystavit.</w:t>
      </w:r>
    </w:p>
    <w:p w14:paraId="52A4A165" w14:textId="77777777" w:rsidR="00E921DD" w:rsidRPr="003871B3" w:rsidRDefault="00E921DD" w:rsidP="00E921DD">
      <w:pPr>
        <w:pStyle w:val="GSNadpis3"/>
      </w:pPr>
      <w:bookmarkStart w:id="30" w:name="_Ref520963094"/>
      <w:bookmarkStart w:id="31" w:name="_Toc522884704"/>
      <w:r w:rsidRPr="003871B3">
        <w:t>Vytvoření rozšířené dokumentace projektu</w:t>
      </w:r>
      <w:bookmarkEnd w:id="30"/>
      <w:bookmarkEnd w:id="31"/>
    </w:p>
    <w:p w14:paraId="49EC9A35" w14:textId="2FDFAD9E" w:rsidR="00894F03" w:rsidRPr="00C22A86" w:rsidRDefault="00894F03" w:rsidP="00894F03">
      <w:pPr>
        <w:pStyle w:val="GSOdstavec"/>
        <w:rPr>
          <w:rFonts w:eastAsia="Times New Roman" w:cs="Arial"/>
          <w:color w:val="000000"/>
          <w:szCs w:val="22"/>
          <w:lang w:eastAsia="cs-CZ"/>
        </w:rPr>
      </w:pPr>
      <w:bookmarkStart w:id="32" w:name="_Toc514834324"/>
      <w:bookmarkStart w:id="33" w:name="_Toc514835807"/>
      <w:bookmarkStart w:id="34" w:name="_Toc514839262"/>
      <w:r w:rsidRPr="00C22A86">
        <w:rPr>
          <w:rFonts w:eastAsia="Times New Roman" w:cs="Arial"/>
          <w:color w:val="000000"/>
          <w:szCs w:val="22"/>
          <w:lang w:eastAsia="cs-CZ"/>
        </w:rPr>
        <w:t>Dodavatel dodá v rámci plnění dokumentaci dle následujících požadavků:</w:t>
      </w:r>
    </w:p>
    <w:tbl>
      <w:tblPr>
        <w:tblStyle w:val="TableGrid"/>
        <w:tblW w:w="9067" w:type="dxa"/>
        <w:tblLook w:val="04A0" w:firstRow="1" w:lastRow="0" w:firstColumn="1" w:lastColumn="0" w:noHBand="0" w:noVBand="1"/>
      </w:tblPr>
      <w:tblGrid>
        <w:gridCol w:w="1271"/>
        <w:gridCol w:w="7796"/>
      </w:tblGrid>
      <w:tr w:rsidR="00254CEF" w:rsidRPr="003871B3" w14:paraId="3B26DFBD" w14:textId="77777777" w:rsidTr="00254CEF">
        <w:tc>
          <w:tcPr>
            <w:tcW w:w="1271" w:type="dxa"/>
          </w:tcPr>
          <w:p w14:paraId="4D9B682C" w14:textId="3312388F" w:rsidR="00254CEF" w:rsidRPr="003871B3" w:rsidRDefault="00254CEF" w:rsidP="00894F03">
            <w:pPr>
              <w:pStyle w:val="GSOdstavec"/>
              <w:rPr>
                <w:rFonts w:cs="Arial"/>
                <w:szCs w:val="22"/>
              </w:rPr>
            </w:pPr>
            <w:r w:rsidRPr="003871B3">
              <w:rPr>
                <w:rFonts w:cs="Arial"/>
                <w:szCs w:val="22"/>
              </w:rPr>
              <w:t>DOC006</w:t>
            </w:r>
          </w:p>
        </w:tc>
        <w:tc>
          <w:tcPr>
            <w:tcW w:w="7796" w:type="dxa"/>
          </w:tcPr>
          <w:p w14:paraId="5DF846B6" w14:textId="2FC2F5B6" w:rsidR="00254CEF" w:rsidRPr="003871B3" w:rsidRDefault="00254CEF" w:rsidP="00894F03">
            <w:pPr>
              <w:pStyle w:val="GSOdstavec"/>
              <w:rPr>
                <w:rFonts w:cs="Arial"/>
                <w:szCs w:val="22"/>
              </w:rPr>
            </w:pPr>
            <w:r w:rsidRPr="003871B3">
              <w:rPr>
                <w:rFonts w:cs="Arial"/>
                <w:szCs w:val="22"/>
              </w:rPr>
              <w:t>Dodavatel dodá provozní příručku popisující z pohledu správce (administrátora) činnosti nezbytné pro zajištění chodu Systému. Součástí provozní příručky jsou operátorské procedury, které zahrnují provozní postupy údržby Systému, plány obnovy Systému, zálohovací plány a postupy archivace.</w:t>
            </w:r>
          </w:p>
        </w:tc>
      </w:tr>
      <w:tr w:rsidR="00254CEF" w:rsidRPr="003871B3" w14:paraId="689C386A" w14:textId="77777777" w:rsidTr="00254CEF">
        <w:tc>
          <w:tcPr>
            <w:tcW w:w="1271" w:type="dxa"/>
          </w:tcPr>
          <w:p w14:paraId="5D621798" w14:textId="63EB5635" w:rsidR="00254CEF" w:rsidRPr="003871B3" w:rsidRDefault="00254CEF" w:rsidP="00894F03">
            <w:pPr>
              <w:pStyle w:val="GSOdstavec"/>
              <w:rPr>
                <w:rFonts w:cs="Arial"/>
                <w:szCs w:val="22"/>
              </w:rPr>
            </w:pPr>
            <w:r w:rsidRPr="003871B3">
              <w:rPr>
                <w:rFonts w:cs="Arial"/>
                <w:szCs w:val="22"/>
              </w:rPr>
              <w:t>DOC008</w:t>
            </w:r>
          </w:p>
        </w:tc>
        <w:tc>
          <w:tcPr>
            <w:tcW w:w="7796" w:type="dxa"/>
          </w:tcPr>
          <w:p w14:paraId="17301C6E" w14:textId="1C255B41" w:rsidR="00254CEF" w:rsidRPr="003871B3" w:rsidRDefault="00254CEF" w:rsidP="00894F03">
            <w:pPr>
              <w:pStyle w:val="GSOdstavec"/>
              <w:rPr>
                <w:rFonts w:cs="Arial"/>
                <w:szCs w:val="22"/>
              </w:rPr>
            </w:pPr>
            <w:r w:rsidRPr="003871B3">
              <w:rPr>
                <w:rFonts w:cs="Arial"/>
                <w:szCs w:val="22"/>
              </w:rPr>
              <w:t>V rámci plnění bude dodána dokumentace následujících typů - instalační příručka, provozní příručka, příručka správce systému, analytická dokumentace, vývojářská dokumentace, bezpečnostní dokumentace, architektonická dokumentace a dokumentace předepsaná v rámci migrace dat jednotlivých subprojektů.</w:t>
            </w:r>
          </w:p>
        </w:tc>
      </w:tr>
      <w:tr w:rsidR="00254CEF" w:rsidRPr="003871B3" w14:paraId="071E1897" w14:textId="77777777" w:rsidTr="00254CEF">
        <w:tc>
          <w:tcPr>
            <w:tcW w:w="1271" w:type="dxa"/>
          </w:tcPr>
          <w:p w14:paraId="4C2D377D" w14:textId="0278403E" w:rsidR="00254CEF" w:rsidRPr="003871B3" w:rsidRDefault="00254CEF" w:rsidP="00894F03">
            <w:pPr>
              <w:pStyle w:val="GSOdstavec"/>
              <w:rPr>
                <w:rFonts w:cs="Arial"/>
                <w:szCs w:val="22"/>
              </w:rPr>
            </w:pPr>
            <w:r w:rsidRPr="003871B3">
              <w:rPr>
                <w:rFonts w:cs="Arial"/>
                <w:szCs w:val="22"/>
              </w:rPr>
              <w:t>DOC009</w:t>
            </w:r>
          </w:p>
        </w:tc>
        <w:tc>
          <w:tcPr>
            <w:tcW w:w="7796" w:type="dxa"/>
          </w:tcPr>
          <w:p w14:paraId="7DB68F59" w14:textId="4A2128AE" w:rsidR="00254CEF" w:rsidRPr="003871B3" w:rsidRDefault="00254CEF" w:rsidP="00894F03">
            <w:pPr>
              <w:pStyle w:val="GSOdstavec"/>
              <w:rPr>
                <w:rFonts w:cs="Arial"/>
                <w:szCs w:val="22"/>
              </w:rPr>
            </w:pPr>
            <w:r w:rsidRPr="003871B3">
              <w:rPr>
                <w:rFonts w:cs="Arial"/>
                <w:szCs w:val="22"/>
              </w:rPr>
              <w:t>Dodavatel dodá Operátorskou příručku popisující z pohledu operátora činnosti nezbytné pro generování aktuálních migračních setů pro jednotlivé systémy přes všechny vrstvy řešení.</w:t>
            </w:r>
          </w:p>
        </w:tc>
      </w:tr>
      <w:tr w:rsidR="00254CEF" w:rsidRPr="003871B3" w14:paraId="0163CB62" w14:textId="77777777" w:rsidTr="00254CEF">
        <w:tc>
          <w:tcPr>
            <w:tcW w:w="1271" w:type="dxa"/>
          </w:tcPr>
          <w:p w14:paraId="28A20A29" w14:textId="44DC6132" w:rsidR="00254CEF" w:rsidRPr="003871B3" w:rsidRDefault="00254CEF" w:rsidP="00894F03">
            <w:pPr>
              <w:pStyle w:val="GSOdstavec"/>
              <w:rPr>
                <w:rFonts w:cs="Arial"/>
                <w:szCs w:val="22"/>
              </w:rPr>
            </w:pPr>
            <w:r w:rsidRPr="003871B3">
              <w:rPr>
                <w:rFonts w:cs="Arial"/>
                <w:szCs w:val="22"/>
              </w:rPr>
              <w:t>DOC011</w:t>
            </w:r>
          </w:p>
        </w:tc>
        <w:tc>
          <w:tcPr>
            <w:tcW w:w="7796" w:type="dxa"/>
          </w:tcPr>
          <w:p w14:paraId="07CF8C58" w14:textId="50C255C9" w:rsidR="00254CEF" w:rsidRPr="003871B3" w:rsidRDefault="00254CEF" w:rsidP="009E2A51">
            <w:pPr>
              <w:pStyle w:val="GSOdstavec"/>
              <w:rPr>
                <w:rFonts w:cs="Arial"/>
                <w:szCs w:val="22"/>
              </w:rPr>
            </w:pPr>
            <w:r w:rsidRPr="003871B3">
              <w:rPr>
                <w:rFonts w:eastAsia="Times New Roman" w:cs="Arial"/>
                <w:color w:val="000000"/>
                <w:szCs w:val="22"/>
                <w:lang w:eastAsia="cs-CZ"/>
              </w:rPr>
              <w:t>Dodavatel</w:t>
            </w:r>
            <w:r w:rsidRPr="003871B3">
              <w:rPr>
                <w:rFonts w:cs="Arial"/>
                <w:szCs w:val="22"/>
              </w:rPr>
              <w:t xml:space="preserve"> dodá:</w:t>
            </w:r>
          </w:p>
          <w:p w14:paraId="4047CF2E" w14:textId="77777777" w:rsidR="00254CEF" w:rsidRPr="003871B3" w:rsidRDefault="00254CEF" w:rsidP="00C22A86">
            <w:pPr>
              <w:pStyle w:val="GSOdstavec"/>
              <w:spacing w:before="0" w:after="0"/>
              <w:rPr>
                <w:rFonts w:cs="Arial"/>
                <w:szCs w:val="22"/>
              </w:rPr>
            </w:pPr>
            <w:r w:rsidRPr="003871B3">
              <w:rPr>
                <w:rFonts w:cs="Arial"/>
                <w:szCs w:val="22"/>
              </w:rPr>
              <w:t>- šablonu vývojářské dokumentace</w:t>
            </w:r>
          </w:p>
          <w:p w14:paraId="1DE3EEEE" w14:textId="77777777" w:rsidR="00254CEF" w:rsidRPr="003871B3" w:rsidRDefault="00254CEF" w:rsidP="00C22A86">
            <w:pPr>
              <w:pStyle w:val="GSOdstavec"/>
              <w:spacing w:before="0" w:after="0"/>
              <w:rPr>
                <w:rFonts w:cs="Arial"/>
                <w:szCs w:val="22"/>
              </w:rPr>
            </w:pPr>
            <w:r w:rsidRPr="003871B3">
              <w:rPr>
                <w:rFonts w:cs="Arial"/>
                <w:szCs w:val="22"/>
              </w:rPr>
              <w:t>- kompletní výčet a popis knihoven třetích stran plánovaných pro použití v rámci systému</w:t>
            </w:r>
          </w:p>
          <w:p w14:paraId="4C51E46C" w14:textId="77777777" w:rsidR="00254CEF" w:rsidRPr="003871B3" w:rsidRDefault="00254CEF" w:rsidP="00C22A86">
            <w:pPr>
              <w:pStyle w:val="GSOdstavec"/>
              <w:spacing w:before="0" w:after="0"/>
              <w:rPr>
                <w:rFonts w:cs="Arial"/>
                <w:szCs w:val="22"/>
              </w:rPr>
            </w:pPr>
            <w:r w:rsidRPr="003871B3">
              <w:rPr>
                <w:rFonts w:cs="Arial"/>
                <w:szCs w:val="22"/>
              </w:rPr>
              <w:t>- definované jmenné konvence pro tvorbu datového modelu (metodika názvosloví datových entit, sloupců, typových označení skupin datových entit - např. číselníků validačních kontrol, indexů, databázových úloh, apod.)</w:t>
            </w:r>
          </w:p>
          <w:p w14:paraId="7CB4D367" w14:textId="77777777" w:rsidR="00254CEF" w:rsidRPr="003871B3" w:rsidRDefault="00254CEF" w:rsidP="00C22A86">
            <w:pPr>
              <w:pStyle w:val="GSOdstavec"/>
              <w:spacing w:before="0" w:after="0"/>
              <w:rPr>
                <w:rFonts w:cs="Arial"/>
                <w:szCs w:val="22"/>
              </w:rPr>
            </w:pPr>
            <w:r w:rsidRPr="003871B3">
              <w:rPr>
                <w:rFonts w:cs="Arial"/>
                <w:szCs w:val="22"/>
              </w:rPr>
              <w:t>- definované jmenné konvence pro tvorbu zdrojových kódů (metodika názvosloví objektů, tříd, funkcí, procedur, proměnných, operací, událostí, ovládacích prvků apod.)</w:t>
            </w:r>
          </w:p>
          <w:p w14:paraId="401F2442" w14:textId="77777777" w:rsidR="00254CEF" w:rsidRPr="003871B3" w:rsidRDefault="00254CEF" w:rsidP="009E2A51">
            <w:pPr>
              <w:pStyle w:val="GSOdstavec"/>
              <w:rPr>
                <w:rFonts w:cs="Arial"/>
                <w:szCs w:val="22"/>
              </w:rPr>
            </w:pPr>
            <w:r w:rsidRPr="003871B3">
              <w:rPr>
                <w:rFonts w:cs="Arial"/>
                <w:szCs w:val="22"/>
              </w:rPr>
              <w:t>Dodavatel v rámci implementace dodá:</w:t>
            </w:r>
          </w:p>
          <w:p w14:paraId="05BECBFA" w14:textId="77777777" w:rsidR="00254CEF" w:rsidRPr="003871B3" w:rsidRDefault="00254CEF" w:rsidP="00C22A86">
            <w:pPr>
              <w:pStyle w:val="GSOdstavec"/>
              <w:spacing w:before="0" w:after="0"/>
              <w:rPr>
                <w:rFonts w:cs="Arial"/>
                <w:szCs w:val="22"/>
              </w:rPr>
            </w:pPr>
            <w:r w:rsidRPr="003871B3">
              <w:rPr>
                <w:rFonts w:cs="Arial"/>
                <w:szCs w:val="22"/>
              </w:rPr>
              <w:t>- Detailní popis datového modelu - zejména popis ownerů (k jaké části aplikace se vztahuje, co obsahuje, jaký je jeho účel), popis datových entit/tabulek (k jakému účelu je použita), popis číselníků, popis sloupců tabulek, popis logických vazeb mezi tabulkami z byznysového pohledu, popis validačních kontrol, popis indexů, popis databázových úloh majících vazbu na datový model</w:t>
            </w:r>
          </w:p>
          <w:p w14:paraId="03A3DAB0" w14:textId="77777777" w:rsidR="00254CEF" w:rsidRPr="003871B3" w:rsidRDefault="00254CEF" w:rsidP="00C22A86">
            <w:pPr>
              <w:pStyle w:val="GSOdstavec"/>
              <w:spacing w:before="0" w:after="0"/>
              <w:rPr>
                <w:rFonts w:cs="Arial"/>
                <w:szCs w:val="22"/>
              </w:rPr>
            </w:pPr>
            <w:r w:rsidRPr="003871B3">
              <w:rPr>
                <w:rFonts w:cs="Arial"/>
                <w:szCs w:val="22"/>
              </w:rPr>
              <w:t>- Důsledné využívání komentářů ve zdrojových kódech, tzn., ve všech třídách, funkcích, procedurách, apod., popisujících jejich účel, vstupy, výstupy i průběh, včetně komentářů podmínek, cyklů, apod.</w:t>
            </w:r>
          </w:p>
          <w:p w14:paraId="40095380" w14:textId="77777777" w:rsidR="00254CEF" w:rsidRPr="003871B3" w:rsidRDefault="00254CEF" w:rsidP="00C22A86">
            <w:pPr>
              <w:pStyle w:val="GSOdstavec"/>
              <w:spacing w:before="0" w:after="0"/>
              <w:rPr>
                <w:rFonts w:cs="Arial"/>
                <w:szCs w:val="22"/>
              </w:rPr>
            </w:pPr>
            <w:r w:rsidRPr="003871B3">
              <w:rPr>
                <w:rFonts w:cs="Arial"/>
                <w:szCs w:val="22"/>
              </w:rPr>
              <w:t>- Základní README soubor s popisy komponent, vztahů tříd, které systém obsahuje, jejich vlastnosti, význam, obsah nebo propojení s ostatními komponentami</w:t>
            </w:r>
          </w:p>
          <w:p w14:paraId="40D52CDE" w14:textId="77777777" w:rsidR="00254CEF" w:rsidRPr="003871B3" w:rsidRDefault="00254CEF" w:rsidP="00C22A86">
            <w:pPr>
              <w:pStyle w:val="GSOdstavec"/>
              <w:spacing w:before="0" w:after="0"/>
              <w:rPr>
                <w:rFonts w:cs="Arial"/>
                <w:szCs w:val="22"/>
              </w:rPr>
            </w:pPr>
            <w:r w:rsidRPr="003871B3">
              <w:rPr>
                <w:rFonts w:cs="Arial"/>
                <w:szCs w:val="22"/>
              </w:rPr>
              <w:t>- Kompletní instrukce ke konfiguraci prostředí pro vývojáře, včetně uvedení všech potřebných nástrojů, jejich verzí a konfiguračních parametrů</w:t>
            </w:r>
          </w:p>
          <w:p w14:paraId="4D27128B" w14:textId="77777777" w:rsidR="00254CEF" w:rsidRPr="003871B3" w:rsidRDefault="00254CEF" w:rsidP="00C22A86">
            <w:pPr>
              <w:pStyle w:val="GSOdstavec"/>
              <w:spacing w:before="0" w:after="0"/>
              <w:rPr>
                <w:rFonts w:cs="Arial"/>
                <w:szCs w:val="22"/>
              </w:rPr>
            </w:pPr>
            <w:r w:rsidRPr="003871B3">
              <w:rPr>
                <w:rFonts w:cs="Arial"/>
                <w:szCs w:val="22"/>
              </w:rPr>
              <w:t>- Kompletní instrukce k vytvoření a úspěšnému buildu systému, včetně příslušných buildovacích skriptů</w:t>
            </w:r>
          </w:p>
          <w:p w14:paraId="6EFF4CCA" w14:textId="77777777" w:rsidR="00254CEF" w:rsidRPr="003871B3" w:rsidRDefault="00254CEF" w:rsidP="00C22A86">
            <w:pPr>
              <w:pStyle w:val="GSOdstavec"/>
              <w:spacing w:before="0" w:after="0"/>
              <w:rPr>
                <w:rFonts w:cs="Arial"/>
                <w:szCs w:val="22"/>
              </w:rPr>
            </w:pPr>
            <w:r w:rsidRPr="003871B3">
              <w:rPr>
                <w:rFonts w:cs="Arial"/>
                <w:szCs w:val="22"/>
              </w:rPr>
              <w:t>- Kompletní výčet a popis knihoven třetích stran, použitých v rámci systému</w:t>
            </w:r>
          </w:p>
          <w:p w14:paraId="5331C99B" w14:textId="77777777" w:rsidR="00254CEF" w:rsidRPr="003871B3" w:rsidRDefault="00254CEF" w:rsidP="00C22A86">
            <w:pPr>
              <w:pStyle w:val="GSOdstavec"/>
              <w:spacing w:before="0" w:after="0"/>
              <w:rPr>
                <w:rFonts w:cs="Arial"/>
                <w:szCs w:val="22"/>
              </w:rPr>
            </w:pPr>
            <w:r w:rsidRPr="003871B3">
              <w:rPr>
                <w:rFonts w:cs="Arial"/>
                <w:szCs w:val="22"/>
              </w:rPr>
              <w:t>- Kompletní vygenerovanou vývojářskou dokumentaci s použitím vhodného nástroje, např. pro vývoj v JAVA Javadoc</w:t>
            </w:r>
          </w:p>
          <w:p w14:paraId="381032A0" w14:textId="77777777" w:rsidR="00254CEF" w:rsidRPr="003871B3" w:rsidRDefault="00254CEF" w:rsidP="00C22A86">
            <w:pPr>
              <w:pStyle w:val="GSOdstavec"/>
              <w:spacing w:before="0" w:after="0"/>
              <w:rPr>
                <w:rFonts w:cs="Arial"/>
                <w:szCs w:val="22"/>
              </w:rPr>
            </w:pPr>
            <w:r w:rsidRPr="003871B3">
              <w:rPr>
                <w:rFonts w:cs="Arial"/>
                <w:szCs w:val="22"/>
              </w:rPr>
              <w:t>- Kompletní uživatelská dokumentace aplikace obsahující všechny funkce a nástroje dostupné v aktuální verzi aplikace</w:t>
            </w:r>
          </w:p>
          <w:p w14:paraId="2E541A5D" w14:textId="77777777" w:rsidR="00254CEF" w:rsidRPr="003871B3" w:rsidRDefault="00254CEF" w:rsidP="00C22A86">
            <w:pPr>
              <w:pStyle w:val="GSOdstavec"/>
              <w:spacing w:before="0" w:after="0"/>
              <w:rPr>
                <w:rFonts w:cs="Arial"/>
                <w:szCs w:val="22"/>
              </w:rPr>
            </w:pPr>
            <w:r w:rsidRPr="003871B3">
              <w:rPr>
                <w:rFonts w:cs="Arial"/>
                <w:szCs w:val="22"/>
              </w:rPr>
              <w:t>- Nastavení použivaných pravidel kontroly kvality kódu pro účely provedení nezávislého auditu kvality kódu. Všechny modely budou tvořeny v souladu s modelovacím standardem MPSV. Dodavatel dodá s každou novou verzí aplikace a jejích zdrojových kódů aktualizovanou vývojářskou, architektonickou a analytickou dokumentaci, odpovídající aktuálnímu stavu vývoje aplikace.</w:t>
            </w:r>
          </w:p>
          <w:p w14:paraId="6B6C8E4D" w14:textId="2EE7EC34" w:rsidR="00254CEF" w:rsidRPr="003871B3" w:rsidRDefault="00254CEF" w:rsidP="009E2A51">
            <w:pPr>
              <w:pStyle w:val="GSOdstavec"/>
              <w:rPr>
                <w:rFonts w:eastAsia="Times New Roman" w:cs="Arial"/>
                <w:color w:val="000000"/>
                <w:szCs w:val="22"/>
                <w:lang w:eastAsia="cs-CZ"/>
              </w:rPr>
            </w:pPr>
            <w:r w:rsidRPr="003871B3">
              <w:rPr>
                <w:rFonts w:eastAsia="Times New Roman" w:cs="Arial"/>
                <w:color w:val="000000"/>
                <w:szCs w:val="22"/>
                <w:lang w:eastAsia="cs-CZ"/>
              </w:rPr>
              <w:t>Požadavek na dodání aktualizované dokumentace s každou novou verzí aplikace bude Dodavatel plnit postupně tak, jak bude dokumentace dostupná.</w:t>
            </w:r>
          </w:p>
        </w:tc>
      </w:tr>
      <w:tr w:rsidR="00254CEF" w:rsidRPr="003871B3" w14:paraId="42A5199E" w14:textId="77777777" w:rsidTr="00254CEF">
        <w:tc>
          <w:tcPr>
            <w:tcW w:w="1271" w:type="dxa"/>
          </w:tcPr>
          <w:p w14:paraId="0F0BD06F" w14:textId="0E98F439" w:rsidR="00254CEF" w:rsidRPr="003871B3" w:rsidRDefault="00254CEF" w:rsidP="00894F03">
            <w:pPr>
              <w:pStyle w:val="GSOdstavec"/>
              <w:rPr>
                <w:rFonts w:cs="Arial"/>
                <w:szCs w:val="22"/>
              </w:rPr>
            </w:pPr>
            <w:r w:rsidRPr="003871B3">
              <w:rPr>
                <w:rFonts w:cs="Arial"/>
                <w:szCs w:val="22"/>
              </w:rPr>
              <w:t>DOC014</w:t>
            </w:r>
          </w:p>
        </w:tc>
        <w:tc>
          <w:tcPr>
            <w:tcW w:w="7796" w:type="dxa"/>
          </w:tcPr>
          <w:p w14:paraId="5347EF8A" w14:textId="6A2A2919" w:rsidR="00254CEF" w:rsidRPr="003871B3" w:rsidRDefault="00254CEF" w:rsidP="009E2A51">
            <w:pPr>
              <w:pStyle w:val="GSOdstavec"/>
              <w:rPr>
                <w:rFonts w:cs="Arial"/>
                <w:szCs w:val="22"/>
                <w:highlight w:val="yellow"/>
              </w:rPr>
            </w:pPr>
            <w:r w:rsidRPr="003871B3">
              <w:rPr>
                <w:rFonts w:eastAsia="Times New Roman" w:cs="Arial"/>
                <w:color w:val="000000"/>
                <w:szCs w:val="22"/>
                <w:lang w:eastAsia="cs-CZ"/>
              </w:rPr>
              <w:t xml:space="preserve">Dodavatel </w:t>
            </w:r>
            <w:r w:rsidRPr="003871B3">
              <w:rPr>
                <w:rFonts w:cs="Arial"/>
                <w:szCs w:val="22"/>
              </w:rPr>
              <w:t>dodá zdrojové kódy a související konfigurační soubory k veškerému softwarovému vybavení, které vytvořil v rámci plnění. Zdrojové kódy budou zaverzovány v rámci podpůrného řešení pro správu kódu umístěného na straně MPSV (GIT) a to průběžně, minimálně však ke každému release. Zdrojové kódy budou dále předány protokolárně na datovém nosiči určenému pouze pro čtení po ukončení projektu.</w:t>
            </w:r>
          </w:p>
        </w:tc>
      </w:tr>
      <w:tr w:rsidR="00254CEF" w:rsidRPr="003871B3" w14:paraId="49323018" w14:textId="77777777" w:rsidTr="00254CEF">
        <w:tc>
          <w:tcPr>
            <w:tcW w:w="1271" w:type="dxa"/>
          </w:tcPr>
          <w:p w14:paraId="650208B1" w14:textId="76DF8B44" w:rsidR="00254CEF" w:rsidRPr="003871B3" w:rsidRDefault="00254CEF" w:rsidP="00894F03">
            <w:pPr>
              <w:pStyle w:val="GSOdstavec"/>
              <w:rPr>
                <w:rFonts w:cs="Arial"/>
                <w:szCs w:val="22"/>
              </w:rPr>
            </w:pPr>
            <w:r w:rsidRPr="003871B3">
              <w:rPr>
                <w:rFonts w:cs="Arial"/>
                <w:szCs w:val="22"/>
              </w:rPr>
              <w:t>DOC016</w:t>
            </w:r>
          </w:p>
        </w:tc>
        <w:tc>
          <w:tcPr>
            <w:tcW w:w="7796" w:type="dxa"/>
          </w:tcPr>
          <w:p w14:paraId="1A146703" w14:textId="0A966440" w:rsidR="00254CEF" w:rsidRPr="003871B3" w:rsidRDefault="00254CEF" w:rsidP="009E2A51">
            <w:pPr>
              <w:pStyle w:val="GSOdstavec"/>
              <w:rPr>
                <w:rFonts w:cs="Arial"/>
                <w:szCs w:val="22"/>
                <w:highlight w:val="yellow"/>
              </w:rPr>
            </w:pPr>
            <w:r w:rsidRPr="003871B3">
              <w:rPr>
                <w:rFonts w:eastAsia="Times New Roman" w:cs="Arial"/>
                <w:color w:val="000000"/>
                <w:szCs w:val="22"/>
                <w:lang w:eastAsia="cs-CZ"/>
              </w:rPr>
              <w:t>Dodavatel</w:t>
            </w:r>
            <w:r w:rsidRPr="003871B3">
              <w:rPr>
                <w:rFonts w:cs="Arial"/>
                <w:szCs w:val="22"/>
              </w:rPr>
              <w:t xml:space="preserve"> předá příručku správce aplikace, ve které budou podrobně popsány postupy správy aplikace pro správce a klíčové uživatele </w:t>
            </w:r>
            <w:r w:rsidR="00262235">
              <w:rPr>
                <w:rFonts w:cs="Arial"/>
                <w:szCs w:val="22"/>
              </w:rPr>
              <w:t>Objednatel</w:t>
            </w:r>
            <w:r w:rsidRPr="003871B3">
              <w:rPr>
                <w:rFonts w:cs="Arial"/>
                <w:szCs w:val="22"/>
              </w:rPr>
              <w:t>e.</w:t>
            </w:r>
          </w:p>
        </w:tc>
      </w:tr>
      <w:tr w:rsidR="00254CEF" w:rsidRPr="003871B3" w14:paraId="6E7DEF56" w14:textId="77777777" w:rsidTr="00254CEF">
        <w:tc>
          <w:tcPr>
            <w:tcW w:w="1271" w:type="dxa"/>
          </w:tcPr>
          <w:p w14:paraId="02ECF929" w14:textId="564AE66F" w:rsidR="00254CEF" w:rsidRPr="003871B3" w:rsidRDefault="00254CEF" w:rsidP="00894F03">
            <w:pPr>
              <w:pStyle w:val="GSOdstavec"/>
              <w:rPr>
                <w:rFonts w:cs="Arial"/>
                <w:szCs w:val="22"/>
              </w:rPr>
            </w:pPr>
            <w:r w:rsidRPr="003871B3">
              <w:rPr>
                <w:rFonts w:cs="Arial"/>
                <w:szCs w:val="22"/>
              </w:rPr>
              <w:t>DOC017</w:t>
            </w:r>
          </w:p>
        </w:tc>
        <w:tc>
          <w:tcPr>
            <w:tcW w:w="7796" w:type="dxa"/>
          </w:tcPr>
          <w:p w14:paraId="581F3BD7" w14:textId="4CB03083" w:rsidR="00254CEF" w:rsidRPr="003871B3" w:rsidRDefault="00254CEF" w:rsidP="009E2A51">
            <w:pPr>
              <w:pStyle w:val="GSOdstavec"/>
            </w:pPr>
            <w:r w:rsidRPr="003871B3">
              <w:t>Dodavatel předá dokumentaci popisující instalaci, konfiguraci způsob použití prostředí pro testy systému tak, aby na jejím základě mohlo být testovací prostředí vybudováno a provozováno. Součástí dodávky budou testovací scénáře a skripty pro jednotlivé druhy testů včetně postupu na přípravu nebo vyhledání testovacích dat.</w:t>
            </w:r>
          </w:p>
        </w:tc>
      </w:tr>
      <w:tr w:rsidR="00254CEF" w:rsidRPr="003871B3" w14:paraId="205A7FE9" w14:textId="77777777" w:rsidTr="00254CEF">
        <w:tc>
          <w:tcPr>
            <w:tcW w:w="1271" w:type="dxa"/>
          </w:tcPr>
          <w:p w14:paraId="1052BEDC" w14:textId="79A7B3AB" w:rsidR="00254CEF" w:rsidRPr="003871B3" w:rsidRDefault="00254CEF" w:rsidP="00894F03">
            <w:pPr>
              <w:pStyle w:val="GSOdstavec"/>
              <w:rPr>
                <w:rFonts w:cs="Arial"/>
                <w:szCs w:val="22"/>
              </w:rPr>
            </w:pPr>
            <w:r w:rsidRPr="003871B3">
              <w:rPr>
                <w:rFonts w:cs="Arial"/>
                <w:szCs w:val="22"/>
              </w:rPr>
              <w:t>DOC022</w:t>
            </w:r>
          </w:p>
        </w:tc>
        <w:tc>
          <w:tcPr>
            <w:tcW w:w="7796" w:type="dxa"/>
          </w:tcPr>
          <w:p w14:paraId="5170AA94" w14:textId="38095DA0" w:rsidR="00254CEF" w:rsidRPr="003871B3" w:rsidRDefault="00254CEF" w:rsidP="009E2A51">
            <w:pPr>
              <w:pStyle w:val="GSOdstavec"/>
              <w:rPr>
                <w:rFonts w:cs="Arial"/>
                <w:szCs w:val="22"/>
                <w:highlight w:val="yellow"/>
              </w:rPr>
            </w:pPr>
            <w:r w:rsidRPr="003871B3">
              <w:rPr>
                <w:rFonts w:eastAsia="Times New Roman" w:cs="Arial"/>
                <w:color w:val="000000"/>
                <w:szCs w:val="22"/>
                <w:lang w:eastAsia="cs-CZ"/>
              </w:rPr>
              <w:t>Dodavatel</w:t>
            </w:r>
            <w:r w:rsidRPr="003871B3">
              <w:rPr>
                <w:rFonts w:cs="Arial"/>
                <w:szCs w:val="22"/>
              </w:rPr>
              <w:t xml:space="preserve"> dodá instalační příručku popisující jednotlivé kroky instalace, konfigurace a zprovoznění systému (pro každé prostředí). Příručka bude zahrnovat všechny nezbytné instalační kroky nad rámec instalace operačního systému a instalace DB serveru. Dále bude zahrnovat výčet všech nezbytných komponent včetně verzí, licencí a konfigurací, a to včetně operačního systému, DB a frameworků.</w:t>
            </w:r>
          </w:p>
        </w:tc>
      </w:tr>
    </w:tbl>
    <w:bookmarkEnd w:id="32"/>
    <w:bookmarkEnd w:id="33"/>
    <w:bookmarkEnd w:id="34"/>
    <w:p w14:paraId="5235D4FA" w14:textId="7120F909" w:rsidR="0024485F" w:rsidRPr="00D3471D" w:rsidRDefault="0024485F">
      <w:pPr>
        <w:pStyle w:val="GSOdstavec"/>
      </w:pPr>
      <w:r w:rsidRPr="00D3471D">
        <w:t xml:space="preserve">Příprava testovacích scénářů bude realizována v rámci bodu </w:t>
      </w:r>
      <w:r w:rsidRPr="00D3471D">
        <w:fldChar w:fldCharType="begin"/>
      </w:r>
      <w:r w:rsidRPr="00D3471D">
        <w:instrText xml:space="preserve"> REF _Ref520963072 \r \h </w:instrText>
      </w:r>
      <w:r w:rsidR="00C22A86" w:rsidRPr="00D3471D">
        <w:instrText xml:space="preserve"> \* MERGEFORMAT </w:instrText>
      </w:r>
      <w:r w:rsidRPr="00D3471D">
        <w:fldChar w:fldCharType="separate"/>
      </w:r>
      <w:r w:rsidR="00B3394C">
        <w:t>2.1.9</w:t>
      </w:r>
      <w:r w:rsidRPr="00D3471D">
        <w:fldChar w:fldCharType="end"/>
      </w:r>
      <w:r w:rsidR="006E4B9C">
        <w:t>.</w:t>
      </w:r>
    </w:p>
    <w:p w14:paraId="181F3016" w14:textId="54168CE9" w:rsidR="00894F03" w:rsidRPr="00D3471D" w:rsidRDefault="00894F03" w:rsidP="00894F03">
      <w:pPr>
        <w:pStyle w:val="GSOdstavec"/>
      </w:pPr>
      <w:r w:rsidRPr="00D3471D">
        <w:t>Bezpečnostní dokumentace bude vytvořena a dodána v rámci samostatného bodu plnění.</w:t>
      </w:r>
    </w:p>
    <w:p w14:paraId="10D07556" w14:textId="437FD357" w:rsidR="00E921DD" w:rsidRPr="003871B3" w:rsidRDefault="00E921DD" w:rsidP="00894F03">
      <w:pPr>
        <w:pStyle w:val="GSNadpis3"/>
      </w:pPr>
      <w:bookmarkStart w:id="35" w:name="_Ref520963098"/>
      <w:bookmarkStart w:id="36" w:name="_Toc522884705"/>
      <w:r w:rsidRPr="003871B3">
        <w:t>Exitové práce</w:t>
      </w:r>
      <w:bookmarkEnd w:id="35"/>
      <w:bookmarkEnd w:id="36"/>
    </w:p>
    <w:p w14:paraId="40352FD5" w14:textId="27E7EFCD" w:rsidR="00634094" w:rsidRPr="003871B3" w:rsidRDefault="00AE01BB" w:rsidP="00C22A86">
      <w:pPr>
        <w:pStyle w:val="GSOdstavec"/>
        <w:rPr>
          <w:rFonts w:eastAsia="Times New Roman" w:cs="Arial"/>
          <w:color w:val="000000"/>
          <w:szCs w:val="22"/>
          <w:lang w:eastAsia="cs-CZ"/>
        </w:rPr>
      </w:pPr>
      <w:r w:rsidRPr="003871B3">
        <w:rPr>
          <w:rFonts w:eastAsia="Times New Roman" w:cs="Arial"/>
          <w:color w:val="000000"/>
          <w:szCs w:val="22"/>
          <w:lang w:eastAsia="cs-CZ"/>
        </w:rPr>
        <w:t>Dodavatel</w:t>
      </w:r>
      <w:r w:rsidR="00AA52B3" w:rsidRPr="003871B3">
        <w:rPr>
          <w:rFonts w:eastAsia="Times New Roman" w:cs="Arial"/>
          <w:color w:val="000000"/>
          <w:szCs w:val="22"/>
          <w:lang w:eastAsia="cs-CZ"/>
        </w:rPr>
        <w:t xml:space="preserve"> v rámci plnění splní požadavky </w:t>
      </w:r>
      <w:r w:rsidR="004E7AF7" w:rsidRPr="003871B3">
        <w:rPr>
          <w:rFonts w:eastAsia="Times New Roman" w:cs="Arial"/>
          <w:color w:val="000000"/>
          <w:szCs w:val="22"/>
          <w:lang w:eastAsia="cs-CZ"/>
        </w:rPr>
        <w:t>Objednatele uvedené v následující tabulce</w:t>
      </w:r>
      <w:r w:rsidR="00AA52B3" w:rsidRPr="003871B3">
        <w:rPr>
          <w:rFonts w:eastAsia="Times New Roman" w:cs="Arial"/>
          <w:color w:val="000000"/>
          <w:szCs w:val="22"/>
          <w:lang w:eastAsia="cs-CZ"/>
        </w:rPr>
        <w:t>:</w:t>
      </w:r>
    </w:p>
    <w:p w14:paraId="72075320" w14:textId="1C991118" w:rsidR="00ED2D73" w:rsidRPr="003871B3" w:rsidRDefault="00ED2D73" w:rsidP="002F5595">
      <w:pPr>
        <w:spacing w:line="240" w:lineRule="auto"/>
        <w:rPr>
          <w:rFonts w:ascii="Arial" w:eastAsia="Times New Roman" w:hAnsi="Arial" w:cs="Arial"/>
          <w:color w:val="000000"/>
          <w:sz w:val="22"/>
          <w:szCs w:val="22"/>
          <w:lang w:eastAsia="cs-CZ"/>
        </w:rPr>
      </w:pPr>
    </w:p>
    <w:tbl>
      <w:tblPr>
        <w:tblStyle w:val="TableGrid"/>
        <w:tblW w:w="9067" w:type="dxa"/>
        <w:tblLook w:val="04A0" w:firstRow="1" w:lastRow="0" w:firstColumn="1" w:lastColumn="0" w:noHBand="0" w:noVBand="1"/>
      </w:tblPr>
      <w:tblGrid>
        <w:gridCol w:w="1271"/>
        <w:gridCol w:w="7796"/>
      </w:tblGrid>
      <w:tr w:rsidR="00254CEF" w:rsidRPr="003871B3" w14:paraId="5873BDFC" w14:textId="77777777" w:rsidTr="00254CEF">
        <w:tc>
          <w:tcPr>
            <w:tcW w:w="1271" w:type="dxa"/>
          </w:tcPr>
          <w:p w14:paraId="7F84F46C" w14:textId="72F6B9E3" w:rsidR="00254CEF" w:rsidRPr="003871B3" w:rsidRDefault="00254CEF" w:rsidP="00D3471D">
            <w:pPr>
              <w:pStyle w:val="GSOdstavec"/>
              <w:rPr>
                <w:rFonts w:eastAsia="Times New Roman" w:cs="Arial"/>
                <w:color w:val="000000"/>
                <w:szCs w:val="22"/>
                <w:lang w:eastAsia="cs-CZ"/>
              </w:rPr>
            </w:pPr>
            <w:r w:rsidRPr="00D3471D">
              <w:rPr>
                <w:rFonts w:cs="Arial"/>
                <w:szCs w:val="22"/>
              </w:rPr>
              <w:t>EX001</w:t>
            </w:r>
          </w:p>
        </w:tc>
        <w:tc>
          <w:tcPr>
            <w:tcW w:w="7796" w:type="dxa"/>
          </w:tcPr>
          <w:p w14:paraId="49BCAD90" w14:textId="77777777" w:rsidR="00254CEF" w:rsidRPr="003871B3" w:rsidRDefault="00254CEF" w:rsidP="00D3471D">
            <w:pPr>
              <w:pStyle w:val="GSOdstavec"/>
              <w:rPr>
                <w:rFonts w:cs="Arial"/>
                <w:szCs w:val="22"/>
              </w:rPr>
            </w:pPr>
            <w:r w:rsidRPr="003871B3">
              <w:rPr>
                <w:rFonts w:cs="Arial"/>
                <w:szCs w:val="22"/>
              </w:rPr>
              <w:t>Dodavatel dodá dokument s analýzou ukončení provozu, která bude zahrnovat způsob ukončení či přechodu systému, analýzu rizik, jejich zhodnocení a návrh jejich eliminace, harmonogram činností ukončení či přechodu systému.</w:t>
            </w:r>
          </w:p>
          <w:p w14:paraId="2AA1C427" w14:textId="01D9CB9C" w:rsidR="00254CEF" w:rsidRPr="00A30E6C" w:rsidRDefault="00254CEF" w:rsidP="00D3471D">
            <w:pPr>
              <w:pStyle w:val="GSOdstavec"/>
              <w:rPr>
                <w:rFonts w:cs="Arial"/>
                <w:szCs w:val="22"/>
              </w:rPr>
            </w:pPr>
            <w:r w:rsidRPr="00A30E6C">
              <w:rPr>
                <w:rFonts w:cs="Arial"/>
                <w:szCs w:val="22"/>
              </w:rPr>
              <w:t>Součinnost MPSV: Zajištění pracovníka pro konzultace související s ukončením provozu nebo přechodem.</w:t>
            </w:r>
          </w:p>
        </w:tc>
      </w:tr>
      <w:tr w:rsidR="00254CEF" w:rsidRPr="003871B3" w14:paraId="1E78D1A8" w14:textId="77777777" w:rsidTr="00254CEF">
        <w:tc>
          <w:tcPr>
            <w:tcW w:w="1271" w:type="dxa"/>
          </w:tcPr>
          <w:p w14:paraId="6B4C5D50" w14:textId="4834621B" w:rsidR="00254CEF" w:rsidRPr="003871B3" w:rsidRDefault="00254CEF" w:rsidP="00D3471D">
            <w:pPr>
              <w:pStyle w:val="GSOdstavec"/>
              <w:rPr>
                <w:rFonts w:eastAsia="Times New Roman" w:cs="Arial"/>
                <w:color w:val="000000"/>
                <w:szCs w:val="22"/>
                <w:lang w:eastAsia="cs-CZ"/>
              </w:rPr>
            </w:pPr>
            <w:r w:rsidRPr="00D3471D">
              <w:rPr>
                <w:rFonts w:cs="Arial"/>
                <w:szCs w:val="22"/>
              </w:rPr>
              <w:t>EX002</w:t>
            </w:r>
          </w:p>
        </w:tc>
        <w:tc>
          <w:tcPr>
            <w:tcW w:w="7796" w:type="dxa"/>
          </w:tcPr>
          <w:p w14:paraId="50E262AC" w14:textId="46909C7A" w:rsidR="00254CEF" w:rsidRPr="003871B3" w:rsidRDefault="00254CEF" w:rsidP="00D3471D">
            <w:pPr>
              <w:pStyle w:val="GSOdstavec"/>
              <w:rPr>
                <w:rFonts w:cs="Arial"/>
                <w:szCs w:val="22"/>
              </w:rPr>
            </w:pPr>
            <w:r w:rsidRPr="00D3471D">
              <w:rPr>
                <w:rFonts w:cs="Arial"/>
                <w:szCs w:val="22"/>
              </w:rPr>
              <w:t>Dodavatel</w:t>
            </w:r>
            <w:r w:rsidRPr="003871B3">
              <w:rPr>
                <w:rFonts w:cs="Arial"/>
                <w:szCs w:val="22"/>
              </w:rPr>
              <w:t xml:space="preserve"> zpracuje plán zakonzervování Systému, který bude obsahovat popis způsobu zakonzervování Systému do podoby předatelné </w:t>
            </w:r>
            <w:r w:rsidR="00262235">
              <w:rPr>
                <w:rFonts w:cs="Arial"/>
                <w:szCs w:val="22"/>
              </w:rPr>
              <w:t>Objednatel</w:t>
            </w:r>
            <w:r w:rsidRPr="003871B3">
              <w:rPr>
                <w:rFonts w:cs="Arial"/>
                <w:szCs w:val="22"/>
              </w:rPr>
              <w:t>i a způsob obnovení (oživení) Systému ze zakonzervované podoby do funkčního stavu. Dále na základě plánu popíše test obnovy systému. Ten protokolárně ověří.</w:t>
            </w:r>
          </w:p>
          <w:p w14:paraId="6BA4AE10" w14:textId="286B18A9" w:rsidR="00254CEF" w:rsidRPr="00D3471D" w:rsidRDefault="00254CEF" w:rsidP="00D3471D">
            <w:pPr>
              <w:pStyle w:val="GSOdstavec"/>
              <w:rPr>
                <w:rFonts w:cs="Arial"/>
                <w:szCs w:val="22"/>
              </w:rPr>
            </w:pPr>
            <w:r w:rsidRPr="00A30E6C">
              <w:rPr>
                <w:rFonts w:cs="Arial"/>
                <w:szCs w:val="22"/>
              </w:rPr>
              <w:t>Součinnost MPSV: Poskytnutí technických prostředků pro provedení zakonzervování dle Plánu a týmu pro společné provedení testu obnovy systému.</w:t>
            </w:r>
          </w:p>
        </w:tc>
      </w:tr>
      <w:tr w:rsidR="00254CEF" w:rsidRPr="003871B3" w14:paraId="41770823" w14:textId="77777777" w:rsidTr="00254CEF">
        <w:tc>
          <w:tcPr>
            <w:tcW w:w="1271" w:type="dxa"/>
          </w:tcPr>
          <w:p w14:paraId="1156EF7A" w14:textId="1B78D963" w:rsidR="00254CEF" w:rsidRPr="00D3471D" w:rsidRDefault="00254CEF" w:rsidP="00D3471D">
            <w:pPr>
              <w:pStyle w:val="GSOdstavec"/>
              <w:rPr>
                <w:rFonts w:cs="Arial"/>
                <w:szCs w:val="22"/>
              </w:rPr>
            </w:pPr>
            <w:r w:rsidRPr="00D3471D">
              <w:rPr>
                <w:rFonts w:cs="Arial"/>
                <w:szCs w:val="22"/>
              </w:rPr>
              <w:t>EX003</w:t>
            </w:r>
          </w:p>
        </w:tc>
        <w:tc>
          <w:tcPr>
            <w:tcW w:w="7796" w:type="dxa"/>
          </w:tcPr>
          <w:p w14:paraId="4F2DE559" w14:textId="34CFDB1F" w:rsidR="00254CEF" w:rsidRPr="003871B3" w:rsidRDefault="00254CEF" w:rsidP="0013605D">
            <w:pPr>
              <w:pStyle w:val="GSOdstavec"/>
              <w:rPr>
                <w:rFonts w:eastAsia="Times New Roman" w:cs="Arial"/>
                <w:color w:val="000000"/>
                <w:szCs w:val="22"/>
                <w:lang w:eastAsia="cs-CZ"/>
              </w:rPr>
            </w:pPr>
            <w:r w:rsidRPr="008A6111">
              <w:rPr>
                <w:rFonts w:eastAsia="Times New Roman" w:cs="Arial"/>
                <w:color w:val="000000"/>
                <w:szCs w:val="22"/>
                <w:lang w:eastAsia="cs-CZ"/>
              </w:rPr>
              <w:t xml:space="preserve">Dodavatel předá protokolárně </w:t>
            </w:r>
            <w:r w:rsidR="00262235">
              <w:rPr>
                <w:rFonts w:eastAsia="Times New Roman" w:cs="Arial"/>
                <w:color w:val="000000"/>
                <w:szCs w:val="22"/>
                <w:lang w:eastAsia="cs-CZ"/>
              </w:rPr>
              <w:t>Objednatel</w:t>
            </w:r>
            <w:r w:rsidRPr="008A6111">
              <w:rPr>
                <w:rFonts w:eastAsia="Times New Roman" w:cs="Arial"/>
                <w:color w:val="000000"/>
                <w:szCs w:val="22"/>
                <w:lang w:eastAsia="cs-CZ"/>
              </w:rPr>
              <w:t>i veškeré provozované DB včetně jejich dat nejdéle do 14 dní od ukončení plnění Dodavatele.</w:t>
            </w:r>
          </w:p>
        </w:tc>
      </w:tr>
      <w:tr w:rsidR="00254CEF" w:rsidRPr="003871B3" w14:paraId="7CC80A5D" w14:textId="77777777" w:rsidTr="00254CEF">
        <w:tc>
          <w:tcPr>
            <w:tcW w:w="1271" w:type="dxa"/>
          </w:tcPr>
          <w:p w14:paraId="1C0FE94F" w14:textId="791AB921" w:rsidR="00254CEF" w:rsidRPr="00D3471D" w:rsidRDefault="00254CEF" w:rsidP="00D3471D">
            <w:pPr>
              <w:pStyle w:val="GSOdstavec"/>
              <w:rPr>
                <w:rFonts w:cs="Arial"/>
                <w:szCs w:val="22"/>
              </w:rPr>
            </w:pPr>
            <w:r w:rsidRPr="00D3471D">
              <w:rPr>
                <w:rFonts w:cs="Arial"/>
                <w:szCs w:val="22"/>
              </w:rPr>
              <w:t>EX004</w:t>
            </w:r>
          </w:p>
        </w:tc>
        <w:tc>
          <w:tcPr>
            <w:tcW w:w="7796" w:type="dxa"/>
          </w:tcPr>
          <w:p w14:paraId="297635EC" w14:textId="25161632" w:rsidR="00254CEF" w:rsidRPr="003871B3" w:rsidRDefault="00254CEF" w:rsidP="0013605D">
            <w:pPr>
              <w:pStyle w:val="GSOdstavec"/>
              <w:rPr>
                <w:rFonts w:cs="Arial"/>
                <w:szCs w:val="22"/>
              </w:rPr>
            </w:pPr>
            <w:r w:rsidRPr="003871B3">
              <w:rPr>
                <w:rFonts w:eastAsia="Times New Roman" w:cs="Arial"/>
                <w:color w:val="000000"/>
                <w:szCs w:val="22"/>
                <w:lang w:eastAsia="cs-CZ"/>
              </w:rPr>
              <w:t>Dodavatel</w:t>
            </w:r>
            <w:r w:rsidRPr="003871B3">
              <w:rPr>
                <w:rFonts w:cs="Arial"/>
                <w:szCs w:val="22"/>
              </w:rPr>
              <w:t xml:space="preserve"> poskytne služby konzultací ve vztahu k ukončení provozu či přechodu na nový systém do maximálního rozsahu 50 člověkodní. Konzultace budou poskytovány na písemné vyžádání </w:t>
            </w:r>
            <w:r w:rsidR="00262235">
              <w:rPr>
                <w:rFonts w:cs="Arial"/>
                <w:szCs w:val="22"/>
              </w:rPr>
              <w:t>Objednatel</w:t>
            </w:r>
            <w:r w:rsidRPr="003871B3">
              <w:rPr>
                <w:rFonts w:cs="Arial"/>
                <w:szCs w:val="22"/>
              </w:rPr>
              <w:t>e.</w:t>
            </w:r>
          </w:p>
        </w:tc>
      </w:tr>
      <w:tr w:rsidR="00254CEF" w:rsidRPr="003871B3" w14:paraId="7401A397" w14:textId="77777777" w:rsidTr="00254CEF">
        <w:tc>
          <w:tcPr>
            <w:tcW w:w="1271" w:type="dxa"/>
          </w:tcPr>
          <w:p w14:paraId="7B12F0B7" w14:textId="3C951C4A" w:rsidR="00254CEF" w:rsidRPr="00D3471D" w:rsidRDefault="00254CEF" w:rsidP="00D3471D">
            <w:pPr>
              <w:pStyle w:val="GSOdstavec"/>
              <w:rPr>
                <w:rFonts w:cs="Arial"/>
                <w:szCs w:val="22"/>
              </w:rPr>
            </w:pPr>
            <w:r w:rsidRPr="00D3471D">
              <w:rPr>
                <w:rFonts w:cs="Arial"/>
                <w:szCs w:val="22"/>
              </w:rPr>
              <w:t>EX005</w:t>
            </w:r>
          </w:p>
        </w:tc>
        <w:tc>
          <w:tcPr>
            <w:tcW w:w="7796" w:type="dxa"/>
          </w:tcPr>
          <w:p w14:paraId="20A98947" w14:textId="49A97D7B" w:rsidR="00254CEF" w:rsidRPr="00D3471D" w:rsidRDefault="00254CEF" w:rsidP="00ED2D73">
            <w:pPr>
              <w:pStyle w:val="GSOdstavec"/>
              <w:rPr>
                <w:rFonts w:cs="Arial"/>
                <w:szCs w:val="22"/>
              </w:rPr>
            </w:pPr>
            <w:r w:rsidRPr="00D3471D">
              <w:rPr>
                <w:rFonts w:cs="Arial"/>
                <w:szCs w:val="22"/>
              </w:rPr>
              <w:t xml:space="preserve">Dodavatel je povinen na základě písemného pokynu </w:t>
            </w:r>
            <w:r w:rsidR="00262235" w:rsidRPr="00D3471D">
              <w:rPr>
                <w:rFonts w:cs="Arial"/>
                <w:szCs w:val="22"/>
              </w:rPr>
              <w:t>Objednatel</w:t>
            </w:r>
            <w:r w:rsidRPr="00D3471D">
              <w:rPr>
                <w:rFonts w:cs="Arial"/>
                <w:szCs w:val="22"/>
              </w:rPr>
              <w:t xml:space="preserve">e provést případné další činnosti vyplývající z potřeb </w:t>
            </w:r>
            <w:r w:rsidR="00262235" w:rsidRPr="00D3471D">
              <w:rPr>
                <w:rFonts w:cs="Arial"/>
                <w:szCs w:val="22"/>
              </w:rPr>
              <w:t>Objednatel</w:t>
            </w:r>
            <w:r w:rsidRPr="00D3471D">
              <w:rPr>
                <w:rFonts w:cs="Arial"/>
                <w:szCs w:val="22"/>
              </w:rPr>
              <w:t>e při ukončení plnění Dodavatele v rozsahu nepřevyšujícím 20 člověkodní práce.</w:t>
            </w:r>
          </w:p>
        </w:tc>
      </w:tr>
      <w:tr w:rsidR="00254CEF" w:rsidRPr="003871B3" w14:paraId="2963F171" w14:textId="77777777" w:rsidTr="00254CEF">
        <w:tc>
          <w:tcPr>
            <w:tcW w:w="1271" w:type="dxa"/>
          </w:tcPr>
          <w:p w14:paraId="35C93DC1" w14:textId="2340D383" w:rsidR="00254CEF" w:rsidRPr="00D3471D" w:rsidRDefault="00254CEF" w:rsidP="00D3471D">
            <w:pPr>
              <w:pStyle w:val="GSOdstavec"/>
              <w:rPr>
                <w:rFonts w:cs="Arial"/>
                <w:szCs w:val="22"/>
              </w:rPr>
            </w:pPr>
            <w:r w:rsidRPr="00D3471D">
              <w:rPr>
                <w:rFonts w:cs="Arial"/>
                <w:szCs w:val="22"/>
              </w:rPr>
              <w:t>EX006</w:t>
            </w:r>
          </w:p>
        </w:tc>
        <w:tc>
          <w:tcPr>
            <w:tcW w:w="7796" w:type="dxa"/>
          </w:tcPr>
          <w:p w14:paraId="0452D6FB" w14:textId="531D23C6" w:rsidR="00254CEF" w:rsidRPr="00D3471D" w:rsidRDefault="00254CEF" w:rsidP="00ED2D73">
            <w:pPr>
              <w:pStyle w:val="GSOdstavec"/>
              <w:rPr>
                <w:rFonts w:cs="Arial"/>
                <w:szCs w:val="22"/>
              </w:rPr>
            </w:pPr>
            <w:r w:rsidRPr="00D3471D">
              <w:rPr>
                <w:rFonts w:cs="Arial"/>
                <w:szCs w:val="22"/>
              </w:rPr>
              <w:t xml:space="preserve">Dodavatel je povinen předat </w:t>
            </w:r>
            <w:r w:rsidR="00262235" w:rsidRPr="00D3471D">
              <w:rPr>
                <w:rFonts w:cs="Arial"/>
                <w:szCs w:val="22"/>
              </w:rPr>
              <w:t>Objednatel</w:t>
            </w:r>
            <w:r w:rsidRPr="00D3471D">
              <w:rPr>
                <w:rFonts w:cs="Arial"/>
                <w:szCs w:val="22"/>
              </w:rPr>
              <w:t xml:space="preserve">i kompletní a aktualizovanou dokumentaci v elektronické podobě, kterou vytvořil v rámci svého plnění. Dokumentace musí odrážet stav systému a poskytovaných služeb k termínu ukončení plnění. Dokumentace bude předána ve lhůtě písemně stanovené </w:t>
            </w:r>
            <w:r w:rsidR="00262235" w:rsidRPr="00D3471D">
              <w:rPr>
                <w:rFonts w:cs="Arial"/>
                <w:szCs w:val="22"/>
              </w:rPr>
              <w:t>Objednatel</w:t>
            </w:r>
            <w:r w:rsidRPr="00D3471D">
              <w:rPr>
                <w:rFonts w:cs="Arial"/>
                <w:szCs w:val="22"/>
              </w:rPr>
              <w:t>em, nejpozději však k datu ukončení plnění Dodavatele.</w:t>
            </w:r>
          </w:p>
        </w:tc>
      </w:tr>
      <w:tr w:rsidR="00254CEF" w:rsidRPr="003871B3" w14:paraId="53735EE3" w14:textId="77777777" w:rsidTr="00254CEF">
        <w:tc>
          <w:tcPr>
            <w:tcW w:w="1271" w:type="dxa"/>
          </w:tcPr>
          <w:p w14:paraId="0D512F1A" w14:textId="03FF91F1" w:rsidR="00254CEF" w:rsidRPr="00D3471D" w:rsidRDefault="00254CEF" w:rsidP="00D3471D">
            <w:pPr>
              <w:pStyle w:val="GSOdstavec"/>
              <w:rPr>
                <w:rFonts w:cs="Arial"/>
                <w:szCs w:val="22"/>
              </w:rPr>
            </w:pPr>
            <w:r w:rsidRPr="00D3471D">
              <w:rPr>
                <w:rFonts w:cs="Arial"/>
                <w:szCs w:val="22"/>
              </w:rPr>
              <w:t>EX007</w:t>
            </w:r>
          </w:p>
        </w:tc>
        <w:tc>
          <w:tcPr>
            <w:tcW w:w="7796" w:type="dxa"/>
          </w:tcPr>
          <w:p w14:paraId="7E88B5CF" w14:textId="14B64F3D" w:rsidR="00254CEF" w:rsidRPr="00D3471D" w:rsidRDefault="00254CEF" w:rsidP="00ED2D73">
            <w:pPr>
              <w:pStyle w:val="GSOdstavec"/>
              <w:rPr>
                <w:rFonts w:cs="Arial"/>
                <w:szCs w:val="22"/>
              </w:rPr>
            </w:pPr>
            <w:r w:rsidRPr="00D3471D">
              <w:rPr>
                <w:rFonts w:cs="Arial"/>
                <w:szCs w:val="22"/>
              </w:rPr>
              <w:t xml:space="preserve">Dodavatel předá </w:t>
            </w:r>
            <w:r w:rsidR="00262235" w:rsidRPr="00D3471D">
              <w:rPr>
                <w:rFonts w:cs="Arial"/>
                <w:szCs w:val="22"/>
              </w:rPr>
              <w:t>Objednatel</w:t>
            </w:r>
            <w:r w:rsidRPr="00D3471D">
              <w:rPr>
                <w:rFonts w:cs="Arial"/>
                <w:szCs w:val="22"/>
              </w:rPr>
              <w:t xml:space="preserve">i všechna hesla, šifrovací klíče, certifikáty a další autentizační prostředky, které </w:t>
            </w:r>
            <w:r w:rsidR="00262235" w:rsidRPr="00D3471D">
              <w:rPr>
                <w:rFonts w:cs="Arial"/>
                <w:szCs w:val="22"/>
              </w:rPr>
              <w:t>Objednatel</w:t>
            </w:r>
            <w:r w:rsidRPr="00D3471D">
              <w:rPr>
                <w:rFonts w:cs="Arial"/>
                <w:szCs w:val="22"/>
              </w:rPr>
              <w:t xml:space="preserve">i umožní administrátorský přístup k veškerým datům, databázím, serverům a součástem systému, případně k dalším technickým prostředkům využívaným Dodavatelem pro potřeby plnění jeho služeb, a to ve lhůtě písemně stanovené </w:t>
            </w:r>
            <w:r w:rsidR="00262235" w:rsidRPr="00D3471D">
              <w:rPr>
                <w:rFonts w:cs="Arial"/>
                <w:szCs w:val="22"/>
              </w:rPr>
              <w:t>Objednatel</w:t>
            </w:r>
            <w:r w:rsidRPr="00D3471D">
              <w:rPr>
                <w:rFonts w:cs="Arial"/>
                <w:szCs w:val="22"/>
              </w:rPr>
              <w:t>em, nejpozději však k datu ukončení plnění Dodavatele.</w:t>
            </w:r>
          </w:p>
        </w:tc>
      </w:tr>
      <w:tr w:rsidR="00254CEF" w:rsidRPr="003871B3" w14:paraId="5373AB88" w14:textId="77777777" w:rsidTr="00254CEF">
        <w:tc>
          <w:tcPr>
            <w:tcW w:w="1271" w:type="dxa"/>
          </w:tcPr>
          <w:p w14:paraId="09E425B8" w14:textId="6E2C1FAF" w:rsidR="00254CEF" w:rsidRPr="00D3471D" w:rsidRDefault="00254CEF" w:rsidP="00D3471D">
            <w:pPr>
              <w:pStyle w:val="GSOdstavec"/>
              <w:rPr>
                <w:rFonts w:cs="Arial"/>
                <w:szCs w:val="22"/>
              </w:rPr>
            </w:pPr>
            <w:r w:rsidRPr="00D3471D">
              <w:rPr>
                <w:rFonts w:cs="Arial"/>
                <w:szCs w:val="22"/>
              </w:rPr>
              <w:t>EX008</w:t>
            </w:r>
          </w:p>
        </w:tc>
        <w:tc>
          <w:tcPr>
            <w:tcW w:w="7796" w:type="dxa"/>
          </w:tcPr>
          <w:p w14:paraId="1087AB7C" w14:textId="7B9AEAB6" w:rsidR="00254CEF" w:rsidRPr="00D3471D" w:rsidRDefault="00254CEF" w:rsidP="00ED2D73">
            <w:pPr>
              <w:pStyle w:val="GSOdstavec"/>
              <w:rPr>
                <w:rFonts w:cs="Arial"/>
                <w:szCs w:val="22"/>
              </w:rPr>
            </w:pPr>
            <w:r w:rsidRPr="00D3471D">
              <w:rPr>
                <w:rFonts w:cs="Arial"/>
                <w:szCs w:val="22"/>
              </w:rPr>
              <w:t xml:space="preserve">Dodavatel předá </w:t>
            </w:r>
            <w:r w:rsidR="00262235" w:rsidRPr="00D3471D">
              <w:rPr>
                <w:rFonts w:cs="Arial"/>
                <w:szCs w:val="22"/>
              </w:rPr>
              <w:t>Objednatel</w:t>
            </w:r>
            <w:r w:rsidRPr="00D3471D">
              <w:rPr>
                <w:rFonts w:cs="Arial"/>
                <w:szCs w:val="22"/>
              </w:rPr>
              <w:t xml:space="preserve">i všechny konfigurační soubory potřebné pro provoz aplikace ve lhůtě písemně stanovené </w:t>
            </w:r>
            <w:r w:rsidR="00262235" w:rsidRPr="00D3471D">
              <w:rPr>
                <w:rFonts w:cs="Arial"/>
                <w:szCs w:val="22"/>
              </w:rPr>
              <w:t>Objednatel</w:t>
            </w:r>
            <w:r w:rsidRPr="00D3471D">
              <w:rPr>
                <w:rFonts w:cs="Arial"/>
                <w:szCs w:val="22"/>
              </w:rPr>
              <w:t>em, nejpozději však k datu ukončení plnění Dodavatele.</w:t>
            </w:r>
          </w:p>
        </w:tc>
      </w:tr>
      <w:tr w:rsidR="00254CEF" w:rsidRPr="003871B3" w14:paraId="1593C90C" w14:textId="77777777" w:rsidTr="00254CEF">
        <w:tc>
          <w:tcPr>
            <w:tcW w:w="1271" w:type="dxa"/>
          </w:tcPr>
          <w:p w14:paraId="016C7386" w14:textId="711AE828" w:rsidR="00254CEF" w:rsidRPr="00D3471D" w:rsidRDefault="00254CEF" w:rsidP="00D3471D">
            <w:pPr>
              <w:pStyle w:val="GSOdstavec"/>
              <w:rPr>
                <w:rFonts w:cs="Arial"/>
                <w:szCs w:val="22"/>
              </w:rPr>
            </w:pPr>
            <w:r w:rsidRPr="00D3471D">
              <w:rPr>
                <w:rFonts w:cs="Arial"/>
                <w:szCs w:val="22"/>
              </w:rPr>
              <w:t>EX009</w:t>
            </w:r>
          </w:p>
        </w:tc>
        <w:tc>
          <w:tcPr>
            <w:tcW w:w="7796" w:type="dxa"/>
          </w:tcPr>
          <w:p w14:paraId="3898972C" w14:textId="6C0BF2B6" w:rsidR="00254CEF" w:rsidRPr="00D3471D" w:rsidRDefault="00254CEF" w:rsidP="00ED2D73">
            <w:pPr>
              <w:pStyle w:val="GSOdstavec"/>
              <w:rPr>
                <w:rFonts w:cs="Arial"/>
                <w:szCs w:val="22"/>
              </w:rPr>
            </w:pPr>
            <w:r w:rsidRPr="00D3471D">
              <w:rPr>
                <w:rFonts w:cs="Arial"/>
                <w:szCs w:val="22"/>
              </w:rPr>
              <w:t xml:space="preserve">Dodavatel je povinen protokolárně vymazat nebo jinak zlikvidovat veškerá jemu dostupná provozní data či uživatelské údaje </w:t>
            </w:r>
            <w:r w:rsidR="00262235" w:rsidRPr="00D3471D">
              <w:rPr>
                <w:rFonts w:cs="Arial"/>
                <w:szCs w:val="22"/>
              </w:rPr>
              <w:t>Objednatel</w:t>
            </w:r>
            <w:r w:rsidRPr="00D3471D">
              <w:rPr>
                <w:rFonts w:cs="Arial"/>
                <w:szCs w:val="22"/>
              </w:rPr>
              <w:t xml:space="preserve">e, které mu byly zpřístupněny a to dle pokynů a ve lhůtách písemně stanovených </w:t>
            </w:r>
            <w:r w:rsidR="00262235" w:rsidRPr="00D3471D">
              <w:rPr>
                <w:rFonts w:cs="Arial"/>
                <w:szCs w:val="22"/>
              </w:rPr>
              <w:t>Objednatel</w:t>
            </w:r>
            <w:r w:rsidRPr="00D3471D">
              <w:rPr>
                <w:rFonts w:cs="Arial"/>
                <w:szCs w:val="22"/>
              </w:rPr>
              <w:t xml:space="preserve">em. Dodavatel takto protokolárně zlikviduje data či údaje, které by byli uloženy na prostředcích Dodavatele. Data a údaje na prostředcích </w:t>
            </w:r>
            <w:r w:rsidR="00262235" w:rsidRPr="00D3471D">
              <w:rPr>
                <w:rFonts w:cs="Arial"/>
                <w:szCs w:val="22"/>
              </w:rPr>
              <w:t>Objednatel</w:t>
            </w:r>
            <w:r w:rsidRPr="00D3471D">
              <w:rPr>
                <w:rFonts w:cs="Arial"/>
                <w:szCs w:val="22"/>
              </w:rPr>
              <w:t xml:space="preserve">e budou zachovány pro potřeby </w:t>
            </w:r>
            <w:r w:rsidR="00262235" w:rsidRPr="00D3471D">
              <w:rPr>
                <w:rFonts w:cs="Arial"/>
                <w:szCs w:val="22"/>
              </w:rPr>
              <w:t>Objednatel</w:t>
            </w:r>
            <w:r w:rsidRPr="00D3471D">
              <w:rPr>
                <w:rFonts w:cs="Arial"/>
                <w:szCs w:val="22"/>
              </w:rPr>
              <w:t>e.</w:t>
            </w:r>
          </w:p>
        </w:tc>
      </w:tr>
      <w:tr w:rsidR="00254CEF" w:rsidRPr="003871B3" w14:paraId="43FC5F6F" w14:textId="77777777" w:rsidTr="00254CEF">
        <w:tc>
          <w:tcPr>
            <w:tcW w:w="1271" w:type="dxa"/>
          </w:tcPr>
          <w:p w14:paraId="65582CCD" w14:textId="58CF278F" w:rsidR="00254CEF" w:rsidRPr="00D3471D" w:rsidRDefault="00254CEF" w:rsidP="00D3471D">
            <w:pPr>
              <w:pStyle w:val="GSOdstavec"/>
              <w:rPr>
                <w:rFonts w:cs="Arial"/>
                <w:szCs w:val="22"/>
              </w:rPr>
            </w:pPr>
            <w:r w:rsidRPr="00D3471D">
              <w:rPr>
                <w:rFonts w:cs="Arial"/>
                <w:szCs w:val="22"/>
              </w:rPr>
              <w:t>EX010</w:t>
            </w:r>
          </w:p>
        </w:tc>
        <w:tc>
          <w:tcPr>
            <w:tcW w:w="7796" w:type="dxa"/>
          </w:tcPr>
          <w:p w14:paraId="02BBA46B" w14:textId="230AC683" w:rsidR="00254CEF" w:rsidRPr="00D3471D" w:rsidRDefault="00254CEF" w:rsidP="00ED2D73">
            <w:pPr>
              <w:pStyle w:val="GSOdstavec"/>
              <w:rPr>
                <w:rFonts w:cs="Arial"/>
                <w:szCs w:val="22"/>
              </w:rPr>
            </w:pPr>
            <w:r w:rsidRPr="00D3471D">
              <w:rPr>
                <w:rFonts w:cs="Arial"/>
                <w:szCs w:val="22"/>
              </w:rPr>
              <w:t xml:space="preserve">Dodavatel je povinen po ukončení plnění na výzvu </w:t>
            </w:r>
            <w:r w:rsidR="00262235" w:rsidRPr="00D3471D">
              <w:rPr>
                <w:rFonts w:cs="Arial"/>
                <w:szCs w:val="22"/>
              </w:rPr>
              <w:t>Objednatel</w:t>
            </w:r>
            <w:r w:rsidRPr="00D3471D">
              <w:rPr>
                <w:rFonts w:cs="Arial"/>
                <w:szCs w:val="22"/>
              </w:rPr>
              <w:t xml:space="preserve">e zajistit bezprostředně odvoz všech technických prostředků Dodavatele, které užíval k poskytování služeb a které se nacházejí v prostorách či lokalitách </w:t>
            </w:r>
            <w:r w:rsidR="00262235" w:rsidRPr="00D3471D">
              <w:rPr>
                <w:rFonts w:cs="Arial"/>
                <w:szCs w:val="22"/>
              </w:rPr>
              <w:t>Objednatel</w:t>
            </w:r>
            <w:r w:rsidRPr="00D3471D">
              <w:rPr>
                <w:rFonts w:cs="Arial"/>
                <w:szCs w:val="22"/>
              </w:rPr>
              <w:t>e.</w:t>
            </w:r>
          </w:p>
        </w:tc>
      </w:tr>
    </w:tbl>
    <w:p w14:paraId="1B97B443" w14:textId="77777777" w:rsidR="00ED2D73" w:rsidRPr="00163465" w:rsidRDefault="00ED2D73" w:rsidP="00163465">
      <w:pPr>
        <w:pStyle w:val="GSOdstavec"/>
        <w:rPr>
          <w:rFonts w:eastAsia="Times New Roman" w:cs="Arial"/>
          <w:color w:val="000000"/>
          <w:szCs w:val="22"/>
          <w:lang w:eastAsia="cs-CZ"/>
        </w:rPr>
      </w:pPr>
    </w:p>
    <w:p w14:paraId="28322F52" w14:textId="3B6B59FE" w:rsidR="00E921DD" w:rsidRPr="003871B3" w:rsidRDefault="00E921DD" w:rsidP="00E921DD">
      <w:pPr>
        <w:pStyle w:val="GSNadpis3"/>
      </w:pPr>
      <w:bookmarkStart w:id="37" w:name="_Ref520963102"/>
      <w:bookmarkStart w:id="38" w:name="_Toc522884706"/>
      <w:bookmarkStart w:id="39" w:name="_Hlk521945080"/>
      <w:r w:rsidRPr="003871B3">
        <w:t>Další rozvojové práce</w:t>
      </w:r>
      <w:bookmarkEnd w:id="37"/>
      <w:bookmarkEnd w:id="38"/>
    </w:p>
    <w:p w14:paraId="5235A41E" w14:textId="607CAA45" w:rsidR="009B3947" w:rsidRPr="00C22A86" w:rsidRDefault="00224D0A" w:rsidP="00C22A86">
      <w:pPr>
        <w:pStyle w:val="GSOdstavec"/>
        <w:rPr>
          <w:rFonts w:eastAsia="Times New Roman" w:cs="Arial"/>
          <w:color w:val="000000"/>
          <w:szCs w:val="22"/>
          <w:lang w:eastAsia="cs-CZ"/>
        </w:rPr>
      </w:pPr>
      <w:r w:rsidRPr="00C22A86">
        <w:rPr>
          <w:rFonts w:eastAsia="Times New Roman" w:cs="Arial"/>
          <w:color w:val="000000"/>
          <w:szCs w:val="22"/>
          <w:lang w:eastAsia="cs-CZ"/>
        </w:rPr>
        <w:t xml:space="preserve">Dodavatel poskytne plnění </w:t>
      </w:r>
      <w:r w:rsidR="003A48B1" w:rsidRPr="00C22A86">
        <w:rPr>
          <w:rFonts w:eastAsia="Times New Roman" w:cs="Arial"/>
          <w:color w:val="000000"/>
          <w:szCs w:val="22"/>
          <w:lang w:eastAsia="cs-CZ"/>
        </w:rPr>
        <w:t xml:space="preserve">pro zajištění požadavků </w:t>
      </w:r>
      <w:r w:rsidR="004E7AF7" w:rsidRPr="00C22A86">
        <w:rPr>
          <w:rFonts w:eastAsia="Times New Roman" w:cs="Arial"/>
          <w:color w:val="000000"/>
          <w:szCs w:val="22"/>
          <w:lang w:eastAsia="cs-CZ"/>
        </w:rPr>
        <w:t>Objednatele</w:t>
      </w:r>
      <w:r w:rsidRPr="00C22A86">
        <w:rPr>
          <w:rFonts w:eastAsia="Times New Roman" w:cs="Arial"/>
          <w:color w:val="000000"/>
          <w:szCs w:val="22"/>
          <w:lang w:eastAsia="cs-CZ"/>
        </w:rPr>
        <w:t xml:space="preserve"> v oblasti přípravy migračních dat IS</w:t>
      </w:r>
      <w:r w:rsidR="004E7AF7" w:rsidRPr="00C22A86">
        <w:rPr>
          <w:rFonts w:eastAsia="Times New Roman" w:cs="Arial"/>
          <w:color w:val="000000"/>
          <w:szCs w:val="22"/>
          <w:lang w:eastAsia="cs-CZ"/>
        </w:rPr>
        <w:t> </w:t>
      </w:r>
      <w:r w:rsidRPr="00C22A86">
        <w:rPr>
          <w:rFonts w:eastAsia="Times New Roman" w:cs="Arial"/>
          <w:color w:val="000000"/>
          <w:szCs w:val="22"/>
          <w:lang w:eastAsia="cs-CZ"/>
        </w:rPr>
        <w:t>ZAM případně dalších prioritních oblastí</w:t>
      </w:r>
      <w:r w:rsidR="003A48B1" w:rsidRPr="00C22A86">
        <w:rPr>
          <w:rFonts w:eastAsia="Times New Roman" w:cs="Arial"/>
          <w:color w:val="000000"/>
          <w:szCs w:val="22"/>
          <w:lang w:eastAsia="cs-CZ"/>
        </w:rPr>
        <w:t xml:space="preserve">. </w:t>
      </w:r>
      <w:r w:rsidRPr="00C22A86">
        <w:rPr>
          <w:rFonts w:eastAsia="Times New Roman" w:cs="Arial"/>
          <w:color w:val="000000"/>
          <w:szCs w:val="22"/>
          <w:lang w:eastAsia="cs-CZ"/>
        </w:rPr>
        <w:t>Harmonogram a prioritizace jednotlivých činností bude probíhat průběžně během plnění této části dodávky, a to dle domluvené metodiky.</w:t>
      </w:r>
    </w:p>
    <w:p w14:paraId="29BC0DD5" w14:textId="77777777" w:rsidR="00C22776" w:rsidRPr="00C22A86" w:rsidRDefault="00D25579" w:rsidP="003A48B1">
      <w:pPr>
        <w:pStyle w:val="GSOdstavec"/>
        <w:rPr>
          <w:rFonts w:eastAsia="Times New Roman" w:cs="Arial"/>
          <w:color w:val="000000"/>
          <w:szCs w:val="22"/>
          <w:lang w:eastAsia="cs-CZ"/>
        </w:rPr>
      </w:pPr>
      <w:r w:rsidRPr="00C22A86">
        <w:rPr>
          <w:rFonts w:eastAsia="Times New Roman" w:cs="Arial"/>
          <w:color w:val="000000"/>
          <w:szCs w:val="22"/>
          <w:lang w:eastAsia="cs-CZ"/>
        </w:rPr>
        <w:t xml:space="preserve">Požadavky </w:t>
      </w:r>
      <w:r w:rsidR="00C22776" w:rsidRPr="00C22A86">
        <w:rPr>
          <w:rFonts w:eastAsia="Times New Roman" w:cs="Arial"/>
          <w:color w:val="000000"/>
          <w:szCs w:val="22"/>
          <w:lang w:eastAsia="cs-CZ"/>
        </w:rPr>
        <w:t xml:space="preserve">řešené v rámci této rozvojové práce </w:t>
      </w:r>
      <w:r w:rsidRPr="00C22A86">
        <w:rPr>
          <w:rFonts w:eastAsia="Times New Roman" w:cs="Arial"/>
          <w:color w:val="000000"/>
          <w:szCs w:val="22"/>
          <w:lang w:eastAsia="cs-CZ"/>
        </w:rPr>
        <w:t xml:space="preserve">budou vycházet </w:t>
      </w:r>
    </w:p>
    <w:p w14:paraId="0B800CF1" w14:textId="77777777" w:rsidR="00C22776" w:rsidRPr="003871B3" w:rsidRDefault="00D25579" w:rsidP="00D3471D">
      <w:pPr>
        <w:pStyle w:val="GSOdstavec"/>
        <w:numPr>
          <w:ilvl w:val="0"/>
          <w:numId w:val="31"/>
        </w:numPr>
        <w:spacing w:before="0" w:after="80"/>
        <w:ind w:left="714" w:hanging="357"/>
      </w:pPr>
      <w:r w:rsidRPr="003871B3">
        <w:t xml:space="preserve">z výstupů gap analýzy </w:t>
      </w:r>
    </w:p>
    <w:p w14:paraId="14931583" w14:textId="60FE012D" w:rsidR="00C22776" w:rsidRPr="003871B3" w:rsidRDefault="00D25579" w:rsidP="00D3471D">
      <w:pPr>
        <w:pStyle w:val="GSOdstavec"/>
        <w:numPr>
          <w:ilvl w:val="0"/>
          <w:numId w:val="31"/>
        </w:numPr>
        <w:spacing w:before="0" w:after="80"/>
        <w:ind w:left="714" w:hanging="357"/>
      </w:pPr>
      <w:r w:rsidRPr="003871B3">
        <w:t>z dalších požadavků v této kapitole</w:t>
      </w:r>
      <w:r w:rsidR="00C22776" w:rsidRPr="003871B3">
        <w:t>.</w:t>
      </w:r>
    </w:p>
    <w:p w14:paraId="7128E91D" w14:textId="0B55AB75" w:rsidR="00D25579" w:rsidRPr="00C22A86" w:rsidRDefault="00C22776" w:rsidP="003A48B1">
      <w:pPr>
        <w:pStyle w:val="GSOdstavec"/>
        <w:rPr>
          <w:rFonts w:eastAsia="Times New Roman" w:cs="Arial"/>
          <w:color w:val="000000"/>
          <w:szCs w:val="22"/>
          <w:lang w:eastAsia="cs-CZ"/>
        </w:rPr>
      </w:pPr>
      <w:r w:rsidRPr="00C22A86">
        <w:rPr>
          <w:rFonts w:eastAsia="Times New Roman" w:cs="Arial"/>
          <w:color w:val="000000"/>
          <w:szCs w:val="22"/>
          <w:lang w:eastAsia="cs-CZ"/>
        </w:rPr>
        <w:t xml:space="preserve">Požadavky budou </w:t>
      </w:r>
      <w:r w:rsidR="006527B2" w:rsidRPr="00C22A86">
        <w:rPr>
          <w:rFonts w:eastAsia="Times New Roman" w:cs="Arial"/>
          <w:color w:val="000000"/>
          <w:szCs w:val="22"/>
          <w:lang w:eastAsia="cs-CZ"/>
        </w:rPr>
        <w:t xml:space="preserve">řízeny přes projektový backlog (Mantis) a </w:t>
      </w:r>
      <w:r w:rsidR="004E7AF7" w:rsidRPr="00C22A86">
        <w:rPr>
          <w:rFonts w:eastAsia="Times New Roman" w:cs="Arial"/>
          <w:color w:val="000000"/>
          <w:szCs w:val="22"/>
          <w:lang w:eastAsia="cs-CZ"/>
        </w:rPr>
        <w:t>Objednatel</w:t>
      </w:r>
      <w:r w:rsidR="006527B2" w:rsidRPr="00C22A86">
        <w:rPr>
          <w:rFonts w:eastAsia="Times New Roman" w:cs="Arial"/>
          <w:color w:val="000000"/>
          <w:szCs w:val="22"/>
          <w:lang w:eastAsia="cs-CZ"/>
        </w:rPr>
        <w:t xml:space="preserve"> bude prioritizovat požadavky pro plánování jednotlivých sprintů. V rámci měsíčního reportu bude zahrnut výpis implementovaných požadavků.</w:t>
      </w:r>
    </w:p>
    <w:p w14:paraId="43AC59AE" w14:textId="1388D597" w:rsidR="00B13E5D" w:rsidRPr="00C22A86" w:rsidRDefault="00B13E5D" w:rsidP="00B13E5D">
      <w:pPr>
        <w:pStyle w:val="GSOdstavec"/>
        <w:rPr>
          <w:rFonts w:eastAsia="Times New Roman" w:cs="Arial"/>
          <w:color w:val="000000"/>
          <w:szCs w:val="22"/>
          <w:lang w:eastAsia="cs-CZ"/>
        </w:rPr>
      </w:pPr>
      <w:r w:rsidRPr="00C22A86">
        <w:rPr>
          <w:rFonts w:eastAsia="Times New Roman" w:cs="Arial"/>
          <w:color w:val="000000"/>
          <w:szCs w:val="22"/>
          <w:lang w:eastAsia="cs-CZ"/>
        </w:rPr>
        <w:t xml:space="preserve">Rozsah požadované činnosti v této kapitole bude definován v rámci přípravy náplně jednotlivých bodů do projektového backlogu včetně stanovení předpokládané pracností požadavků. Realizace a akceptace bude schvalována na úrovni řízení projektu </w:t>
      </w:r>
      <w:r w:rsidR="00E05625" w:rsidRPr="00C22A86">
        <w:rPr>
          <w:rFonts w:eastAsia="Times New Roman" w:cs="Arial"/>
          <w:color w:val="000000"/>
          <w:szCs w:val="22"/>
          <w:lang w:eastAsia="cs-CZ"/>
        </w:rPr>
        <w:t xml:space="preserve">v rámci </w:t>
      </w:r>
      <w:r w:rsidRPr="00C22A86">
        <w:rPr>
          <w:rFonts w:eastAsia="Times New Roman" w:cs="Arial"/>
          <w:color w:val="000000"/>
          <w:szCs w:val="22"/>
          <w:lang w:eastAsia="cs-CZ"/>
        </w:rPr>
        <w:t>etap fixního plnění</w:t>
      </w:r>
      <w:r w:rsidR="00E05625" w:rsidRPr="00C22A86">
        <w:rPr>
          <w:rFonts w:eastAsia="Times New Roman" w:cs="Arial"/>
          <w:color w:val="000000"/>
          <w:szCs w:val="22"/>
          <w:lang w:eastAsia="cs-CZ"/>
        </w:rPr>
        <w:t xml:space="preserve">. Celkové plnění podle této kapitoly je </w:t>
      </w:r>
      <w:r w:rsidRPr="00C22A86">
        <w:rPr>
          <w:rFonts w:eastAsia="Times New Roman" w:cs="Arial"/>
          <w:color w:val="000000"/>
          <w:szCs w:val="22"/>
          <w:lang w:eastAsia="cs-CZ"/>
        </w:rPr>
        <w:t>omezeno 30</w:t>
      </w:r>
      <w:r w:rsidR="007933F6">
        <w:rPr>
          <w:rFonts w:eastAsia="Times New Roman" w:cs="Arial"/>
          <w:color w:val="000000"/>
          <w:szCs w:val="22"/>
          <w:lang w:eastAsia="cs-CZ"/>
        </w:rPr>
        <w:t>6</w:t>
      </w:r>
      <w:r w:rsidRPr="00C22A86">
        <w:rPr>
          <w:rFonts w:eastAsia="Times New Roman" w:cs="Arial"/>
          <w:color w:val="000000"/>
          <w:szCs w:val="22"/>
          <w:lang w:eastAsia="cs-CZ"/>
        </w:rPr>
        <w:t xml:space="preserve"> MD.</w:t>
      </w:r>
    </w:p>
    <w:p w14:paraId="4BC8DA07" w14:textId="26388BE6" w:rsidR="00224D0A" w:rsidRPr="00C22A86" w:rsidRDefault="00224D0A" w:rsidP="003A48B1">
      <w:pPr>
        <w:pStyle w:val="GSOdstavec"/>
        <w:rPr>
          <w:rFonts w:eastAsia="Times New Roman" w:cs="Arial"/>
          <w:color w:val="000000"/>
          <w:szCs w:val="22"/>
          <w:lang w:eastAsia="cs-CZ"/>
        </w:rPr>
      </w:pPr>
      <w:r w:rsidRPr="00C22A86">
        <w:rPr>
          <w:rFonts w:eastAsia="Times New Roman" w:cs="Arial"/>
          <w:color w:val="000000"/>
          <w:szCs w:val="22"/>
          <w:lang w:eastAsia="cs-CZ"/>
        </w:rPr>
        <w:t>V rámci plnění budou zahrnuty předně následující požadavky:</w:t>
      </w:r>
    </w:p>
    <w:tbl>
      <w:tblPr>
        <w:tblStyle w:val="TableGrid"/>
        <w:tblW w:w="9067" w:type="dxa"/>
        <w:tblLook w:val="04A0" w:firstRow="1" w:lastRow="0" w:firstColumn="1" w:lastColumn="0" w:noHBand="0" w:noVBand="1"/>
      </w:tblPr>
      <w:tblGrid>
        <w:gridCol w:w="1271"/>
        <w:gridCol w:w="7796"/>
      </w:tblGrid>
      <w:tr w:rsidR="00254CEF" w:rsidRPr="003871B3" w14:paraId="524C8E50" w14:textId="77777777" w:rsidTr="00254CEF">
        <w:tc>
          <w:tcPr>
            <w:tcW w:w="1271" w:type="dxa"/>
          </w:tcPr>
          <w:bookmarkEnd w:id="39"/>
          <w:p w14:paraId="0EC3D49C" w14:textId="6EAAF0A0" w:rsidR="00254CEF" w:rsidRPr="003871B3" w:rsidRDefault="00254CEF" w:rsidP="003A48B1">
            <w:pPr>
              <w:pStyle w:val="GSOdstavec"/>
            </w:pPr>
            <w:r w:rsidRPr="003871B3">
              <w:t>ZAM003</w:t>
            </w:r>
          </w:p>
        </w:tc>
        <w:tc>
          <w:tcPr>
            <w:tcW w:w="7796" w:type="dxa"/>
          </w:tcPr>
          <w:p w14:paraId="1243B7F6" w14:textId="77777777" w:rsidR="00254CEF" w:rsidRPr="003871B3" w:rsidRDefault="00254CEF" w:rsidP="003A48B1">
            <w:pPr>
              <w:pStyle w:val="GSOdstavec"/>
            </w:pPr>
            <w:r w:rsidRPr="003871B3">
              <w:t>Dodavatel zajistí vývoj mechanismu (systému pro migraci) zahrnující fázi extrakce, konsolidace a unifikace dat ze všech potřebných datových zdrojů identifikovaných na základě analýzy migračního logického datového modelu pro systém ISZAM (LDM L2). Pro tuto analýzu je ze strany dodavatele IS ZAM zajištěna podpora.</w:t>
            </w:r>
          </w:p>
          <w:p w14:paraId="60896294" w14:textId="74F2CAA1" w:rsidR="00254CEF" w:rsidRPr="00254CEF" w:rsidRDefault="00254CEF" w:rsidP="00750373">
            <w:pPr>
              <w:pStyle w:val="GSOdstavec"/>
            </w:pPr>
            <w:r w:rsidRPr="00254CEF">
              <w:t xml:space="preserve">Jako součinnost pro realizaci tohoto poskytne </w:t>
            </w:r>
            <w:r w:rsidR="00262235">
              <w:t>Objednatel</w:t>
            </w:r>
            <w:r w:rsidRPr="00254CEF">
              <w:t xml:space="preserve"> intenzivní součinnost vlastních kapacit případně dodavatele IS ZAM v rámci definice potřebného detailu pro analýzu migračního logického datového modelu pro systém ISZAM (LDM L2), a to formou společných jednání a workshopů za účasti zástupců </w:t>
            </w:r>
            <w:r w:rsidR="00262235">
              <w:t>Objednatel</w:t>
            </w:r>
            <w:r w:rsidRPr="00254CEF">
              <w:t>e (ty zajišťuje MPSV), tj.  příslušných klíčových uživatelů či garantů jednotlivých agend a evidencí ISZAM.</w:t>
            </w:r>
          </w:p>
          <w:p w14:paraId="1197AD72" w14:textId="77777777" w:rsidR="00254CEF" w:rsidRPr="00254CEF" w:rsidRDefault="00254CEF" w:rsidP="00750373">
            <w:pPr>
              <w:pStyle w:val="GSOdstavec"/>
            </w:pPr>
            <w:r w:rsidRPr="00254CEF">
              <w:t>Rozsah požadované součinnosti bude definován v rámci vytvoření definice jednotlivých bodů do projektového backlogu a následně upřesněn v plánování konkrétního release.</w:t>
            </w:r>
          </w:p>
          <w:p w14:paraId="09C02CFB" w14:textId="4408584D" w:rsidR="00254CEF" w:rsidRPr="003871B3" w:rsidRDefault="00254CEF" w:rsidP="003A48B1">
            <w:pPr>
              <w:pStyle w:val="GSOdstavec"/>
            </w:pPr>
            <w:r w:rsidRPr="00594BA3">
              <w:t>Garanti ISZAM jsou projektové zdroje alokované vedením ÚPČR do projektu ISZAM. Věcné zástupce z odboru Zaměstnanosti si pro aktivity související s analýzou migračních mechanismů musí zajistit v rámci svých alokací projekt LIS.</w:t>
            </w:r>
          </w:p>
        </w:tc>
      </w:tr>
    </w:tbl>
    <w:p w14:paraId="65B1CB2F" w14:textId="6BC18406" w:rsidR="00FC4135" w:rsidRPr="003871B3" w:rsidRDefault="00FC4135" w:rsidP="00224D0A">
      <w:pPr>
        <w:pStyle w:val="GSOdstavec"/>
      </w:pPr>
    </w:p>
    <w:tbl>
      <w:tblPr>
        <w:tblStyle w:val="TableGrid"/>
        <w:tblW w:w="9067" w:type="dxa"/>
        <w:tblLook w:val="04A0" w:firstRow="1" w:lastRow="0" w:firstColumn="1" w:lastColumn="0" w:noHBand="0" w:noVBand="1"/>
      </w:tblPr>
      <w:tblGrid>
        <w:gridCol w:w="1129"/>
        <w:gridCol w:w="7938"/>
      </w:tblGrid>
      <w:tr w:rsidR="00254CEF" w:rsidRPr="003871B3" w14:paraId="168B387F" w14:textId="77777777" w:rsidTr="00254CEF">
        <w:tc>
          <w:tcPr>
            <w:tcW w:w="1129" w:type="dxa"/>
          </w:tcPr>
          <w:p w14:paraId="421C185A" w14:textId="53E85DFC" w:rsidR="00254CEF" w:rsidRPr="003871B3" w:rsidRDefault="00254CEF" w:rsidP="00224D0A">
            <w:pPr>
              <w:pStyle w:val="GSOdstavec"/>
            </w:pPr>
            <w:r w:rsidRPr="003871B3">
              <w:t>ZAM004</w:t>
            </w:r>
          </w:p>
        </w:tc>
        <w:tc>
          <w:tcPr>
            <w:tcW w:w="7938" w:type="dxa"/>
          </w:tcPr>
          <w:p w14:paraId="091CD183" w14:textId="77777777" w:rsidR="00254CEF" w:rsidRPr="003871B3" w:rsidRDefault="00254CEF" w:rsidP="00224D0A">
            <w:pPr>
              <w:pStyle w:val="GSOdstavec"/>
            </w:pPr>
            <w:r w:rsidRPr="003871B3">
              <w:t>Dodavatel zajistí analýzu zdrojových databází ve spolupráci s příslušnými klíčovými uživateli či garanty jednotlivých agend a evidencí ISZAM a identifikaci nesrovnalostí mezi LDM L2 a atributy zdrojových systémů, které jsou analýzou vyhodnoceny jako nezbytné pro provoz cílového řešení ISZAM. Výstupem analýzy je zpráva obsahující nalezené nesrovnalosti (typicky jde o problémy zadané v Mantis). Vyřešení těchto nesrovnalostí, v součinnosti pracovní skupiny migrace, dodavatele IS ZAM a dodavatele LIS, povede na vytvoření finálního migračního předpisu.</w:t>
            </w:r>
          </w:p>
          <w:p w14:paraId="4ADF1A26" w14:textId="266D20A7" w:rsidR="00254CEF" w:rsidRPr="003871B3" w:rsidRDefault="00254CEF" w:rsidP="00D3471D">
            <w:pPr>
              <w:pStyle w:val="GSOdstavec"/>
            </w:pPr>
            <w:r w:rsidRPr="003871B3">
              <w:t xml:space="preserve">Některé zjištěné nesrovnalosti mohou mít povahu nových problémů a budou zadány jako samostatné body v Mantis (projektový backlog). Konkrétní časování a prioritizace jednotlivých bodů backlogu bude průběžně řešena se zástupci </w:t>
            </w:r>
            <w:r w:rsidR="00262235">
              <w:t>Objednatel</w:t>
            </w:r>
            <w:r w:rsidRPr="003871B3">
              <w:t>e a dodavatele IS ZAM.</w:t>
            </w:r>
          </w:p>
        </w:tc>
      </w:tr>
      <w:tr w:rsidR="00254CEF" w:rsidRPr="003871B3" w14:paraId="22F55160" w14:textId="77777777" w:rsidTr="00254CEF">
        <w:tc>
          <w:tcPr>
            <w:tcW w:w="1129" w:type="dxa"/>
          </w:tcPr>
          <w:p w14:paraId="74652AAA" w14:textId="16F0FFD4" w:rsidR="00254CEF" w:rsidRPr="003871B3" w:rsidRDefault="00254CEF" w:rsidP="00D33288">
            <w:pPr>
              <w:pStyle w:val="GSOdstavec"/>
            </w:pPr>
            <w:r w:rsidRPr="003871B3">
              <w:t>ZAM005</w:t>
            </w:r>
          </w:p>
        </w:tc>
        <w:tc>
          <w:tcPr>
            <w:tcW w:w="7938" w:type="dxa"/>
          </w:tcPr>
          <w:p w14:paraId="78153C7D" w14:textId="2312CB38" w:rsidR="00254CEF" w:rsidRPr="003871B3" w:rsidRDefault="00254CEF" w:rsidP="004C7B75">
            <w:pPr>
              <w:pStyle w:val="GSOdstavec"/>
            </w:pPr>
            <w:r w:rsidRPr="003871B3">
              <w:t>Dodavatel zajistí analýzu zdrojových databází a procesů zpracování dat v OK aplikacích ve spolupráci s příslušnými klíčovými uživateli či garanty jednotlivých agend a evidencí ISZAM s cílem identifikovat stavy otevřených případů a skutečností vhodných pro migraci do činností a stavů v ISZAM tak, aby po migraci bylo možné pokračovat ve zpracování těcht</w:t>
            </w:r>
            <w:r w:rsidR="004060FE">
              <w:t xml:space="preserve">o případů procesy v ISZAM. </w:t>
            </w:r>
          </w:p>
          <w:p w14:paraId="6822BE48" w14:textId="1A712582" w:rsidR="00254CEF" w:rsidRPr="00254CEF" w:rsidRDefault="00254CEF" w:rsidP="004060FE">
            <w:pPr>
              <w:pStyle w:val="GSOdstavec"/>
            </w:pPr>
            <w:r w:rsidRPr="00254CEF">
              <w:t>Součinností MPSV je poskytnutí detailní business definice otevřeného případu (OP) včetně nutných vazebních podmínek na okolí případu. Vytvořená zjištění poskytne jako podklad při pracovních jednáních nad přípravou detailní analýzy LDM L2 za cílem vytvoření finálního migračního předpisu. Kromě určení vhodných stavů</w:t>
            </w:r>
            <w:r w:rsidR="00262235">
              <w:t xml:space="preserve"> je součinností MPSV i identifikace,</w:t>
            </w:r>
            <w:r w:rsidR="005F07DC">
              <w:t xml:space="preserve"> jak jsou otevřené </w:t>
            </w:r>
            <w:r w:rsidR="005F07DC" w:rsidRPr="004060FE">
              <w:t>případy</w:t>
            </w:r>
            <w:r w:rsidR="00262235">
              <w:t xml:space="preserve"> definovány v GUI jednotlivých aplikací. Dodavatel toto následně promítne do finálního migračního popisu.</w:t>
            </w:r>
          </w:p>
        </w:tc>
      </w:tr>
    </w:tbl>
    <w:p w14:paraId="572D4C2D" w14:textId="184FAC8F" w:rsidR="00224D0A" w:rsidRPr="003871B3" w:rsidRDefault="00224D0A" w:rsidP="00224D0A">
      <w:pPr>
        <w:pStyle w:val="GSOdstavec"/>
      </w:pPr>
    </w:p>
    <w:tbl>
      <w:tblPr>
        <w:tblStyle w:val="TableGrid"/>
        <w:tblW w:w="9067" w:type="dxa"/>
        <w:tblLook w:val="04A0" w:firstRow="1" w:lastRow="0" w:firstColumn="1" w:lastColumn="0" w:noHBand="0" w:noVBand="1"/>
      </w:tblPr>
      <w:tblGrid>
        <w:gridCol w:w="1072"/>
        <w:gridCol w:w="7995"/>
      </w:tblGrid>
      <w:tr w:rsidR="00254CEF" w:rsidRPr="003871B3" w14:paraId="0CD24E28" w14:textId="77777777" w:rsidTr="00B7266F">
        <w:tc>
          <w:tcPr>
            <w:tcW w:w="1061" w:type="dxa"/>
          </w:tcPr>
          <w:p w14:paraId="6C15F4E9" w14:textId="2578F522" w:rsidR="00254CEF" w:rsidRPr="003871B3" w:rsidRDefault="00254CEF" w:rsidP="00224D0A">
            <w:pPr>
              <w:pStyle w:val="GSOdstavec"/>
            </w:pPr>
            <w:r w:rsidRPr="003871B3">
              <w:t>ZAM007</w:t>
            </w:r>
          </w:p>
        </w:tc>
        <w:tc>
          <w:tcPr>
            <w:tcW w:w="8006" w:type="dxa"/>
          </w:tcPr>
          <w:p w14:paraId="216174B3" w14:textId="7577F594" w:rsidR="00254CEF" w:rsidRPr="003871B3" w:rsidRDefault="00254CEF" w:rsidP="00224D0A">
            <w:pPr>
              <w:pStyle w:val="GSOdstavec"/>
            </w:pPr>
            <w:r w:rsidRPr="003871B3">
              <w:t xml:space="preserve">Dodavatel zajistí identifikaci problematických dat či datových skupin ve zdrojových systémech, jejichž nápravu musí provést nebo zajistit </w:t>
            </w:r>
            <w:r w:rsidR="00ED4723">
              <w:t>Objednatel</w:t>
            </w:r>
            <w:r w:rsidRPr="003871B3">
              <w:t xml:space="preserve"> tak, aby byla dodržena očekávání LDM L2, </w:t>
            </w:r>
            <w:r w:rsidR="00262235">
              <w:t>Objednatel</w:t>
            </w:r>
            <w:r w:rsidRPr="003871B3">
              <w:t>e a vlastníků jednotlivých agend.</w:t>
            </w:r>
          </w:p>
        </w:tc>
      </w:tr>
      <w:tr w:rsidR="00254CEF" w:rsidRPr="003871B3" w14:paraId="6E3E57E4" w14:textId="77777777" w:rsidTr="00B7266F">
        <w:tc>
          <w:tcPr>
            <w:tcW w:w="1061" w:type="dxa"/>
          </w:tcPr>
          <w:p w14:paraId="3AF2AE84" w14:textId="0DF964EA" w:rsidR="00254CEF" w:rsidRPr="003871B3" w:rsidRDefault="00254CEF" w:rsidP="00224D0A">
            <w:pPr>
              <w:pStyle w:val="GSOdstavec"/>
            </w:pPr>
            <w:r w:rsidRPr="003871B3">
              <w:t>ZAM011</w:t>
            </w:r>
          </w:p>
        </w:tc>
        <w:tc>
          <w:tcPr>
            <w:tcW w:w="8006" w:type="dxa"/>
          </w:tcPr>
          <w:p w14:paraId="4552C54D" w14:textId="0B98F5C4" w:rsidR="00254CEF" w:rsidRPr="003871B3" w:rsidRDefault="00254CEF" w:rsidP="00224D0A">
            <w:pPr>
              <w:pStyle w:val="GSOdstavec"/>
            </w:pPr>
            <w:r w:rsidRPr="003871B3">
              <w:t>Dodavatel bude řešit nálezy zaznamenané v MANTIS a přiřazené na stranu dodavatele migrace, poskytovat k nim komentáře a návrhy řešení, realizovat implementaci opravných kroků k těmto nálezům v případě, že se jedná o nalezené chyby na straně přípravy migračních dat a leží v oblasti jeho dodávky.</w:t>
            </w:r>
          </w:p>
          <w:p w14:paraId="0B1DE462" w14:textId="779C616F" w:rsidR="00254CEF" w:rsidRPr="003871B3" w:rsidRDefault="00254CEF" w:rsidP="00224D0A">
            <w:pPr>
              <w:pStyle w:val="GSOdstavec"/>
            </w:pPr>
            <w:r w:rsidRPr="003871B3">
              <w:t>Pro řešení nálezů je potřebná součinnost ze strany dodavatele ISZAM pro konzultace, vysvětlení a řešení nálezů přiřazených na stranu dodavatele ISZAM. Tato součinnost je důležitým faktorem pro řešení nálezů v odsouhlasených termínech.</w:t>
            </w:r>
          </w:p>
        </w:tc>
      </w:tr>
      <w:tr w:rsidR="00254CEF" w:rsidRPr="003871B3" w14:paraId="2F16FA90" w14:textId="77777777" w:rsidTr="00B7266F">
        <w:tc>
          <w:tcPr>
            <w:tcW w:w="1061" w:type="dxa"/>
          </w:tcPr>
          <w:p w14:paraId="423F1F38" w14:textId="07AFC7BF" w:rsidR="00254CEF" w:rsidRPr="003871B3" w:rsidRDefault="00254CEF" w:rsidP="00224D0A">
            <w:pPr>
              <w:pStyle w:val="GSOdstavec"/>
            </w:pPr>
            <w:r w:rsidRPr="003871B3">
              <w:t>TP004</w:t>
            </w:r>
          </w:p>
        </w:tc>
        <w:tc>
          <w:tcPr>
            <w:tcW w:w="8006" w:type="dxa"/>
          </w:tcPr>
          <w:p w14:paraId="1F9726E7" w14:textId="77777777" w:rsidR="00254CEF" w:rsidRPr="003871B3" w:rsidRDefault="00254CEF" w:rsidP="00DE5484">
            <w:pPr>
              <w:pStyle w:val="GSOdstavec"/>
              <w:rPr>
                <w:szCs w:val="22"/>
              </w:rPr>
            </w:pPr>
            <w:r w:rsidRPr="003871B3">
              <w:rPr>
                <w:rFonts w:cs="Arial"/>
                <w:szCs w:val="22"/>
              </w:rPr>
              <w:t>Kódování znaků není aktuálně standardizováno. Dodavatel provede analýzu využívaných kódovacích sad zdrojových a cílových systémů a dodá návrh standardizace kódování znaků / jazykových kódovacích sad.</w:t>
            </w:r>
          </w:p>
          <w:p w14:paraId="0A9D8622" w14:textId="6528237D" w:rsidR="00254CEF" w:rsidRPr="003871B3" w:rsidRDefault="00254CEF" w:rsidP="00224D0A">
            <w:pPr>
              <w:pStyle w:val="GSOdstavec"/>
              <w:rPr>
                <w:rFonts w:cs="Arial"/>
                <w:szCs w:val="22"/>
              </w:rPr>
            </w:pPr>
            <w:r w:rsidRPr="003871B3">
              <w:rPr>
                <w:rFonts w:cs="Arial"/>
                <w:szCs w:val="22"/>
              </w:rPr>
              <w:t>Kódové sady budou dle standardů podkladové infrastruktury MS SQL a budou závislé na kódování vstupních systému a požadavků na kódování cílových systémů.</w:t>
            </w:r>
          </w:p>
        </w:tc>
      </w:tr>
      <w:tr w:rsidR="00254CEF" w:rsidRPr="003871B3" w14:paraId="6CF74C78" w14:textId="77777777" w:rsidTr="00B7266F">
        <w:tc>
          <w:tcPr>
            <w:tcW w:w="1061" w:type="dxa"/>
          </w:tcPr>
          <w:p w14:paraId="4137683B" w14:textId="0878DC69" w:rsidR="00254CEF" w:rsidRPr="003871B3" w:rsidRDefault="00254CEF" w:rsidP="00224D0A">
            <w:pPr>
              <w:pStyle w:val="GSOdstavec"/>
            </w:pPr>
            <w:r w:rsidRPr="003871B3">
              <w:t>TP033</w:t>
            </w:r>
          </w:p>
        </w:tc>
        <w:tc>
          <w:tcPr>
            <w:tcW w:w="8006" w:type="dxa"/>
          </w:tcPr>
          <w:p w14:paraId="05A66E90" w14:textId="16151712" w:rsidR="00254CEF" w:rsidRPr="003871B3" w:rsidRDefault="00254CEF" w:rsidP="00224D0A">
            <w:pPr>
              <w:pStyle w:val="GSOdstavec"/>
            </w:pPr>
            <w:r w:rsidRPr="003871B3">
              <w:t xml:space="preserve">Dodavatel bude poskytovat součinnost v rámci celého životního cyklu jednotlivých systémů při plánování, návrhu, tvorbě, provozu a změnách datových přenosů a transformací mezi systémy </w:t>
            </w:r>
            <w:r w:rsidR="00262235">
              <w:t>Objednatel</w:t>
            </w:r>
            <w:r w:rsidRPr="003871B3">
              <w:t>e.</w:t>
            </w:r>
          </w:p>
        </w:tc>
      </w:tr>
      <w:tr w:rsidR="00254CEF" w:rsidRPr="003871B3" w14:paraId="62593667" w14:textId="77777777" w:rsidTr="00B7266F">
        <w:tc>
          <w:tcPr>
            <w:tcW w:w="1061" w:type="dxa"/>
          </w:tcPr>
          <w:p w14:paraId="02852195" w14:textId="2E287667" w:rsidR="00254CEF" w:rsidRPr="003871B3" w:rsidRDefault="00254CEF" w:rsidP="00224D0A">
            <w:pPr>
              <w:pStyle w:val="GSOdstavec"/>
            </w:pPr>
            <w:r w:rsidRPr="003871B3">
              <w:t>TP046</w:t>
            </w:r>
          </w:p>
        </w:tc>
        <w:tc>
          <w:tcPr>
            <w:tcW w:w="8006" w:type="dxa"/>
          </w:tcPr>
          <w:p w14:paraId="486601FB" w14:textId="7A25987D" w:rsidR="00254CEF" w:rsidRPr="00B7266F" w:rsidRDefault="00254CEF" w:rsidP="00224D0A">
            <w:pPr>
              <w:pStyle w:val="GSOdstavec"/>
              <w:rPr>
                <w:rFonts w:cs="Arial"/>
                <w:szCs w:val="22"/>
              </w:rPr>
            </w:pPr>
            <w:r w:rsidRPr="003871B3">
              <w:rPr>
                <w:rFonts w:cs="Arial"/>
                <w:szCs w:val="22"/>
              </w:rPr>
              <w:t>Dodavatel bude poskytovat součinnost zástupcům okolních systémů (cílovým i integračním), kteří budou konzumovat jím vystavené API.</w:t>
            </w:r>
          </w:p>
        </w:tc>
      </w:tr>
      <w:tr w:rsidR="00254CEF" w:rsidRPr="003871B3" w14:paraId="498FE685" w14:textId="77777777" w:rsidTr="00B7266F">
        <w:tc>
          <w:tcPr>
            <w:tcW w:w="1061" w:type="dxa"/>
          </w:tcPr>
          <w:p w14:paraId="72AAD3E2" w14:textId="628FC2BB" w:rsidR="00254CEF" w:rsidRPr="003871B3" w:rsidRDefault="00254CEF" w:rsidP="00224D0A">
            <w:pPr>
              <w:pStyle w:val="GSOdstavec"/>
            </w:pPr>
            <w:r w:rsidRPr="003871B3">
              <w:t>TP050</w:t>
            </w:r>
          </w:p>
        </w:tc>
        <w:tc>
          <w:tcPr>
            <w:tcW w:w="8006" w:type="dxa"/>
          </w:tcPr>
          <w:p w14:paraId="1E8F7259" w14:textId="0F53D0C2" w:rsidR="00254CEF" w:rsidRPr="003871B3" w:rsidRDefault="00254CEF" w:rsidP="00224D0A">
            <w:pPr>
              <w:pStyle w:val="GSOdstavec"/>
            </w:pPr>
            <w:r w:rsidRPr="003871B3">
              <w:t>Dodavatel na základě požadavků na cílové entity v jednotlivých systémech provede mapování entit a jejich atributů na dostupná data a stávající systémy. Pro entity, které nelze přímo mapovat, navrhne způsob naplnění/transformace z existujících dat.</w:t>
            </w:r>
          </w:p>
        </w:tc>
      </w:tr>
      <w:tr w:rsidR="00254CEF" w:rsidRPr="003871B3" w14:paraId="62F85B35" w14:textId="77777777" w:rsidTr="00B7266F">
        <w:tc>
          <w:tcPr>
            <w:tcW w:w="1061" w:type="dxa"/>
          </w:tcPr>
          <w:p w14:paraId="4FC676AE" w14:textId="4F8D72AF" w:rsidR="00254CEF" w:rsidRPr="003871B3" w:rsidRDefault="00254CEF" w:rsidP="00224D0A">
            <w:pPr>
              <w:pStyle w:val="GSOdstavec"/>
            </w:pPr>
            <w:r w:rsidRPr="003871B3">
              <w:t>TP051</w:t>
            </w:r>
          </w:p>
        </w:tc>
        <w:tc>
          <w:tcPr>
            <w:tcW w:w="8006" w:type="dxa"/>
          </w:tcPr>
          <w:p w14:paraId="0BC3D073" w14:textId="1B6C01ED" w:rsidR="00254CEF" w:rsidRPr="003871B3" w:rsidRDefault="00254CEF" w:rsidP="00224D0A">
            <w:pPr>
              <w:pStyle w:val="GSOdstavec"/>
            </w:pPr>
            <w:r w:rsidRPr="003871B3">
              <w:rPr>
                <w:rFonts w:cs="Arial"/>
                <w:szCs w:val="22"/>
              </w:rPr>
              <w:t>Dodavatel ověří dostupnost dat pro migraci včetně rozsahu. Dodavatel v součinnosti se zástupci cílového systému navrhne způsob realizace požadavků.</w:t>
            </w:r>
          </w:p>
        </w:tc>
      </w:tr>
      <w:tr w:rsidR="00254CEF" w:rsidRPr="003871B3" w14:paraId="29C9C4B0" w14:textId="77777777" w:rsidTr="00B7266F">
        <w:tc>
          <w:tcPr>
            <w:tcW w:w="1061" w:type="dxa"/>
          </w:tcPr>
          <w:p w14:paraId="61CFC7E9" w14:textId="3CBC50C3" w:rsidR="00254CEF" w:rsidRPr="003871B3" w:rsidRDefault="00254CEF" w:rsidP="00224D0A">
            <w:pPr>
              <w:pStyle w:val="GSOdstavec"/>
            </w:pPr>
            <w:r w:rsidRPr="003871B3">
              <w:t>TP052</w:t>
            </w:r>
          </w:p>
        </w:tc>
        <w:tc>
          <w:tcPr>
            <w:tcW w:w="8006" w:type="dxa"/>
          </w:tcPr>
          <w:p w14:paraId="3C611A0E" w14:textId="77777777" w:rsidR="00254CEF" w:rsidRPr="003871B3" w:rsidRDefault="00254CEF" w:rsidP="00DE5484">
            <w:pPr>
              <w:pStyle w:val="GSOdstavec"/>
              <w:rPr>
                <w:rFonts w:cs="Arial"/>
                <w:szCs w:val="22"/>
              </w:rPr>
            </w:pPr>
            <w:r w:rsidRPr="003871B3">
              <w:rPr>
                <w:rFonts w:cs="Arial"/>
                <w:szCs w:val="22"/>
              </w:rPr>
              <w:t>Dodavatel je zodpovědný za správné pochopení entit a dat zdrojových systémů na základě předaného datového modelu. Tam, kde datový model není, popřípadě je nedostatečný, provede dodavatel dodatečnou analýzu, aby došlo k jeho doplnění.</w:t>
            </w:r>
          </w:p>
          <w:p w14:paraId="7B35322C" w14:textId="06191076" w:rsidR="00254CEF" w:rsidRPr="003871B3" w:rsidRDefault="00254CEF" w:rsidP="00224D0A">
            <w:pPr>
              <w:pStyle w:val="GSOdstavec"/>
            </w:pPr>
            <w:r w:rsidRPr="003871B3">
              <w:rPr>
                <w:rFonts w:cs="Arial"/>
                <w:szCs w:val="22"/>
              </w:rPr>
              <w:t xml:space="preserve">Dodavatel bude provádět analýzu zdrojových dat a jejich pochopení pro potřeby dalších transformací v projektu LIS. </w:t>
            </w:r>
            <w:r w:rsidR="00262235">
              <w:rPr>
                <w:rFonts w:cs="Arial"/>
                <w:szCs w:val="22"/>
              </w:rPr>
              <w:t>Objednatel</w:t>
            </w:r>
            <w:r w:rsidRPr="003871B3">
              <w:rPr>
                <w:rFonts w:cs="Arial"/>
                <w:szCs w:val="22"/>
              </w:rPr>
              <w:t xml:space="preserve"> poskytne součinnost formou konzultací s tvůrci zdrojových systémů a odbornými garanty.</w:t>
            </w:r>
          </w:p>
        </w:tc>
      </w:tr>
      <w:tr w:rsidR="00254CEF" w:rsidRPr="003871B3" w14:paraId="1D5C93D6" w14:textId="77777777" w:rsidTr="00B7266F">
        <w:tc>
          <w:tcPr>
            <w:tcW w:w="1061" w:type="dxa"/>
          </w:tcPr>
          <w:p w14:paraId="52D64D9D" w14:textId="1F6A2C86" w:rsidR="00254CEF" w:rsidRPr="003871B3" w:rsidRDefault="00254CEF" w:rsidP="00224D0A">
            <w:pPr>
              <w:pStyle w:val="GSOdstavec"/>
            </w:pPr>
            <w:r w:rsidRPr="003871B3">
              <w:t>TP053</w:t>
            </w:r>
          </w:p>
        </w:tc>
        <w:tc>
          <w:tcPr>
            <w:tcW w:w="8006" w:type="dxa"/>
          </w:tcPr>
          <w:p w14:paraId="03A03A15" w14:textId="77777777" w:rsidR="00254CEF" w:rsidRPr="003871B3" w:rsidRDefault="00254CEF" w:rsidP="00DE5484">
            <w:pPr>
              <w:pStyle w:val="GSOdstavec"/>
              <w:rPr>
                <w:rFonts w:cs="Arial"/>
                <w:szCs w:val="22"/>
              </w:rPr>
            </w:pPr>
            <w:r w:rsidRPr="003871B3">
              <w:rPr>
                <w:rFonts w:cs="Arial"/>
                <w:szCs w:val="22"/>
              </w:rPr>
              <w:t>Dodavatel je zodpovědný za správné pochopení vazeb entit a dat zdrojových systémů. Tyto vazby následně zadokumentuje v modelu a dokumentaci. Je odpovědností dodavatele provést analýzu vazeb i tam, kde tyto vazby nejsou dokumentovány v předané dokumentaci od dodavatelů zdrojových systémů.</w:t>
            </w:r>
          </w:p>
          <w:p w14:paraId="026C620C" w14:textId="5EA31547" w:rsidR="00254CEF" w:rsidRPr="003871B3" w:rsidRDefault="00254CEF" w:rsidP="00DE5484">
            <w:pPr>
              <w:pStyle w:val="GSOdstavec"/>
              <w:rPr>
                <w:rFonts w:cs="Arial"/>
                <w:szCs w:val="22"/>
              </w:rPr>
            </w:pPr>
            <w:r w:rsidRPr="003871B3">
              <w:rPr>
                <w:rFonts w:cs="Arial"/>
                <w:szCs w:val="22"/>
              </w:rPr>
              <w:t xml:space="preserve">Dodavatel bude provádět analýzu zdrojových dat a jejich vazeb. </w:t>
            </w:r>
            <w:r w:rsidR="00262235">
              <w:rPr>
                <w:rFonts w:cs="Arial"/>
                <w:szCs w:val="22"/>
              </w:rPr>
              <w:t>Objednatel</w:t>
            </w:r>
            <w:r w:rsidRPr="003871B3">
              <w:rPr>
                <w:rFonts w:cs="Arial"/>
                <w:szCs w:val="22"/>
              </w:rPr>
              <w:t xml:space="preserve"> poskytne součinnost formou konzultací s tvůrci zdrojových systémů a odbornými garanty. Odpovědnost za pochopení vazeb entit a dat zdrojových systémů je podmíněna úplným poskytnutím součinnosti </w:t>
            </w:r>
            <w:r w:rsidR="00262235">
              <w:rPr>
                <w:rFonts w:cs="Arial"/>
                <w:szCs w:val="22"/>
              </w:rPr>
              <w:t>Objednatel</w:t>
            </w:r>
            <w:r w:rsidRPr="003871B3">
              <w:rPr>
                <w:rFonts w:cs="Arial"/>
                <w:szCs w:val="22"/>
              </w:rPr>
              <w:t>e.</w:t>
            </w:r>
          </w:p>
        </w:tc>
      </w:tr>
      <w:tr w:rsidR="00254CEF" w:rsidRPr="003871B3" w14:paraId="4CCBEFDB" w14:textId="77777777" w:rsidTr="00B7266F">
        <w:tc>
          <w:tcPr>
            <w:tcW w:w="1061" w:type="dxa"/>
          </w:tcPr>
          <w:p w14:paraId="2526A710" w14:textId="16DA0B81" w:rsidR="00254CEF" w:rsidRPr="003871B3" w:rsidRDefault="00254CEF" w:rsidP="00224D0A">
            <w:pPr>
              <w:pStyle w:val="GSOdstavec"/>
            </w:pPr>
            <w:r w:rsidRPr="003871B3">
              <w:t>TP054</w:t>
            </w:r>
          </w:p>
        </w:tc>
        <w:tc>
          <w:tcPr>
            <w:tcW w:w="8006" w:type="dxa"/>
          </w:tcPr>
          <w:p w14:paraId="56E3CD47" w14:textId="46BD7974" w:rsidR="00254CEF" w:rsidRPr="003871B3" w:rsidRDefault="00254CEF" w:rsidP="00DE5484">
            <w:pPr>
              <w:pStyle w:val="GSOdstavec"/>
              <w:rPr>
                <w:rFonts w:cs="Arial"/>
                <w:szCs w:val="22"/>
              </w:rPr>
            </w:pPr>
            <w:r w:rsidRPr="003871B3">
              <w:rPr>
                <w:rFonts w:cs="Arial"/>
                <w:szCs w:val="22"/>
              </w:rPr>
              <w:t>Aktivita analýzy zahrnuje definování datového mapování mezi požadovanou entitou a dostupnými daty včetně veškerých operací nutných pro realizaci tohoto mapování (čištění, unifikace, výběr dat, omezení duplicit,…). Analýza navíc zahrnuje i definování způsobu implementace a závislosti jednotlivých mapování pro jejich efektivní a správnou implementaci.</w:t>
            </w:r>
          </w:p>
        </w:tc>
      </w:tr>
      <w:tr w:rsidR="00254CEF" w:rsidRPr="003871B3" w14:paraId="08FFD0D4" w14:textId="77777777" w:rsidTr="00B7266F">
        <w:tc>
          <w:tcPr>
            <w:tcW w:w="1061" w:type="dxa"/>
          </w:tcPr>
          <w:p w14:paraId="617A8B12" w14:textId="08609F2E" w:rsidR="00254CEF" w:rsidRPr="003871B3" w:rsidRDefault="00254CEF" w:rsidP="00224D0A">
            <w:pPr>
              <w:pStyle w:val="GSOdstavec"/>
            </w:pPr>
            <w:r w:rsidRPr="003871B3">
              <w:t>TP055</w:t>
            </w:r>
          </w:p>
        </w:tc>
        <w:tc>
          <w:tcPr>
            <w:tcW w:w="8006" w:type="dxa"/>
          </w:tcPr>
          <w:p w14:paraId="35361EB6" w14:textId="58FB10E2" w:rsidR="00254CEF" w:rsidRPr="003871B3" w:rsidRDefault="00254CEF" w:rsidP="00DE5484">
            <w:pPr>
              <w:pStyle w:val="GSOdstavec"/>
              <w:rPr>
                <w:rFonts w:cs="Arial"/>
                <w:szCs w:val="22"/>
              </w:rPr>
            </w:pPr>
            <w:r w:rsidRPr="003871B3">
              <w:rPr>
                <w:rFonts w:cs="Arial"/>
                <w:szCs w:val="22"/>
              </w:rPr>
              <w:t>Na základě komplexního přehledu nad daty a jejich životním cyklem provede Dodavatel návrhy identifikací datových prvků tak, aby byla zajištěna konzistence a dohledatelnost pro staré (zdrojové - migrované) i nově vznikající záznamy přes celý informační systém a celý business proces. Jedná se zejména o datové prvky používané více systémy - jako jsou například pohledávky, platby, rozhodné skutečnosti, evidence případů, ale i další.</w:t>
            </w:r>
          </w:p>
        </w:tc>
      </w:tr>
      <w:tr w:rsidR="00254CEF" w:rsidRPr="003871B3" w14:paraId="7F462737" w14:textId="77777777" w:rsidTr="00B7266F">
        <w:tc>
          <w:tcPr>
            <w:tcW w:w="1061" w:type="dxa"/>
          </w:tcPr>
          <w:p w14:paraId="5073D5BF" w14:textId="6EAB4A12" w:rsidR="00254CEF" w:rsidRPr="003871B3" w:rsidRDefault="00254CEF" w:rsidP="00224D0A">
            <w:pPr>
              <w:pStyle w:val="GSOdstavec"/>
            </w:pPr>
            <w:r w:rsidRPr="003871B3">
              <w:t>TP056</w:t>
            </w:r>
          </w:p>
        </w:tc>
        <w:tc>
          <w:tcPr>
            <w:tcW w:w="8006" w:type="dxa"/>
          </w:tcPr>
          <w:p w14:paraId="06DBEE3C" w14:textId="178352FE" w:rsidR="00254CEF" w:rsidRPr="003871B3" w:rsidRDefault="00254CEF" w:rsidP="00DE5484">
            <w:pPr>
              <w:pStyle w:val="GSOdstavec"/>
              <w:rPr>
                <w:rFonts w:cs="Arial"/>
                <w:szCs w:val="22"/>
              </w:rPr>
            </w:pPr>
            <w:r w:rsidRPr="003871B3">
              <w:rPr>
                <w:rFonts w:cs="Arial"/>
                <w:szCs w:val="22"/>
              </w:rPr>
              <w:t>Dodavatel definuje pravidla a standardy pro správu dat (data governance)</w:t>
            </w:r>
          </w:p>
        </w:tc>
      </w:tr>
      <w:tr w:rsidR="00254CEF" w:rsidRPr="003871B3" w14:paraId="17885127" w14:textId="77777777" w:rsidTr="00B7266F">
        <w:tc>
          <w:tcPr>
            <w:tcW w:w="1061" w:type="dxa"/>
          </w:tcPr>
          <w:p w14:paraId="5A535EC5" w14:textId="64C997BF" w:rsidR="00254CEF" w:rsidRPr="003871B3" w:rsidRDefault="00254CEF" w:rsidP="00224D0A">
            <w:pPr>
              <w:pStyle w:val="GSOdstavec"/>
            </w:pPr>
            <w:r w:rsidRPr="003871B3">
              <w:t>TP057</w:t>
            </w:r>
          </w:p>
        </w:tc>
        <w:tc>
          <w:tcPr>
            <w:tcW w:w="8006" w:type="dxa"/>
          </w:tcPr>
          <w:p w14:paraId="4B67961D" w14:textId="639DF3D9" w:rsidR="00254CEF" w:rsidRPr="003871B3" w:rsidRDefault="00254CEF" w:rsidP="00DE5484">
            <w:pPr>
              <w:pStyle w:val="GSOdstavec"/>
              <w:rPr>
                <w:rFonts w:cs="Arial"/>
                <w:szCs w:val="22"/>
              </w:rPr>
            </w:pPr>
            <w:r w:rsidRPr="003871B3">
              <w:rPr>
                <w:rFonts w:cs="Arial"/>
                <w:szCs w:val="22"/>
              </w:rPr>
              <w:t>Dodavatel zajistí historizaci informací o organizační struktuře</w:t>
            </w:r>
          </w:p>
        </w:tc>
      </w:tr>
      <w:tr w:rsidR="00254CEF" w:rsidRPr="003871B3" w14:paraId="531452CF" w14:textId="77777777" w:rsidTr="00B7266F">
        <w:tc>
          <w:tcPr>
            <w:tcW w:w="1061" w:type="dxa"/>
          </w:tcPr>
          <w:p w14:paraId="0CC63FDC" w14:textId="324C44E2" w:rsidR="00254CEF" w:rsidRPr="003871B3" w:rsidRDefault="00254CEF" w:rsidP="00224D0A">
            <w:pPr>
              <w:pStyle w:val="GSOdstavec"/>
            </w:pPr>
            <w:r w:rsidRPr="003871B3">
              <w:t>TP058</w:t>
            </w:r>
          </w:p>
        </w:tc>
        <w:tc>
          <w:tcPr>
            <w:tcW w:w="8006" w:type="dxa"/>
          </w:tcPr>
          <w:p w14:paraId="2C8C9AD6" w14:textId="317434E3" w:rsidR="00254CEF" w:rsidRPr="003871B3" w:rsidRDefault="00254CEF" w:rsidP="00DE5484">
            <w:pPr>
              <w:pStyle w:val="GSOdstavec"/>
              <w:rPr>
                <w:rFonts w:cs="Arial"/>
                <w:szCs w:val="22"/>
              </w:rPr>
            </w:pPr>
            <w:r w:rsidRPr="003871B3">
              <w:rPr>
                <w:rFonts w:cs="Arial"/>
                <w:szCs w:val="22"/>
              </w:rPr>
              <w:t xml:space="preserve">Dodavatel bude provádět plnění součinností v oblasti zpracování dat (historizace, migrace, anonymizace, archivace, datové kvality, dávkového zpracování dat, správy dat, přípravy, unifikace, čištění a transformace dat) současných informačních systémů </w:t>
            </w:r>
            <w:r w:rsidR="00262235">
              <w:rPr>
                <w:rFonts w:cs="Arial"/>
                <w:szCs w:val="22"/>
              </w:rPr>
              <w:t>Objednatel</w:t>
            </w:r>
            <w:r w:rsidRPr="003871B3">
              <w:rPr>
                <w:rFonts w:cs="Arial"/>
                <w:szCs w:val="22"/>
              </w:rPr>
              <w:t>e.</w:t>
            </w:r>
            <w:r w:rsidR="00ED4723">
              <w:rPr>
                <w:rFonts w:cs="Arial"/>
                <w:szCs w:val="22"/>
              </w:rPr>
              <w:t xml:space="preserve"> </w:t>
            </w:r>
            <w:r w:rsidRPr="003871B3">
              <w:rPr>
                <w:rFonts w:cs="Arial"/>
                <w:szCs w:val="22"/>
              </w:rPr>
              <w:t>Dodavatel zajistí pro projekty JISPSV v oblasti migrace součinnost v přípravě, transformaci, unifikaci a dalších potřebných činností vedoucích k úspěšné migraci do cílového systému.</w:t>
            </w:r>
          </w:p>
        </w:tc>
      </w:tr>
      <w:tr w:rsidR="00254CEF" w:rsidRPr="003871B3" w14:paraId="7DEAD824" w14:textId="77777777" w:rsidTr="00B7266F">
        <w:tc>
          <w:tcPr>
            <w:tcW w:w="1061" w:type="dxa"/>
          </w:tcPr>
          <w:p w14:paraId="6B9C2560" w14:textId="5B404870" w:rsidR="00254CEF" w:rsidRPr="003871B3" w:rsidRDefault="00254CEF" w:rsidP="00224D0A">
            <w:pPr>
              <w:pStyle w:val="GSOdstavec"/>
            </w:pPr>
            <w:r w:rsidRPr="003871B3">
              <w:t>TP059</w:t>
            </w:r>
          </w:p>
        </w:tc>
        <w:tc>
          <w:tcPr>
            <w:tcW w:w="8006" w:type="dxa"/>
          </w:tcPr>
          <w:p w14:paraId="00D3056C" w14:textId="521DB81D" w:rsidR="00254CEF" w:rsidRPr="003871B3" w:rsidRDefault="00254CEF" w:rsidP="00DE5484">
            <w:pPr>
              <w:pStyle w:val="GSOdstavec"/>
              <w:rPr>
                <w:rFonts w:cs="Arial"/>
                <w:szCs w:val="22"/>
              </w:rPr>
            </w:pPr>
            <w:r w:rsidRPr="003871B3">
              <w:rPr>
                <w:rFonts w:cs="Arial"/>
                <w:szCs w:val="22"/>
              </w:rPr>
              <w:t xml:space="preserve">Dodavatel provede transformaci hodnot organizační struktury původních systému na hodnoty cílových systémů. Bude garantem toho, aby Organizační struktura byla konzistentní přes všechny systémy a navazovala na zdrojové HR systémy </w:t>
            </w:r>
            <w:r w:rsidR="00262235">
              <w:rPr>
                <w:rFonts w:cs="Arial"/>
                <w:szCs w:val="22"/>
              </w:rPr>
              <w:t>Objednatel</w:t>
            </w:r>
            <w:r w:rsidRPr="003871B3">
              <w:rPr>
                <w:rFonts w:cs="Arial"/>
                <w:szCs w:val="22"/>
              </w:rPr>
              <w:t>e.</w:t>
            </w:r>
          </w:p>
          <w:p w14:paraId="6052BD13" w14:textId="306F70FD" w:rsidR="00254CEF" w:rsidRPr="00254CEF" w:rsidRDefault="00254CEF" w:rsidP="00307AD1">
            <w:pPr>
              <w:pStyle w:val="GSOdstavec"/>
              <w:rPr>
                <w:rFonts w:cs="Arial"/>
                <w:szCs w:val="22"/>
              </w:rPr>
            </w:pPr>
            <w:r w:rsidRPr="00254CEF">
              <w:rPr>
                <w:rFonts w:cs="Arial"/>
                <w:szCs w:val="22"/>
              </w:rPr>
              <w:t xml:space="preserve">Součinnost: </w:t>
            </w:r>
            <w:r w:rsidR="00262235">
              <w:rPr>
                <w:rFonts w:cs="Arial"/>
                <w:szCs w:val="22"/>
              </w:rPr>
              <w:t>Objednatel</w:t>
            </w:r>
            <w:r w:rsidRPr="00254CEF">
              <w:rPr>
                <w:rFonts w:cs="Arial"/>
                <w:szCs w:val="22"/>
              </w:rPr>
              <w:t xml:space="preserve"> v rámci oponentního řízení zajistí validaci tohoto návrhu přes všechny zástupce dotčených systémů. </w:t>
            </w:r>
            <w:r w:rsidR="00262235">
              <w:rPr>
                <w:rFonts w:cs="Arial"/>
                <w:szCs w:val="22"/>
              </w:rPr>
              <w:t>Objednatel</w:t>
            </w:r>
            <w:r w:rsidRPr="00254CEF">
              <w:rPr>
                <w:rFonts w:cs="Arial"/>
                <w:szCs w:val="22"/>
              </w:rPr>
              <w:t xml:space="preserve"> v rámci analytické fáze poskytne věcného garanta pro konzultace návrhu transformace.</w:t>
            </w:r>
          </w:p>
        </w:tc>
      </w:tr>
      <w:tr w:rsidR="00254CEF" w:rsidRPr="003871B3" w14:paraId="13C9303E" w14:textId="77777777" w:rsidTr="00B7266F">
        <w:tc>
          <w:tcPr>
            <w:tcW w:w="1061" w:type="dxa"/>
          </w:tcPr>
          <w:p w14:paraId="111A7128" w14:textId="0F6E3BA4" w:rsidR="00254CEF" w:rsidRPr="003871B3" w:rsidRDefault="00254CEF" w:rsidP="00224D0A">
            <w:pPr>
              <w:pStyle w:val="GSOdstavec"/>
            </w:pPr>
            <w:r w:rsidRPr="003871B3">
              <w:t>TP062</w:t>
            </w:r>
          </w:p>
        </w:tc>
        <w:tc>
          <w:tcPr>
            <w:tcW w:w="8006" w:type="dxa"/>
          </w:tcPr>
          <w:p w14:paraId="3E73D722" w14:textId="67A03242" w:rsidR="00254CEF" w:rsidRPr="003871B3" w:rsidRDefault="00254CEF" w:rsidP="00DE5484">
            <w:pPr>
              <w:pStyle w:val="GSOdstavec"/>
              <w:rPr>
                <w:rFonts w:cs="Arial"/>
                <w:szCs w:val="22"/>
              </w:rPr>
            </w:pPr>
            <w:r w:rsidRPr="003871B3">
              <w:rPr>
                <w:rFonts w:cs="Arial"/>
                <w:szCs w:val="22"/>
              </w:rPr>
              <w:t>Dodavatel zajistí vytvoření a implementaci kontrolních mechanizmů pro kontrolu zmigrovaných dat v cílových systémech, tak aby byla zajištěna konzistence a průkaznost záznamů. Případný nesoulad v migrovaných datech bude Dodavatel reportovat.</w:t>
            </w:r>
          </w:p>
        </w:tc>
      </w:tr>
      <w:tr w:rsidR="00254CEF" w:rsidRPr="003871B3" w14:paraId="0A6CD8E1" w14:textId="77777777" w:rsidTr="00B7266F">
        <w:tc>
          <w:tcPr>
            <w:tcW w:w="1061" w:type="dxa"/>
          </w:tcPr>
          <w:p w14:paraId="470E2FF7" w14:textId="670F1065" w:rsidR="00254CEF" w:rsidRPr="003871B3" w:rsidRDefault="00254CEF" w:rsidP="00224D0A">
            <w:pPr>
              <w:pStyle w:val="GSOdstavec"/>
            </w:pPr>
            <w:r w:rsidRPr="003871B3">
              <w:t>TP070</w:t>
            </w:r>
          </w:p>
        </w:tc>
        <w:tc>
          <w:tcPr>
            <w:tcW w:w="8006" w:type="dxa"/>
          </w:tcPr>
          <w:p w14:paraId="06530015" w14:textId="0CC8D86E" w:rsidR="00254CEF" w:rsidRPr="003871B3" w:rsidRDefault="00254CEF" w:rsidP="00DE5484">
            <w:pPr>
              <w:pStyle w:val="GSOdstavec"/>
              <w:rPr>
                <w:rFonts w:cs="Arial"/>
                <w:szCs w:val="22"/>
              </w:rPr>
            </w:pPr>
            <w:r w:rsidRPr="003871B3">
              <w:rPr>
                <w:rFonts w:cs="Arial"/>
                <w:szCs w:val="22"/>
              </w:rPr>
              <w:t>Dodavatel zajistí, aby u všech migrovaných dat byly vytvořeny automatizované kontrolní mechanismy úplnosti migračních setů. Například kontrolní součty důležitých polí, počty položek a další mechanismy. Tyto kontrolní mechanizmy budou logovat výstupy do archivovaného úložiště.</w:t>
            </w:r>
          </w:p>
        </w:tc>
      </w:tr>
      <w:tr w:rsidR="00254CEF" w:rsidRPr="003871B3" w14:paraId="4FEE9EA9" w14:textId="77777777" w:rsidTr="00B7266F">
        <w:tc>
          <w:tcPr>
            <w:tcW w:w="1061" w:type="dxa"/>
          </w:tcPr>
          <w:p w14:paraId="39FC9305" w14:textId="30FF7187" w:rsidR="00254CEF" w:rsidRPr="003871B3" w:rsidRDefault="00254CEF" w:rsidP="00224D0A">
            <w:pPr>
              <w:pStyle w:val="GSOdstavec"/>
            </w:pPr>
            <w:r w:rsidRPr="003871B3">
              <w:t>TP077</w:t>
            </w:r>
          </w:p>
        </w:tc>
        <w:tc>
          <w:tcPr>
            <w:tcW w:w="8006" w:type="dxa"/>
          </w:tcPr>
          <w:p w14:paraId="5A0CBC9C" w14:textId="77777777" w:rsidR="00254CEF" w:rsidRPr="003871B3" w:rsidRDefault="00254CEF" w:rsidP="00DE5484">
            <w:pPr>
              <w:pStyle w:val="GSOdstavec"/>
              <w:rPr>
                <w:rFonts w:cs="Arial"/>
                <w:szCs w:val="22"/>
              </w:rPr>
            </w:pPr>
            <w:r w:rsidRPr="003871B3">
              <w:rPr>
                <w:rFonts w:cs="Arial"/>
                <w:szCs w:val="22"/>
              </w:rPr>
              <w:t>Dodavatel bude poskytovat konzultace ostatním projektům JISPSV v oblasti BI služeb. A to včetně aktivních návrhů řešení uvedených problematik. Konzultační činnost bude zejména v těchto oblastech:</w:t>
            </w:r>
          </w:p>
          <w:p w14:paraId="1BB1FAAB" w14:textId="77777777" w:rsidR="00254CEF" w:rsidRPr="003871B3" w:rsidRDefault="00254CEF" w:rsidP="00D3471D">
            <w:pPr>
              <w:pStyle w:val="GSOdstavec"/>
              <w:spacing w:before="0" w:after="80"/>
              <w:rPr>
                <w:rFonts w:cs="Arial"/>
                <w:szCs w:val="22"/>
              </w:rPr>
            </w:pPr>
            <w:r w:rsidRPr="003871B3">
              <w:rPr>
                <w:rFonts w:cs="Arial"/>
                <w:szCs w:val="22"/>
              </w:rPr>
              <w:t xml:space="preserve">- Informace o datovém potenciálu a významu položek ze zdrojových systémů. </w:t>
            </w:r>
          </w:p>
          <w:p w14:paraId="3468736A" w14:textId="28A4722C" w:rsidR="00254CEF" w:rsidRPr="003871B3" w:rsidRDefault="00254CEF" w:rsidP="00D3471D">
            <w:pPr>
              <w:pStyle w:val="GSOdstavec"/>
              <w:spacing w:before="0" w:after="80"/>
              <w:rPr>
                <w:rFonts w:cs="Arial"/>
                <w:szCs w:val="22"/>
              </w:rPr>
            </w:pPr>
            <w:r w:rsidRPr="003871B3">
              <w:rPr>
                <w:rFonts w:cs="Arial"/>
                <w:szCs w:val="22"/>
              </w:rPr>
              <w:t>- Informace o vazbách položek ze zdrojových systémů.</w:t>
            </w:r>
          </w:p>
          <w:p w14:paraId="3089BF03" w14:textId="77777777" w:rsidR="00254CEF" w:rsidRPr="003871B3" w:rsidRDefault="00254CEF" w:rsidP="00D3471D">
            <w:pPr>
              <w:pStyle w:val="GSOdstavec"/>
              <w:spacing w:before="0" w:after="80"/>
              <w:rPr>
                <w:rFonts w:cs="Arial"/>
                <w:szCs w:val="22"/>
              </w:rPr>
            </w:pPr>
            <w:r w:rsidRPr="003871B3">
              <w:rPr>
                <w:rFonts w:cs="Arial"/>
                <w:szCs w:val="22"/>
              </w:rPr>
              <w:t xml:space="preserve">- Možnosti transformace z původních systémů na položky nového systému. </w:t>
            </w:r>
          </w:p>
          <w:p w14:paraId="29A0ED8D" w14:textId="337A9D0B" w:rsidR="00254CEF" w:rsidRPr="003871B3" w:rsidRDefault="00254CEF" w:rsidP="00D3471D">
            <w:pPr>
              <w:pStyle w:val="GSOdstavec"/>
              <w:spacing w:before="0" w:after="80"/>
              <w:rPr>
                <w:rFonts w:cs="Arial"/>
                <w:szCs w:val="22"/>
              </w:rPr>
            </w:pPr>
            <w:r w:rsidRPr="003871B3">
              <w:rPr>
                <w:rFonts w:cs="Arial"/>
                <w:szCs w:val="22"/>
              </w:rPr>
              <w:t>- Návrh a konzultace změn a transformace identifikátorů objektů a datových prvků přes celý informační systém</w:t>
            </w:r>
          </w:p>
        </w:tc>
      </w:tr>
      <w:tr w:rsidR="00254CEF" w:rsidRPr="003871B3" w14:paraId="02DE0714" w14:textId="77777777" w:rsidTr="00B7266F">
        <w:tc>
          <w:tcPr>
            <w:tcW w:w="1061" w:type="dxa"/>
          </w:tcPr>
          <w:p w14:paraId="65FCE865" w14:textId="2F3A077E" w:rsidR="00254CEF" w:rsidRPr="003871B3" w:rsidRDefault="00254CEF" w:rsidP="00224D0A">
            <w:pPr>
              <w:pStyle w:val="GSOdstavec"/>
            </w:pPr>
            <w:r w:rsidRPr="003871B3">
              <w:t>TP078</w:t>
            </w:r>
          </w:p>
        </w:tc>
        <w:tc>
          <w:tcPr>
            <w:tcW w:w="8006" w:type="dxa"/>
          </w:tcPr>
          <w:p w14:paraId="326C5ADC" w14:textId="253CB78B" w:rsidR="00254CEF" w:rsidRPr="003871B3" w:rsidRDefault="00254CEF" w:rsidP="00DE5484">
            <w:pPr>
              <w:pStyle w:val="GSOdstavec"/>
              <w:rPr>
                <w:rFonts w:cs="Arial"/>
                <w:szCs w:val="22"/>
              </w:rPr>
            </w:pPr>
            <w:r w:rsidRPr="003871B3">
              <w:t>Dodavatel bude poskytovat konzultace spojené s legislativou GDPR (Obecné nařízení o ochraně osobních údajů / Global Data Protection Regulation).</w:t>
            </w:r>
          </w:p>
        </w:tc>
      </w:tr>
      <w:tr w:rsidR="00254CEF" w:rsidRPr="003871B3" w14:paraId="086A993D" w14:textId="77777777" w:rsidTr="00B7266F">
        <w:tc>
          <w:tcPr>
            <w:tcW w:w="1061" w:type="dxa"/>
          </w:tcPr>
          <w:p w14:paraId="0BE49D96" w14:textId="21B1E0EF" w:rsidR="00254CEF" w:rsidRPr="003871B3" w:rsidRDefault="00254CEF" w:rsidP="00224D0A">
            <w:pPr>
              <w:pStyle w:val="GSOdstavec"/>
            </w:pPr>
            <w:r w:rsidRPr="005C03E1">
              <w:t>TP088</w:t>
            </w:r>
          </w:p>
        </w:tc>
        <w:tc>
          <w:tcPr>
            <w:tcW w:w="8006" w:type="dxa"/>
          </w:tcPr>
          <w:p w14:paraId="5C7E35D8" w14:textId="42F74C9F" w:rsidR="00254CEF" w:rsidRPr="003871B3" w:rsidRDefault="00254CEF" w:rsidP="00DE5484">
            <w:pPr>
              <w:pStyle w:val="GSOdstavec"/>
              <w:rPr>
                <w:rFonts w:cs="Arial"/>
                <w:szCs w:val="22"/>
              </w:rPr>
            </w:pPr>
            <w:r w:rsidRPr="005C03E1">
              <w:rPr>
                <w:rFonts w:cs="Arial"/>
                <w:szCs w:val="22"/>
              </w:rPr>
              <w:t xml:space="preserve">Dodavatel dodá analýzu statistických dat v oblasti zaměstnanosti ve vazbě na systém ISZAM a bude poskytovat součinnost všem dotčeným subjektům při realizaci statistik (např. dodavatel ISZAM, DWH a Portálu). Analýza bude obsahovat přehled </w:t>
            </w:r>
            <w:r w:rsidRPr="000C424D">
              <w:rPr>
                <w:rFonts w:cs="Arial"/>
                <w:szCs w:val="22"/>
              </w:rPr>
              <w:t xml:space="preserve">všech </w:t>
            </w:r>
            <w:r w:rsidR="00965B2B" w:rsidRPr="000C424D">
              <w:rPr>
                <w:rFonts w:cs="Arial"/>
                <w:color w:val="000000"/>
                <w:szCs w:val="22"/>
              </w:rPr>
              <w:t xml:space="preserve">zákonem požadovaných </w:t>
            </w:r>
            <w:r w:rsidRPr="000C424D">
              <w:rPr>
                <w:rFonts w:cs="Arial"/>
                <w:szCs w:val="22"/>
              </w:rPr>
              <w:t>statistik</w:t>
            </w:r>
            <w:r w:rsidRPr="005C03E1">
              <w:rPr>
                <w:rFonts w:cs="Arial"/>
                <w:szCs w:val="22"/>
              </w:rPr>
              <w:t xml:space="preserve"> se základní kategorizací a popisem (veřejná/neveřejná, povinná/nepovi</w:t>
            </w:r>
            <w:r>
              <w:rPr>
                <w:rFonts w:cs="Arial"/>
                <w:szCs w:val="22"/>
              </w:rPr>
              <w:t>n</w:t>
            </w:r>
            <w:r w:rsidRPr="005C03E1">
              <w:rPr>
                <w:rFonts w:cs="Arial"/>
                <w:szCs w:val="22"/>
              </w:rPr>
              <w:t>ná, vlastník, frekvence aktualizace, účel a popis, vztah a vazba na jiný subjekt, vazba na proces, zdroj dat, komplexita - vysoká/střední/nízká, atd.) a detailní specifikací každé statistiky. Dodaná analýza bude předmětem oponentního řízení MPSV a bude sloužit jako vstup pro dodavatele, kteří budou řešení statistik realizovat.</w:t>
            </w:r>
          </w:p>
        </w:tc>
      </w:tr>
      <w:tr w:rsidR="00254CEF" w:rsidRPr="003871B3" w14:paraId="3214856D" w14:textId="77777777" w:rsidTr="00B7266F">
        <w:tc>
          <w:tcPr>
            <w:tcW w:w="1061" w:type="dxa"/>
          </w:tcPr>
          <w:p w14:paraId="42224385" w14:textId="0E5E0A78" w:rsidR="00254CEF" w:rsidRPr="003871B3" w:rsidRDefault="00254CEF" w:rsidP="00224D0A">
            <w:pPr>
              <w:pStyle w:val="GSOdstavec"/>
            </w:pPr>
            <w:r w:rsidRPr="003871B3">
              <w:t>BEZ017</w:t>
            </w:r>
          </w:p>
        </w:tc>
        <w:tc>
          <w:tcPr>
            <w:tcW w:w="8006" w:type="dxa"/>
          </w:tcPr>
          <w:p w14:paraId="37852A05" w14:textId="5F1AE831" w:rsidR="00254CEF" w:rsidRPr="003871B3" w:rsidRDefault="00254CEF" w:rsidP="00DE5484">
            <w:pPr>
              <w:pStyle w:val="GSOdstavec"/>
              <w:rPr>
                <w:rFonts w:cs="Arial"/>
                <w:szCs w:val="22"/>
              </w:rPr>
            </w:pPr>
            <w:r w:rsidRPr="003871B3">
              <w:rPr>
                <w:rFonts w:cs="Arial"/>
                <w:szCs w:val="22"/>
              </w:rPr>
              <w:t xml:space="preserve">Dodavatel na základě požadavku </w:t>
            </w:r>
            <w:r w:rsidR="00262235">
              <w:rPr>
                <w:rFonts w:cs="Arial"/>
                <w:szCs w:val="22"/>
              </w:rPr>
              <w:t>Objednatel</w:t>
            </w:r>
            <w:r w:rsidRPr="003871B3">
              <w:rPr>
                <w:rFonts w:cs="Arial"/>
                <w:szCs w:val="22"/>
              </w:rPr>
              <w:t xml:space="preserve">e provede analýzu dopadů (BIA) - stanovení maximálních akceptovatelných časů výpadku systému (RTO), stanovení hraniční doby výpadku (MTO), definice úrovní poskytovaných služeb (LBC), stanovení maximální přípustné ztráty dat (RPO), identifikace výše dopadů výpadků na poskytované služby podporované LIS, návrh opatření ke snížení rizik. Na základě výsledků BIA, kterou připravil, nebo dostal od </w:t>
            </w:r>
            <w:r w:rsidR="00262235">
              <w:rPr>
                <w:rFonts w:cs="Arial"/>
                <w:szCs w:val="22"/>
              </w:rPr>
              <w:t>Objednatel</w:t>
            </w:r>
            <w:r w:rsidRPr="003871B3">
              <w:rPr>
                <w:rFonts w:cs="Arial"/>
                <w:szCs w:val="22"/>
              </w:rPr>
              <w:t>e</w:t>
            </w:r>
            <w:r>
              <w:rPr>
                <w:rFonts w:cs="Arial"/>
                <w:szCs w:val="22"/>
              </w:rPr>
              <w:t>,</w:t>
            </w:r>
            <w:r w:rsidRPr="003871B3">
              <w:rPr>
                <w:rFonts w:cs="Arial"/>
                <w:szCs w:val="22"/>
              </w:rPr>
              <w:t xml:space="preserve"> připraví plány obnovy (DRP) pro IS. Dodavatel připraví postupy a zajistí zvládání krizových situací a rychlou obnovu IS v případě narušení kontinuity činností. V rámci dodávky budou provedeny testy funkčnosti DRP a postupů zvládání krizových situací.</w:t>
            </w:r>
          </w:p>
        </w:tc>
      </w:tr>
      <w:tr w:rsidR="00254CEF" w:rsidRPr="003871B3" w14:paraId="79B20287" w14:textId="77777777" w:rsidTr="00B7266F">
        <w:tc>
          <w:tcPr>
            <w:tcW w:w="1061" w:type="dxa"/>
          </w:tcPr>
          <w:p w14:paraId="299D0F99" w14:textId="59DD0F96" w:rsidR="00254CEF" w:rsidRPr="003871B3" w:rsidRDefault="00254CEF" w:rsidP="00224D0A">
            <w:pPr>
              <w:pStyle w:val="GSOdstavec"/>
            </w:pPr>
            <w:r w:rsidRPr="003871B3">
              <w:t>BEZ023</w:t>
            </w:r>
          </w:p>
        </w:tc>
        <w:tc>
          <w:tcPr>
            <w:tcW w:w="8006" w:type="dxa"/>
          </w:tcPr>
          <w:p w14:paraId="3D17F03A" w14:textId="22352B74" w:rsidR="00254CEF" w:rsidRPr="003871B3" w:rsidRDefault="00254CEF" w:rsidP="00B00E54">
            <w:pPr>
              <w:pStyle w:val="GSOdstavec"/>
              <w:rPr>
                <w:rFonts w:cs="Arial"/>
                <w:szCs w:val="22"/>
              </w:rPr>
            </w:pPr>
            <w:r w:rsidRPr="003871B3">
              <w:rPr>
                <w:rFonts w:cs="Arial"/>
                <w:szCs w:val="22"/>
              </w:rPr>
              <w:t>Dodavatel poskytne součinnost třetí straně provádějící audit, nebo internímu auditorovi MPSV v rozsahu 5</w:t>
            </w:r>
            <w:r w:rsidR="00B00E54">
              <w:rPr>
                <w:rFonts w:cs="Arial"/>
                <w:szCs w:val="22"/>
              </w:rPr>
              <w:t xml:space="preserve"> </w:t>
            </w:r>
            <w:r w:rsidRPr="003871B3">
              <w:rPr>
                <w:rFonts w:cs="Arial"/>
                <w:szCs w:val="22"/>
              </w:rPr>
              <w:t xml:space="preserve">MDs za rok, pokud jej k tomu </w:t>
            </w:r>
            <w:r w:rsidR="00262235">
              <w:rPr>
                <w:rFonts w:cs="Arial"/>
                <w:szCs w:val="22"/>
              </w:rPr>
              <w:t>Objednatel</w:t>
            </w:r>
            <w:r w:rsidRPr="003871B3">
              <w:rPr>
                <w:rFonts w:cs="Arial"/>
                <w:szCs w:val="22"/>
              </w:rPr>
              <w:t xml:space="preserve"> vyzve.</w:t>
            </w:r>
          </w:p>
          <w:p w14:paraId="5A67AC39" w14:textId="77777777" w:rsidR="00254CEF" w:rsidRPr="003871B3" w:rsidRDefault="00254CEF" w:rsidP="00B00E54">
            <w:pPr>
              <w:pStyle w:val="GSOdstavec"/>
              <w:rPr>
                <w:rFonts w:cs="Arial"/>
                <w:szCs w:val="22"/>
              </w:rPr>
            </w:pPr>
            <w:r w:rsidRPr="003871B3">
              <w:rPr>
                <w:rFonts w:cs="Arial"/>
                <w:szCs w:val="22"/>
              </w:rPr>
              <w:t>Dodavatel zajistí provedení kontrol dodržování bezpečnosti informací v rámci provozu systému zahrnující:</w:t>
            </w:r>
          </w:p>
          <w:p w14:paraId="5AB632E5" w14:textId="3CE71964" w:rsidR="00254CEF" w:rsidRPr="003871B3" w:rsidRDefault="00254CEF" w:rsidP="00213C03">
            <w:pPr>
              <w:pStyle w:val="ListParagraph"/>
              <w:numPr>
                <w:ilvl w:val="0"/>
                <w:numId w:val="25"/>
              </w:numPr>
              <w:rPr>
                <w:rFonts w:ascii="Arial" w:hAnsi="Arial" w:cs="Arial"/>
                <w:sz w:val="22"/>
                <w:szCs w:val="22"/>
              </w:rPr>
            </w:pPr>
            <w:r w:rsidRPr="003871B3">
              <w:rPr>
                <w:rFonts w:ascii="Arial" w:hAnsi="Arial" w:cs="Arial"/>
                <w:b w:val="0"/>
                <w:sz w:val="22"/>
                <w:szCs w:val="22"/>
              </w:rPr>
              <w:t>Pravidelné provozní testy s bezpečnostními aspekty navázané na nasazení nových produkčních verzí.</w:t>
            </w:r>
          </w:p>
          <w:p w14:paraId="096C1D0E" w14:textId="77983445" w:rsidR="00254CEF" w:rsidRPr="003871B3" w:rsidRDefault="00254CEF" w:rsidP="00213C03">
            <w:pPr>
              <w:pStyle w:val="ListParagraph"/>
              <w:numPr>
                <w:ilvl w:val="0"/>
                <w:numId w:val="25"/>
              </w:numPr>
            </w:pPr>
            <w:r w:rsidRPr="003871B3">
              <w:rPr>
                <w:rFonts w:ascii="Arial" w:hAnsi="Arial" w:cs="Arial"/>
                <w:b w:val="0"/>
                <w:sz w:val="22"/>
                <w:szCs w:val="22"/>
              </w:rPr>
              <w:t>Pravidelné testování zranitelností IS a řešení oprav či případných workaroundů k eliminaci zranitelností a snížení dopadů z působení hrozeb tyto zranitelnosti využívající.</w:t>
            </w:r>
          </w:p>
        </w:tc>
      </w:tr>
      <w:tr w:rsidR="00254CEF" w:rsidRPr="003871B3" w14:paraId="3B79A432" w14:textId="77777777" w:rsidTr="00B7266F">
        <w:tc>
          <w:tcPr>
            <w:tcW w:w="1061" w:type="dxa"/>
          </w:tcPr>
          <w:p w14:paraId="47BC47FB" w14:textId="440ABE34" w:rsidR="00254CEF" w:rsidRPr="003871B3" w:rsidRDefault="00254CEF" w:rsidP="00224D0A">
            <w:pPr>
              <w:pStyle w:val="GSOdstavec"/>
            </w:pPr>
            <w:r w:rsidRPr="003871B3">
              <w:t>BEZ024</w:t>
            </w:r>
          </w:p>
        </w:tc>
        <w:tc>
          <w:tcPr>
            <w:tcW w:w="8006" w:type="dxa"/>
          </w:tcPr>
          <w:p w14:paraId="449CEC01" w14:textId="161A4CDC" w:rsidR="00254CEF" w:rsidRPr="003871B3" w:rsidRDefault="00254CEF" w:rsidP="00DE5484">
            <w:pPr>
              <w:pStyle w:val="GSOdstavec"/>
            </w:pPr>
            <w:r w:rsidRPr="003871B3">
              <w:t xml:space="preserve">Dodavatel zajistí v rámci dodávky soulad s platnou bezpečnostní legislativou MPSV, kterou dodavateli poskytne </w:t>
            </w:r>
            <w:r w:rsidR="00262235">
              <w:t>Objednatel</w:t>
            </w:r>
            <w:r w:rsidRPr="003871B3">
              <w:t>. Dodavatel na vyžádání MKB vypracuje gapovou analýzu vůči těmto standardům a předloží návrh opatření k jejich naplnění.</w:t>
            </w:r>
          </w:p>
          <w:p w14:paraId="1D224459" w14:textId="47E1F882" w:rsidR="00254CEF" w:rsidRPr="003871B3" w:rsidRDefault="00254CEF" w:rsidP="0013605D">
            <w:pPr>
              <w:pStyle w:val="GSOdstavec"/>
            </w:pPr>
            <w:r w:rsidRPr="003871B3">
              <w:t>Dodavatel zajistí naplnění všech relevantních technických a organizačních požadavků stanovených zákonem č. 181/2014 Sb., o kybernetické bezpečnosti, jeho novelizací zákonem č. 104/2017 Sb. a vyhláškou 82/2018 Sb. o kybernetické bezpečnosti či případně její novelizací v rozsahu platném pro informační systém kritické informační infrastruktury</w:t>
            </w:r>
          </w:p>
        </w:tc>
      </w:tr>
      <w:tr w:rsidR="00254CEF" w:rsidRPr="003871B3" w14:paraId="284DB0E9" w14:textId="77777777" w:rsidTr="00B7266F">
        <w:tc>
          <w:tcPr>
            <w:tcW w:w="1061" w:type="dxa"/>
          </w:tcPr>
          <w:p w14:paraId="678396B5" w14:textId="7546AE57" w:rsidR="00254CEF" w:rsidRPr="003871B3" w:rsidRDefault="00254CEF" w:rsidP="00224D0A">
            <w:pPr>
              <w:pStyle w:val="GSOdstavec"/>
            </w:pPr>
            <w:r w:rsidRPr="003871B3">
              <w:t>DOC015</w:t>
            </w:r>
          </w:p>
        </w:tc>
        <w:tc>
          <w:tcPr>
            <w:tcW w:w="8006" w:type="dxa"/>
          </w:tcPr>
          <w:p w14:paraId="4788A9FE" w14:textId="7B021BDE" w:rsidR="00254CEF" w:rsidRPr="003871B3" w:rsidRDefault="00254CEF" w:rsidP="00F02338">
            <w:pPr>
              <w:pStyle w:val="GSOdstavec"/>
            </w:pPr>
            <w:r w:rsidRPr="003871B3">
              <w:t>Dodavatel dodá obraz vhdx funkční virtuální pracovní stanice vývojáře s veškerými potřebnými nástroji pro sestavení komponent systému. S dodávkou virtuální pracovní stanice budou dodány i veškeré potřebné licence pro provozování 3 vývojářských stanic. Dodavatel dále předá dokumentaci popisující instalaci a konfiguraci prostředí pro vývoj systému tak, aby na jejím základě mohlo být takové prostředí vybudováno a sestaveny komponenty systému z předaných zdrojových kódů.</w:t>
            </w:r>
          </w:p>
          <w:p w14:paraId="3E399E2E" w14:textId="0A035244" w:rsidR="00254CEF" w:rsidRPr="003871B3" w:rsidRDefault="00254CEF" w:rsidP="001C1002">
            <w:pPr>
              <w:pStyle w:val="GSOdstavec"/>
            </w:pPr>
            <w:r w:rsidRPr="003871B3">
              <w:t xml:space="preserve">Uvedený požadavek dodavatel provede. </w:t>
            </w:r>
            <w:r w:rsidR="00262235">
              <w:t>Objednatel</w:t>
            </w:r>
            <w:r w:rsidRPr="003871B3">
              <w:t xml:space="preserve"> poskytne licence OS (Win10) a EA.</w:t>
            </w:r>
          </w:p>
        </w:tc>
      </w:tr>
    </w:tbl>
    <w:p w14:paraId="6FCFE164" w14:textId="77777777" w:rsidR="00141990" w:rsidRPr="003871B3" w:rsidRDefault="00141990" w:rsidP="00141990">
      <w:pPr>
        <w:pStyle w:val="GSNadpis3"/>
      </w:pPr>
      <w:bookmarkStart w:id="40" w:name="_Toc522884707"/>
      <w:r w:rsidRPr="003871B3">
        <w:t>Ostatní</w:t>
      </w:r>
      <w:bookmarkEnd w:id="40"/>
    </w:p>
    <w:p w14:paraId="1506A381" w14:textId="6BE3A607" w:rsidR="00141990" w:rsidRPr="00C22A86" w:rsidRDefault="00141990" w:rsidP="00E02DF7">
      <w:pPr>
        <w:pStyle w:val="GSOdstavec"/>
        <w:rPr>
          <w:rFonts w:eastAsia="Times New Roman" w:cs="Arial"/>
          <w:color w:val="000000"/>
          <w:szCs w:val="22"/>
          <w:lang w:eastAsia="cs-CZ"/>
        </w:rPr>
      </w:pPr>
      <w:r w:rsidRPr="00C22A86">
        <w:rPr>
          <w:rFonts w:eastAsia="Times New Roman" w:cs="Arial"/>
          <w:color w:val="000000"/>
          <w:szCs w:val="22"/>
          <w:lang w:eastAsia="cs-CZ"/>
        </w:rPr>
        <w:t xml:space="preserve">Dodávka plnění popsaného v rámci kapitoly </w:t>
      </w:r>
      <w:r w:rsidR="006E4B9C">
        <w:rPr>
          <w:rFonts w:eastAsia="Times New Roman" w:cs="Arial"/>
          <w:color w:val="000000"/>
          <w:szCs w:val="22"/>
          <w:lang w:eastAsia="cs-CZ"/>
        </w:rPr>
        <w:fldChar w:fldCharType="begin"/>
      </w:r>
      <w:r w:rsidR="006E4B9C">
        <w:rPr>
          <w:rFonts w:eastAsia="Times New Roman" w:cs="Arial"/>
          <w:color w:val="000000"/>
          <w:szCs w:val="22"/>
          <w:lang w:eastAsia="cs-CZ"/>
        </w:rPr>
        <w:instrText xml:space="preserve"> REF _Ref522275103 \r \h </w:instrText>
      </w:r>
      <w:r w:rsidR="006E4B9C">
        <w:rPr>
          <w:rFonts w:eastAsia="Times New Roman" w:cs="Arial"/>
          <w:color w:val="000000"/>
          <w:szCs w:val="22"/>
          <w:lang w:eastAsia="cs-CZ"/>
        </w:rPr>
      </w:r>
      <w:r w:rsidR="006E4B9C">
        <w:rPr>
          <w:rFonts w:eastAsia="Times New Roman" w:cs="Arial"/>
          <w:color w:val="000000"/>
          <w:szCs w:val="22"/>
          <w:lang w:eastAsia="cs-CZ"/>
        </w:rPr>
        <w:fldChar w:fldCharType="separate"/>
      </w:r>
      <w:r w:rsidR="00B3394C">
        <w:rPr>
          <w:rFonts w:eastAsia="Times New Roman" w:cs="Arial"/>
          <w:color w:val="000000"/>
          <w:szCs w:val="22"/>
          <w:lang w:eastAsia="cs-CZ"/>
        </w:rPr>
        <w:t>2.1</w:t>
      </w:r>
      <w:r w:rsidR="006E4B9C">
        <w:rPr>
          <w:rFonts w:eastAsia="Times New Roman" w:cs="Arial"/>
          <w:color w:val="000000"/>
          <w:szCs w:val="22"/>
          <w:lang w:eastAsia="cs-CZ"/>
        </w:rPr>
        <w:fldChar w:fldCharType="end"/>
      </w:r>
      <w:r w:rsidRPr="00C22A86">
        <w:rPr>
          <w:rFonts w:eastAsia="Times New Roman" w:cs="Arial"/>
          <w:color w:val="000000"/>
          <w:szCs w:val="22"/>
          <w:lang w:eastAsia="cs-CZ"/>
        </w:rPr>
        <w:t xml:space="preserve"> se bude dále řídit požadavky</w:t>
      </w:r>
      <w:r w:rsidR="00213C03" w:rsidRPr="00C22A86">
        <w:rPr>
          <w:rFonts w:eastAsia="Times New Roman" w:cs="Arial"/>
          <w:color w:val="000000"/>
          <w:szCs w:val="22"/>
          <w:lang w:eastAsia="cs-CZ"/>
        </w:rPr>
        <w:t xml:space="preserve"> uvedenými v </w:t>
      </w:r>
      <w:r w:rsidR="00C26BD9" w:rsidRPr="00C22A86">
        <w:rPr>
          <w:rFonts w:eastAsia="Times New Roman" w:cs="Arial"/>
          <w:color w:val="000000"/>
          <w:szCs w:val="22"/>
          <w:lang w:eastAsia="cs-CZ"/>
        </w:rPr>
        <w:t>následující</w:t>
      </w:r>
      <w:r w:rsidR="00213C03" w:rsidRPr="00C22A86">
        <w:rPr>
          <w:rFonts w:eastAsia="Times New Roman" w:cs="Arial"/>
          <w:color w:val="000000"/>
          <w:szCs w:val="22"/>
          <w:lang w:eastAsia="cs-CZ"/>
        </w:rPr>
        <w:t xml:space="preserve"> tabulce</w:t>
      </w:r>
      <w:r w:rsidRPr="00C22A86">
        <w:rPr>
          <w:rFonts w:eastAsia="Times New Roman" w:cs="Arial"/>
          <w:color w:val="000000"/>
          <w:szCs w:val="22"/>
          <w:lang w:eastAsia="cs-CZ"/>
        </w:rPr>
        <w:t>:</w:t>
      </w:r>
    </w:p>
    <w:tbl>
      <w:tblPr>
        <w:tblStyle w:val="TableGrid"/>
        <w:tblW w:w="9067" w:type="dxa"/>
        <w:tblLook w:val="04A0" w:firstRow="1" w:lastRow="0" w:firstColumn="1" w:lastColumn="0" w:noHBand="0" w:noVBand="1"/>
      </w:tblPr>
      <w:tblGrid>
        <w:gridCol w:w="1072"/>
        <w:gridCol w:w="7995"/>
      </w:tblGrid>
      <w:tr w:rsidR="00254CEF" w:rsidRPr="003871B3" w14:paraId="0D857A61" w14:textId="77777777" w:rsidTr="00B7266F">
        <w:tc>
          <w:tcPr>
            <w:tcW w:w="988" w:type="dxa"/>
          </w:tcPr>
          <w:p w14:paraId="5ED7E06E" w14:textId="240F0F3F" w:rsidR="00254CEF" w:rsidRPr="003871B3" w:rsidRDefault="00254CEF" w:rsidP="00E02DF7">
            <w:pPr>
              <w:pStyle w:val="GSOdstavec"/>
            </w:pPr>
            <w:r w:rsidRPr="003871B3">
              <w:t>TP001</w:t>
            </w:r>
          </w:p>
        </w:tc>
        <w:tc>
          <w:tcPr>
            <w:tcW w:w="8079" w:type="dxa"/>
          </w:tcPr>
          <w:p w14:paraId="1AC9C53D" w14:textId="2013C975" w:rsidR="00254CEF" w:rsidRPr="003871B3" w:rsidRDefault="00254CEF" w:rsidP="00E02DF7">
            <w:pPr>
              <w:pStyle w:val="GSOdstavec"/>
            </w:pPr>
            <w:r w:rsidRPr="003871B3">
              <w:rPr>
                <w:rFonts w:cs="Arial"/>
                <w:szCs w:val="22"/>
              </w:rPr>
              <w:t>Systém bude využívat dedikované DB servery postavené na SQL Serveru a poběží na OS Win Server ve virtualizovaném prostředí v rámci Hyper-V</w:t>
            </w:r>
          </w:p>
        </w:tc>
      </w:tr>
      <w:tr w:rsidR="00254CEF" w:rsidRPr="003871B3" w14:paraId="2F5D0E6F" w14:textId="77777777" w:rsidTr="00B7266F">
        <w:tc>
          <w:tcPr>
            <w:tcW w:w="988" w:type="dxa"/>
          </w:tcPr>
          <w:p w14:paraId="3808463D" w14:textId="2D938118" w:rsidR="00254CEF" w:rsidRPr="003871B3" w:rsidRDefault="00254CEF" w:rsidP="00E02DF7">
            <w:pPr>
              <w:pStyle w:val="GSOdstavec"/>
            </w:pPr>
            <w:r w:rsidRPr="003871B3">
              <w:t>TP00</w:t>
            </w:r>
            <w:r>
              <w:t>5</w:t>
            </w:r>
          </w:p>
        </w:tc>
        <w:tc>
          <w:tcPr>
            <w:tcW w:w="8079" w:type="dxa"/>
          </w:tcPr>
          <w:p w14:paraId="307B62B6" w14:textId="680B05B9" w:rsidR="00254CEF" w:rsidRPr="003871B3" w:rsidRDefault="00254CEF" w:rsidP="00E02DF7">
            <w:pPr>
              <w:pStyle w:val="GSOdstavec"/>
              <w:rPr>
                <w:rFonts w:cs="Arial"/>
                <w:szCs w:val="22"/>
              </w:rPr>
            </w:pPr>
            <w:r w:rsidRPr="00C146DD">
              <w:rPr>
                <w:rFonts w:cs="Arial"/>
                <w:szCs w:val="22"/>
              </w:rPr>
              <w:t>Dodavatel v návrhu procesů musí zohlednit negativní scénáře tak, aby v případě nedoběhu některé aktivity nedošlo k nevratné nekonzistenci dat.</w:t>
            </w:r>
          </w:p>
        </w:tc>
      </w:tr>
      <w:tr w:rsidR="00254CEF" w:rsidRPr="003871B3" w14:paraId="1A50FCB5" w14:textId="77777777" w:rsidTr="00B7266F">
        <w:tc>
          <w:tcPr>
            <w:tcW w:w="988" w:type="dxa"/>
          </w:tcPr>
          <w:p w14:paraId="54B48413" w14:textId="0061F08F" w:rsidR="00254CEF" w:rsidRPr="003871B3" w:rsidRDefault="00254CEF" w:rsidP="00E02DF7">
            <w:pPr>
              <w:pStyle w:val="GSOdstavec"/>
            </w:pPr>
            <w:r w:rsidRPr="003871B3">
              <w:t>TP006</w:t>
            </w:r>
          </w:p>
        </w:tc>
        <w:tc>
          <w:tcPr>
            <w:tcW w:w="8079" w:type="dxa"/>
          </w:tcPr>
          <w:p w14:paraId="2C3BA685" w14:textId="796D5CFE" w:rsidR="00254CEF" w:rsidRPr="003871B3" w:rsidRDefault="00254CEF" w:rsidP="00E02DF7">
            <w:pPr>
              <w:pStyle w:val="GSOdstavec"/>
            </w:pPr>
            <w:r w:rsidRPr="003871B3">
              <w:rPr>
                <w:rFonts w:cs="Arial"/>
                <w:szCs w:val="22"/>
              </w:rPr>
              <w:t>Pro běh systému bude využíván OS Win Server Datacenter.</w:t>
            </w:r>
          </w:p>
        </w:tc>
      </w:tr>
      <w:tr w:rsidR="00254CEF" w:rsidRPr="003871B3" w14:paraId="4BD7180B" w14:textId="77777777" w:rsidTr="00B7266F">
        <w:tc>
          <w:tcPr>
            <w:tcW w:w="988" w:type="dxa"/>
          </w:tcPr>
          <w:p w14:paraId="2FFB5BC9" w14:textId="4F17AAFE" w:rsidR="00254CEF" w:rsidRPr="003871B3" w:rsidRDefault="00254CEF" w:rsidP="00E02DF7">
            <w:pPr>
              <w:pStyle w:val="GSOdstavec"/>
            </w:pPr>
            <w:r w:rsidRPr="003871B3">
              <w:t>TP007</w:t>
            </w:r>
          </w:p>
        </w:tc>
        <w:tc>
          <w:tcPr>
            <w:tcW w:w="8079" w:type="dxa"/>
          </w:tcPr>
          <w:p w14:paraId="58FCF20E" w14:textId="3C77B2FA" w:rsidR="00254CEF" w:rsidRPr="003871B3" w:rsidRDefault="00254CEF" w:rsidP="00E02DF7">
            <w:pPr>
              <w:pStyle w:val="GSOdstavec"/>
            </w:pPr>
            <w:r w:rsidRPr="003871B3">
              <w:rPr>
                <w:rFonts w:cs="Arial"/>
                <w:szCs w:val="22"/>
              </w:rPr>
              <w:t xml:space="preserve">Systém bude provozován ve virtuálním prostředí </w:t>
            </w:r>
            <w:r w:rsidR="00262235">
              <w:rPr>
                <w:rFonts w:cs="Arial"/>
                <w:szCs w:val="22"/>
              </w:rPr>
              <w:t>Objednatel</w:t>
            </w:r>
            <w:r w:rsidRPr="003871B3">
              <w:rPr>
                <w:rFonts w:cs="Arial"/>
                <w:szCs w:val="22"/>
              </w:rPr>
              <w:t>e postaveném na technologii Microsoft Hyper-V.</w:t>
            </w:r>
          </w:p>
        </w:tc>
      </w:tr>
      <w:tr w:rsidR="00254CEF" w:rsidRPr="003871B3" w14:paraId="227DA481" w14:textId="77777777" w:rsidTr="00B7266F">
        <w:tc>
          <w:tcPr>
            <w:tcW w:w="988" w:type="dxa"/>
          </w:tcPr>
          <w:p w14:paraId="15C22CAC" w14:textId="5DBA5231" w:rsidR="00254CEF" w:rsidRPr="003871B3" w:rsidRDefault="00254CEF" w:rsidP="00E02DF7">
            <w:pPr>
              <w:pStyle w:val="GSOdstavec"/>
            </w:pPr>
            <w:r w:rsidRPr="003871B3">
              <w:t>TP008</w:t>
            </w:r>
          </w:p>
        </w:tc>
        <w:tc>
          <w:tcPr>
            <w:tcW w:w="8079" w:type="dxa"/>
          </w:tcPr>
          <w:p w14:paraId="553891AF" w14:textId="7A13DBDD" w:rsidR="00254CEF" w:rsidRPr="003871B3" w:rsidRDefault="00262235" w:rsidP="00594BA3">
            <w:pPr>
              <w:pStyle w:val="GSOdstavec"/>
              <w:rPr>
                <w:rFonts w:cs="Arial"/>
                <w:b/>
                <w:szCs w:val="22"/>
              </w:rPr>
            </w:pPr>
            <w:r>
              <w:rPr>
                <w:rFonts w:cs="Arial"/>
                <w:szCs w:val="22"/>
              </w:rPr>
              <w:t>Objednatel</w:t>
            </w:r>
            <w:r w:rsidR="00254CEF" w:rsidRPr="003871B3">
              <w:rPr>
                <w:rFonts w:cs="Arial"/>
                <w:szCs w:val="22"/>
              </w:rPr>
              <w:t xml:space="preserve"> pokrývá licenčně pouze běh virtualizované platformy Hyper-V, OS Win Server, DB SQL Server</w:t>
            </w:r>
            <w:r w:rsidR="00254CEF">
              <w:rPr>
                <w:rFonts w:cs="Arial"/>
                <w:szCs w:val="22"/>
              </w:rPr>
              <w:t xml:space="preserve">, </w:t>
            </w:r>
            <w:r w:rsidR="00254CEF" w:rsidRPr="003871B3">
              <w:rPr>
                <w:rFonts w:cs="Arial"/>
                <w:szCs w:val="22"/>
              </w:rPr>
              <w:t>rozšíření plynoucí např. z počtu potřebných napojení na okolní systémy (např. vázaných na integrační platformu ESB)</w:t>
            </w:r>
            <w:r w:rsidR="00254CEF">
              <w:rPr>
                <w:rFonts w:cs="Arial"/>
                <w:szCs w:val="22"/>
              </w:rPr>
              <w:t xml:space="preserve"> a centrální a sdílené systémy MPSV</w:t>
            </w:r>
            <w:r w:rsidR="00254CEF" w:rsidRPr="003871B3">
              <w:rPr>
                <w:rFonts w:cs="Arial"/>
                <w:szCs w:val="22"/>
              </w:rPr>
              <w:t xml:space="preserve">. Licenční pokrytí ostatních produktů (např. pro zajištění management prostředí a podpůrných nástrojů / jako jsou nástroje pro modelování, vývoj, evidenci, monitoring, testování, nasazování atd.) zajistí dodavatel. Pokud za tímto účelem dodavatel použije komerční produkty, budou licence v potřebném rozsahu prováděných úkonů převedeny na </w:t>
            </w:r>
            <w:r>
              <w:rPr>
                <w:rFonts w:cs="Arial"/>
                <w:szCs w:val="22"/>
              </w:rPr>
              <w:t>Objednatel</w:t>
            </w:r>
            <w:r w:rsidR="00254CEF" w:rsidRPr="003871B3">
              <w:rPr>
                <w:rFonts w:cs="Arial"/>
                <w:szCs w:val="22"/>
              </w:rPr>
              <w:t xml:space="preserve">e v rámci plnění. Výběr podpůrných nástrojů a počet potřebných licencí podléhá schválení </w:t>
            </w:r>
            <w:r>
              <w:rPr>
                <w:rFonts w:cs="Arial"/>
                <w:szCs w:val="22"/>
              </w:rPr>
              <w:t>Objednatel</w:t>
            </w:r>
            <w:r w:rsidR="00254CEF" w:rsidRPr="003871B3">
              <w:rPr>
                <w:rFonts w:cs="Arial"/>
                <w:szCs w:val="22"/>
              </w:rPr>
              <w:t xml:space="preserve">e. Vlastníkem díla včetně zdrojových kódů bude </w:t>
            </w:r>
            <w:r>
              <w:rPr>
                <w:rFonts w:cs="Arial"/>
                <w:szCs w:val="22"/>
              </w:rPr>
              <w:t>Objednatel</w:t>
            </w:r>
            <w:r w:rsidR="00254CEF" w:rsidRPr="003871B3">
              <w:rPr>
                <w:rFonts w:cs="Arial"/>
                <w:szCs w:val="22"/>
              </w:rPr>
              <w:t>. Dodavatel dodá přehled všech potřebných licencí pro pokrytí přes všechna prostředí.</w:t>
            </w:r>
          </w:p>
        </w:tc>
      </w:tr>
      <w:tr w:rsidR="00254CEF" w:rsidRPr="003871B3" w14:paraId="7544E83C" w14:textId="77777777" w:rsidTr="00B7266F">
        <w:tc>
          <w:tcPr>
            <w:tcW w:w="988" w:type="dxa"/>
          </w:tcPr>
          <w:p w14:paraId="491CBCEF" w14:textId="49BBAE12" w:rsidR="00254CEF" w:rsidRPr="003871B3" w:rsidRDefault="00254CEF" w:rsidP="00E02DF7">
            <w:pPr>
              <w:pStyle w:val="GSOdstavec"/>
            </w:pPr>
            <w:r w:rsidRPr="003871B3">
              <w:t>TP009</w:t>
            </w:r>
          </w:p>
        </w:tc>
        <w:tc>
          <w:tcPr>
            <w:tcW w:w="8079" w:type="dxa"/>
          </w:tcPr>
          <w:p w14:paraId="6E88EF05" w14:textId="0D54B896" w:rsidR="00254CEF" w:rsidRPr="003871B3" w:rsidRDefault="00254CEF" w:rsidP="00B00E54">
            <w:pPr>
              <w:pStyle w:val="GSOdstavec"/>
              <w:rPr>
                <w:rFonts w:cs="Arial"/>
                <w:szCs w:val="22"/>
              </w:rPr>
            </w:pPr>
            <w:r w:rsidRPr="003871B3">
              <w:rPr>
                <w:rFonts w:cs="Arial"/>
                <w:szCs w:val="22"/>
              </w:rPr>
              <w:t xml:space="preserve">Systém musí být schopen </w:t>
            </w:r>
            <w:r>
              <w:rPr>
                <w:rFonts w:cs="Arial"/>
                <w:szCs w:val="22"/>
              </w:rPr>
              <w:t xml:space="preserve">konzumovat webové služby </w:t>
            </w:r>
            <w:r w:rsidRPr="003871B3">
              <w:rPr>
                <w:rFonts w:cs="Arial"/>
                <w:szCs w:val="22"/>
              </w:rPr>
              <w:t>přes HTTP/HTTPS pomocí protokolů SOAP a REST.</w:t>
            </w:r>
          </w:p>
        </w:tc>
      </w:tr>
      <w:tr w:rsidR="00254CEF" w:rsidRPr="003871B3" w14:paraId="7D94B3B6" w14:textId="77777777" w:rsidTr="00B7266F">
        <w:tc>
          <w:tcPr>
            <w:tcW w:w="988" w:type="dxa"/>
          </w:tcPr>
          <w:p w14:paraId="35BFD2BA" w14:textId="5BC15451" w:rsidR="00254CEF" w:rsidRPr="003871B3" w:rsidRDefault="00254CEF" w:rsidP="0013605D">
            <w:pPr>
              <w:pStyle w:val="GSOdstavec"/>
              <w:ind w:left="708" w:hanging="708"/>
            </w:pPr>
            <w:r w:rsidRPr="003871B3">
              <w:t>TP014</w:t>
            </w:r>
          </w:p>
        </w:tc>
        <w:tc>
          <w:tcPr>
            <w:tcW w:w="8079" w:type="dxa"/>
          </w:tcPr>
          <w:p w14:paraId="1B03F82C" w14:textId="50B23B96" w:rsidR="00254CEF" w:rsidRPr="003871B3" w:rsidRDefault="00254CEF" w:rsidP="00646977">
            <w:pPr>
              <w:pStyle w:val="GSOdstavec"/>
              <w:rPr>
                <w:rFonts w:cs="Arial"/>
                <w:szCs w:val="22"/>
              </w:rPr>
            </w:pPr>
            <w:r w:rsidRPr="003871B3">
              <w:rPr>
                <w:rFonts w:cs="Arial"/>
                <w:szCs w:val="22"/>
              </w:rPr>
              <w:t>Dodavatel zajistí vystavení a popis datových rozhraní (DB nebo souborový extrakt) pro konzumaci dalším systémem (např. pro tvorbu statistických dat a reportů).</w:t>
            </w:r>
          </w:p>
        </w:tc>
      </w:tr>
      <w:tr w:rsidR="00254CEF" w:rsidRPr="003871B3" w14:paraId="3300D6B4" w14:textId="77777777" w:rsidTr="00B7266F">
        <w:tc>
          <w:tcPr>
            <w:tcW w:w="988" w:type="dxa"/>
          </w:tcPr>
          <w:p w14:paraId="21B40269" w14:textId="47A5EB5D" w:rsidR="00254CEF" w:rsidRPr="003871B3" w:rsidRDefault="00254CEF" w:rsidP="009539DD">
            <w:pPr>
              <w:pStyle w:val="GSOdstavec"/>
              <w:ind w:left="708" w:hanging="708"/>
            </w:pPr>
            <w:r w:rsidRPr="003871B3">
              <w:t>TP017</w:t>
            </w:r>
          </w:p>
        </w:tc>
        <w:tc>
          <w:tcPr>
            <w:tcW w:w="8079" w:type="dxa"/>
          </w:tcPr>
          <w:p w14:paraId="11CD328A" w14:textId="42398BD6" w:rsidR="00254CEF" w:rsidRPr="003871B3" w:rsidRDefault="00254CEF" w:rsidP="00646977">
            <w:pPr>
              <w:pStyle w:val="GSOdstavec"/>
              <w:rPr>
                <w:rFonts w:cs="Arial"/>
                <w:szCs w:val="22"/>
              </w:rPr>
            </w:pPr>
            <w:r w:rsidRPr="003871B3">
              <w:rPr>
                <w:rFonts w:cs="Arial"/>
                <w:szCs w:val="22"/>
              </w:rPr>
              <w:t>V rámci datových přenosů mohou být přenášena strukturovaná (db, flat file) i nestrukturovaná data (např. dokumenty z/do DMS).</w:t>
            </w:r>
          </w:p>
        </w:tc>
      </w:tr>
      <w:tr w:rsidR="00254CEF" w:rsidRPr="003871B3" w14:paraId="041818C7" w14:textId="77777777" w:rsidTr="00B7266F">
        <w:tc>
          <w:tcPr>
            <w:tcW w:w="988" w:type="dxa"/>
          </w:tcPr>
          <w:p w14:paraId="696CC441" w14:textId="4C6FAE39" w:rsidR="00254CEF" w:rsidRPr="003871B3" w:rsidRDefault="00254CEF" w:rsidP="009539DD">
            <w:pPr>
              <w:pStyle w:val="GSOdstavec"/>
              <w:ind w:left="708" w:hanging="708"/>
            </w:pPr>
            <w:r w:rsidRPr="003871B3">
              <w:t>TP018</w:t>
            </w:r>
          </w:p>
        </w:tc>
        <w:tc>
          <w:tcPr>
            <w:tcW w:w="8079" w:type="dxa"/>
          </w:tcPr>
          <w:p w14:paraId="44B23B87" w14:textId="77777777" w:rsidR="00254CEF" w:rsidRPr="003871B3" w:rsidRDefault="00254CEF" w:rsidP="00646977">
            <w:pPr>
              <w:pStyle w:val="GSOdstavec"/>
              <w:rPr>
                <w:rFonts w:cs="Arial"/>
                <w:szCs w:val="22"/>
              </w:rPr>
            </w:pPr>
            <w:r w:rsidRPr="003871B3">
              <w:rPr>
                <w:rFonts w:cs="Arial"/>
                <w:szCs w:val="22"/>
              </w:rPr>
              <w:t>Zdrojovým a cílovým úložištěm datových procesů mohou být webové služby, db a flat files. Systém musí být umožňovat napojení na uvedené typy datových úložišť v rámci návrhu ETL procesů.</w:t>
            </w:r>
          </w:p>
          <w:p w14:paraId="0CB1E023" w14:textId="04A27832" w:rsidR="00254CEF" w:rsidRPr="003871B3" w:rsidRDefault="00254CEF" w:rsidP="00646977">
            <w:pPr>
              <w:pStyle w:val="GSOdstavec"/>
              <w:rPr>
                <w:rFonts w:cs="Arial"/>
                <w:szCs w:val="22"/>
              </w:rPr>
            </w:pPr>
            <w:r w:rsidRPr="003871B3">
              <w:rPr>
                <w:rFonts w:cs="Arial"/>
                <w:szCs w:val="22"/>
              </w:rPr>
              <w:t xml:space="preserve">Systém je schopen v případě potřeby používat jako zdrojové a cílové úložiště dat kromě databáze i webové služby a strukturované textové soubory typu CSV nebo XLS(x) (flat files). komunikovat i dalšími typy rozhraní kromě databázových tabulek a souborů. Realizace těchto komunikací bude řešen změnovým požadavkem nebo v rámci aktivit identifikovaných v rámci GAP analýzy s řešením v rámci bodů </w:t>
            </w:r>
            <w:r w:rsidRPr="003871B3">
              <w:rPr>
                <w:rFonts w:cs="Arial"/>
                <w:szCs w:val="22"/>
              </w:rPr>
              <w:fldChar w:fldCharType="begin"/>
            </w:r>
            <w:r w:rsidRPr="003871B3">
              <w:rPr>
                <w:rFonts w:cs="Arial"/>
                <w:szCs w:val="22"/>
              </w:rPr>
              <w:instrText xml:space="preserve"> REF _Ref520963102 \r \h </w:instrText>
            </w:r>
            <w:r w:rsidRPr="003871B3">
              <w:rPr>
                <w:rFonts w:cs="Arial"/>
                <w:szCs w:val="22"/>
              </w:rPr>
            </w:r>
            <w:r w:rsidRPr="003871B3">
              <w:rPr>
                <w:rFonts w:cs="Arial"/>
                <w:szCs w:val="22"/>
              </w:rPr>
              <w:fldChar w:fldCharType="separate"/>
            </w:r>
            <w:r w:rsidR="00B3394C">
              <w:rPr>
                <w:rFonts w:cs="Arial"/>
                <w:szCs w:val="22"/>
              </w:rPr>
              <w:t>2.1.15</w:t>
            </w:r>
            <w:r w:rsidRPr="003871B3">
              <w:rPr>
                <w:rFonts w:cs="Arial"/>
                <w:szCs w:val="22"/>
              </w:rPr>
              <w:fldChar w:fldCharType="end"/>
            </w:r>
          </w:p>
        </w:tc>
      </w:tr>
      <w:tr w:rsidR="00254CEF" w:rsidRPr="003871B3" w14:paraId="406139EC" w14:textId="77777777" w:rsidTr="00B7266F">
        <w:tc>
          <w:tcPr>
            <w:tcW w:w="988" w:type="dxa"/>
          </w:tcPr>
          <w:p w14:paraId="2BA4B9B3" w14:textId="7DADBBAD" w:rsidR="00254CEF" w:rsidRPr="003871B3" w:rsidRDefault="00254CEF" w:rsidP="009539DD">
            <w:pPr>
              <w:pStyle w:val="GSOdstavec"/>
              <w:ind w:left="708" w:hanging="708"/>
            </w:pPr>
            <w:r w:rsidRPr="003871B3">
              <w:t>TP020</w:t>
            </w:r>
          </w:p>
        </w:tc>
        <w:tc>
          <w:tcPr>
            <w:tcW w:w="8079" w:type="dxa"/>
          </w:tcPr>
          <w:p w14:paraId="6974D713" w14:textId="66E6B79A" w:rsidR="00254CEF" w:rsidRPr="003871B3" w:rsidRDefault="00254CEF" w:rsidP="00646977">
            <w:pPr>
              <w:pStyle w:val="GSOdstavec"/>
              <w:rPr>
                <w:rFonts w:cs="Arial"/>
                <w:szCs w:val="22"/>
              </w:rPr>
            </w:pPr>
            <w:r w:rsidRPr="003871B3">
              <w:rPr>
                <w:rFonts w:cs="Arial"/>
                <w:szCs w:val="22"/>
              </w:rPr>
              <w:t xml:space="preserve">Pro hromadné nasazování MS aktualizací serverů v testovací a produkční doméně bude používáno centrální řešení SCCM, kterým </w:t>
            </w:r>
            <w:r w:rsidR="00262235">
              <w:rPr>
                <w:rFonts w:cs="Arial"/>
                <w:szCs w:val="22"/>
              </w:rPr>
              <w:t>Objednatel</w:t>
            </w:r>
            <w:r w:rsidRPr="003871B3">
              <w:rPr>
                <w:rFonts w:cs="Arial"/>
                <w:szCs w:val="22"/>
              </w:rPr>
              <w:t xml:space="preserve"> disponuje.</w:t>
            </w:r>
          </w:p>
        </w:tc>
      </w:tr>
      <w:tr w:rsidR="00254CEF" w:rsidRPr="003871B3" w14:paraId="0CC0B131" w14:textId="77777777" w:rsidTr="00B7266F">
        <w:tc>
          <w:tcPr>
            <w:tcW w:w="988" w:type="dxa"/>
          </w:tcPr>
          <w:p w14:paraId="4E7A863E" w14:textId="45FB7A33" w:rsidR="00254CEF" w:rsidRPr="003871B3" w:rsidRDefault="00254CEF" w:rsidP="009539DD">
            <w:pPr>
              <w:pStyle w:val="GSOdstavec"/>
              <w:ind w:left="708" w:hanging="708"/>
            </w:pPr>
            <w:r w:rsidRPr="003871B3">
              <w:t>TP021</w:t>
            </w:r>
          </w:p>
        </w:tc>
        <w:tc>
          <w:tcPr>
            <w:tcW w:w="8079" w:type="dxa"/>
          </w:tcPr>
          <w:p w14:paraId="4D7CD0CA" w14:textId="51E00822" w:rsidR="00254CEF" w:rsidRPr="003871B3" w:rsidRDefault="00254CEF" w:rsidP="00646977">
            <w:pPr>
              <w:pStyle w:val="GSOdstavec"/>
              <w:rPr>
                <w:rFonts w:cs="Arial"/>
                <w:szCs w:val="22"/>
              </w:rPr>
            </w:pPr>
            <w:r w:rsidRPr="003871B3">
              <w:rPr>
                <w:rFonts w:cs="Arial"/>
                <w:szCs w:val="22"/>
              </w:rPr>
              <w:t>Systém musí být horizontálně a vertikálně škálovatelný.</w:t>
            </w:r>
          </w:p>
        </w:tc>
      </w:tr>
      <w:tr w:rsidR="00254CEF" w:rsidRPr="003871B3" w14:paraId="0ED59BBE" w14:textId="77777777" w:rsidTr="00B7266F">
        <w:tc>
          <w:tcPr>
            <w:tcW w:w="988" w:type="dxa"/>
          </w:tcPr>
          <w:p w14:paraId="5B6F4BF6" w14:textId="63FC5426" w:rsidR="00254CEF" w:rsidRPr="003871B3" w:rsidRDefault="00254CEF" w:rsidP="009539DD">
            <w:pPr>
              <w:pStyle w:val="GSOdstavec"/>
              <w:ind w:left="708" w:hanging="708"/>
            </w:pPr>
            <w:r w:rsidRPr="003871B3">
              <w:t>TP022</w:t>
            </w:r>
          </w:p>
        </w:tc>
        <w:tc>
          <w:tcPr>
            <w:tcW w:w="8079" w:type="dxa"/>
          </w:tcPr>
          <w:p w14:paraId="57C1F767" w14:textId="063A05E6" w:rsidR="00254CEF" w:rsidRPr="003871B3" w:rsidRDefault="00254CEF" w:rsidP="00B00E54">
            <w:pPr>
              <w:pStyle w:val="GSOdstavec"/>
              <w:rPr>
                <w:rFonts w:cs="Arial"/>
                <w:szCs w:val="22"/>
              </w:rPr>
            </w:pPr>
            <w:r w:rsidRPr="003871B3">
              <w:rPr>
                <w:rFonts w:cs="Arial"/>
                <w:szCs w:val="22"/>
              </w:rPr>
              <w:t>Kritické části systému musejí zvládnout zpracování v řádu jednotek TB denně.</w:t>
            </w:r>
            <w:r>
              <w:rPr>
                <w:rFonts w:cs="Arial"/>
                <w:szCs w:val="22"/>
              </w:rPr>
              <w:t xml:space="preserve"> V případě nedostatečného výkonu systému požádá Dodavatel </w:t>
            </w:r>
            <w:r w:rsidR="00262235">
              <w:rPr>
                <w:rFonts w:cs="Arial"/>
                <w:szCs w:val="22"/>
              </w:rPr>
              <w:t>Objednatel</w:t>
            </w:r>
            <w:r>
              <w:rPr>
                <w:rFonts w:cs="Arial"/>
                <w:szCs w:val="22"/>
              </w:rPr>
              <w:t>e o zajištění požadované posílení infrastruktury.</w:t>
            </w:r>
          </w:p>
        </w:tc>
      </w:tr>
      <w:tr w:rsidR="00254CEF" w:rsidRPr="003871B3" w14:paraId="54DA67BD" w14:textId="77777777" w:rsidTr="00B7266F">
        <w:tc>
          <w:tcPr>
            <w:tcW w:w="988" w:type="dxa"/>
          </w:tcPr>
          <w:p w14:paraId="0D75A5F3" w14:textId="7D1D1F6C" w:rsidR="00254CEF" w:rsidRPr="003871B3" w:rsidRDefault="00254CEF" w:rsidP="009539DD">
            <w:pPr>
              <w:pStyle w:val="GSOdstavec"/>
              <w:ind w:left="708" w:hanging="708"/>
            </w:pPr>
            <w:r w:rsidRPr="003871B3">
              <w:t>TP023</w:t>
            </w:r>
          </w:p>
        </w:tc>
        <w:tc>
          <w:tcPr>
            <w:tcW w:w="8079" w:type="dxa"/>
          </w:tcPr>
          <w:p w14:paraId="756C03A9" w14:textId="7772A3FF" w:rsidR="00254CEF" w:rsidRPr="003871B3" w:rsidRDefault="00254CEF" w:rsidP="00646977">
            <w:pPr>
              <w:pStyle w:val="GSOdstavec"/>
              <w:rPr>
                <w:rFonts w:cs="Arial"/>
                <w:szCs w:val="22"/>
              </w:rPr>
            </w:pPr>
            <w:r w:rsidRPr="003871B3">
              <w:rPr>
                <w:rFonts w:cs="Arial"/>
                <w:szCs w:val="22"/>
              </w:rPr>
              <w:t xml:space="preserve">Systém bude umožňovat konektivitu do databází </w:t>
            </w:r>
            <w:r w:rsidR="00262235">
              <w:rPr>
                <w:rFonts w:cs="Arial"/>
                <w:szCs w:val="22"/>
              </w:rPr>
              <w:t>Objednatel</w:t>
            </w:r>
            <w:r w:rsidRPr="003871B3">
              <w:rPr>
                <w:rFonts w:cs="Arial"/>
                <w:szCs w:val="22"/>
              </w:rPr>
              <w:t>e (zejména MSSQL a Oracle). Podporované způsoby přenosu budou zejména webové služby, databázové linky, strukturované soubory (XML, XLS, TXT, CSV, DAT, apod.)</w:t>
            </w:r>
          </w:p>
        </w:tc>
      </w:tr>
      <w:tr w:rsidR="00254CEF" w:rsidRPr="003871B3" w14:paraId="1F31EA54" w14:textId="77777777" w:rsidTr="00B7266F">
        <w:tc>
          <w:tcPr>
            <w:tcW w:w="988" w:type="dxa"/>
          </w:tcPr>
          <w:p w14:paraId="4098B038" w14:textId="176DAA91" w:rsidR="00254CEF" w:rsidRPr="003871B3" w:rsidRDefault="00254CEF" w:rsidP="009539DD">
            <w:pPr>
              <w:pStyle w:val="GSOdstavec"/>
              <w:ind w:left="708" w:hanging="708"/>
            </w:pPr>
            <w:r w:rsidRPr="003871B3">
              <w:t>TP024</w:t>
            </w:r>
          </w:p>
        </w:tc>
        <w:tc>
          <w:tcPr>
            <w:tcW w:w="8079" w:type="dxa"/>
          </w:tcPr>
          <w:p w14:paraId="339D8B6F" w14:textId="77777777" w:rsidR="00254CEF" w:rsidRPr="003871B3" w:rsidRDefault="00254CEF" w:rsidP="00E0071D">
            <w:pPr>
              <w:pStyle w:val="GSOdstavec"/>
              <w:rPr>
                <w:rFonts w:cs="Arial"/>
                <w:szCs w:val="22"/>
              </w:rPr>
            </w:pPr>
            <w:r w:rsidRPr="003871B3">
              <w:rPr>
                <w:rFonts w:cs="Arial"/>
                <w:szCs w:val="22"/>
              </w:rPr>
              <w:t>Systém bude umožňovat plánováné spouštění datových přenosů a transformací, a to zejména pomocí plánovače úloh a pomocí událostí (triggerů). Plánovač úloh umožní vytvářet plánované úlohy u ETL procesů (např. ve vazbě na úspěšný doběh jiného předchozího ELT procesu) v rámci systému nebo např. ve vazbě na uloženou proceduru, která představuje ETL proces implementovaný v DB serveru mimo systém (tento způsob implementace mimo ETL platformu je nežádoucí a nekoncepční a Dodavatel by měl vzniku ETL procesů čistě v SQL bránit)</w:t>
            </w:r>
          </w:p>
          <w:p w14:paraId="3CAD329B" w14:textId="776CF9BF" w:rsidR="00254CEF" w:rsidRPr="003871B3" w:rsidRDefault="00254CEF" w:rsidP="00646977">
            <w:pPr>
              <w:pStyle w:val="GSOdstavec"/>
              <w:rPr>
                <w:rFonts w:cs="Arial"/>
                <w:szCs w:val="22"/>
              </w:rPr>
            </w:pPr>
            <w:r w:rsidRPr="003871B3">
              <w:rPr>
                <w:rFonts w:cs="Arial"/>
                <w:szCs w:val="22"/>
              </w:rPr>
              <w:t>Systém umožňuje spouštět datové přenosy a transformace (definované úlohy) pomocí plánovače úloh (dle časových pravidel), pomocí události – ukončení jiné úlohy, a nebo ve vazbě na novou verzi úlohy/definice transformace uložené v GIT. Pro realizaci je využit systém Jenkins.</w:t>
            </w:r>
          </w:p>
        </w:tc>
      </w:tr>
      <w:tr w:rsidR="00254CEF" w:rsidRPr="003871B3" w14:paraId="406D8136" w14:textId="77777777" w:rsidTr="00B7266F">
        <w:tc>
          <w:tcPr>
            <w:tcW w:w="988" w:type="dxa"/>
          </w:tcPr>
          <w:p w14:paraId="22853FF1" w14:textId="03B9068D" w:rsidR="00254CEF" w:rsidRPr="003871B3" w:rsidRDefault="00254CEF" w:rsidP="009539DD">
            <w:pPr>
              <w:pStyle w:val="GSOdstavec"/>
              <w:ind w:left="708" w:hanging="708"/>
            </w:pPr>
            <w:r w:rsidRPr="003871B3">
              <w:t>TP025</w:t>
            </w:r>
          </w:p>
        </w:tc>
        <w:tc>
          <w:tcPr>
            <w:tcW w:w="8079" w:type="dxa"/>
          </w:tcPr>
          <w:p w14:paraId="6CF2B9B8" w14:textId="26E1AF5D" w:rsidR="00254CEF" w:rsidRPr="003871B3" w:rsidRDefault="00254CEF" w:rsidP="00E0071D">
            <w:pPr>
              <w:pStyle w:val="GSOdstavec"/>
              <w:rPr>
                <w:rFonts w:cs="Arial"/>
                <w:szCs w:val="22"/>
              </w:rPr>
            </w:pPr>
            <w:r w:rsidRPr="003871B3">
              <w:rPr>
                <w:rFonts w:cs="Arial"/>
                <w:szCs w:val="22"/>
              </w:rPr>
              <w:t>Systém bude poskytovat dostatečný výkon pro zpracování plánovaných úloh s dostatečnou rezervou pro budoucí rozvoj (vázáno na nefunkční požadavky a výsledky výkonnostních testů). Výkon nástrojů bude škálovatelný v závislosti na použité infrastruktuře.</w:t>
            </w:r>
          </w:p>
        </w:tc>
      </w:tr>
      <w:tr w:rsidR="00254CEF" w:rsidRPr="003871B3" w14:paraId="54DC9C4D" w14:textId="77777777" w:rsidTr="00B7266F">
        <w:tc>
          <w:tcPr>
            <w:tcW w:w="988" w:type="dxa"/>
          </w:tcPr>
          <w:p w14:paraId="189C56AB" w14:textId="0E7314C2" w:rsidR="00254CEF" w:rsidRPr="003871B3" w:rsidRDefault="00254CEF" w:rsidP="009539DD">
            <w:pPr>
              <w:pStyle w:val="GSOdstavec"/>
              <w:ind w:left="708" w:hanging="708"/>
            </w:pPr>
            <w:r w:rsidRPr="003871B3">
              <w:t>TP026</w:t>
            </w:r>
          </w:p>
        </w:tc>
        <w:tc>
          <w:tcPr>
            <w:tcW w:w="8079" w:type="dxa"/>
          </w:tcPr>
          <w:p w14:paraId="4438817B" w14:textId="77777777" w:rsidR="00254CEF" w:rsidRPr="003871B3" w:rsidRDefault="00254CEF" w:rsidP="00E0071D">
            <w:pPr>
              <w:pStyle w:val="GSOdstavec"/>
              <w:rPr>
                <w:rFonts w:cs="Arial"/>
                <w:szCs w:val="22"/>
              </w:rPr>
            </w:pPr>
            <w:r w:rsidRPr="003871B3">
              <w:rPr>
                <w:rFonts w:cs="Arial"/>
                <w:szCs w:val="22"/>
              </w:rPr>
              <w:t>Systém umožní vizualizaci ETL úloh a možnost jejich snadné modifikace v uživatelsky přívětivém rozhraní.</w:t>
            </w:r>
          </w:p>
          <w:p w14:paraId="40B594D2" w14:textId="09D767CE" w:rsidR="00254CEF" w:rsidRPr="003871B3" w:rsidRDefault="00254CEF" w:rsidP="00E0071D">
            <w:pPr>
              <w:pStyle w:val="GSOdstavec"/>
              <w:rPr>
                <w:rFonts w:cs="Arial"/>
                <w:szCs w:val="22"/>
              </w:rPr>
            </w:pPr>
            <w:r w:rsidRPr="003871B3">
              <w:rPr>
                <w:rFonts w:cs="Arial"/>
                <w:szCs w:val="22"/>
              </w:rPr>
              <w:t>Běhy ETL úloh budou vizualizovány v rámci systému na spouštění a dohled úloh (Jenkins). Systém umožnuje vizualizovat stav jednotlivých úloh, délku a stabilitu běhů, upozorňuje na vzniklé problémy pomocí emailových notifikací. Systém umožňuje v rámci webového uživatelského rozhraní i konfiguraci úloh.</w:t>
            </w:r>
          </w:p>
        </w:tc>
      </w:tr>
      <w:tr w:rsidR="00254CEF" w:rsidRPr="003871B3" w14:paraId="205FC8C5" w14:textId="77777777" w:rsidTr="00B7266F">
        <w:tc>
          <w:tcPr>
            <w:tcW w:w="988" w:type="dxa"/>
          </w:tcPr>
          <w:p w14:paraId="21B56D38" w14:textId="2DA14983" w:rsidR="00254CEF" w:rsidRPr="003871B3" w:rsidRDefault="00254CEF" w:rsidP="009539DD">
            <w:pPr>
              <w:pStyle w:val="GSOdstavec"/>
              <w:ind w:left="708" w:hanging="708"/>
            </w:pPr>
            <w:r w:rsidRPr="003871B3">
              <w:t>TP027</w:t>
            </w:r>
          </w:p>
        </w:tc>
        <w:tc>
          <w:tcPr>
            <w:tcW w:w="8079" w:type="dxa"/>
          </w:tcPr>
          <w:p w14:paraId="482BC8CC" w14:textId="254368F0" w:rsidR="00254CEF" w:rsidRPr="003871B3" w:rsidRDefault="00254CEF" w:rsidP="00E0071D">
            <w:pPr>
              <w:pStyle w:val="GSOdstavec"/>
              <w:rPr>
                <w:rFonts w:cs="Arial"/>
                <w:szCs w:val="22"/>
              </w:rPr>
            </w:pPr>
            <w:r w:rsidRPr="003871B3">
              <w:rPr>
                <w:rFonts w:cs="Arial"/>
                <w:szCs w:val="22"/>
              </w:rPr>
              <w:t>Systém bude umožňovat nastavení rozesílání emailových notifikací (na řešitele nebo řešitelské skupiny) pro základní události spojené s během ETL procesů (Spuštění, Doběh, Selhání, atd.).</w:t>
            </w:r>
          </w:p>
        </w:tc>
      </w:tr>
      <w:tr w:rsidR="00254CEF" w:rsidRPr="003871B3" w14:paraId="0FA1D4CD" w14:textId="77777777" w:rsidTr="00B7266F">
        <w:tc>
          <w:tcPr>
            <w:tcW w:w="988" w:type="dxa"/>
          </w:tcPr>
          <w:p w14:paraId="779D4775" w14:textId="27AD2E8A" w:rsidR="00254CEF" w:rsidRPr="003871B3" w:rsidRDefault="00254CEF" w:rsidP="009539DD">
            <w:pPr>
              <w:pStyle w:val="GSOdstavec"/>
              <w:ind w:left="708" w:hanging="708"/>
            </w:pPr>
            <w:r w:rsidRPr="003871B3">
              <w:t>TP028</w:t>
            </w:r>
          </w:p>
        </w:tc>
        <w:tc>
          <w:tcPr>
            <w:tcW w:w="8079" w:type="dxa"/>
          </w:tcPr>
          <w:p w14:paraId="4E6D82D4" w14:textId="77777777" w:rsidR="00254CEF" w:rsidRPr="003871B3" w:rsidRDefault="00254CEF" w:rsidP="00E0071D">
            <w:pPr>
              <w:pStyle w:val="GSOdstavec"/>
              <w:rPr>
                <w:rFonts w:cs="Arial"/>
                <w:szCs w:val="22"/>
              </w:rPr>
            </w:pPr>
            <w:r w:rsidRPr="003871B3">
              <w:rPr>
                <w:rFonts w:cs="Arial"/>
                <w:szCs w:val="22"/>
              </w:rPr>
              <w:t>Systém bude disponovat uživatelským rozhraním pro zobrazení, sledování a správu úloh, včetně jejich návrhu.</w:t>
            </w:r>
          </w:p>
          <w:p w14:paraId="67CB5A99" w14:textId="78F714C1" w:rsidR="00254CEF" w:rsidRPr="003871B3" w:rsidRDefault="00254CEF" w:rsidP="00E0071D">
            <w:pPr>
              <w:pStyle w:val="GSOdstavec"/>
              <w:rPr>
                <w:rFonts w:cs="Arial"/>
                <w:szCs w:val="22"/>
              </w:rPr>
            </w:pPr>
            <w:r w:rsidRPr="003871B3">
              <w:rPr>
                <w:rFonts w:cs="Arial"/>
                <w:szCs w:val="22"/>
              </w:rPr>
              <w:t>Běhy ETL úloh budou vizualizovány v rámci systému na spouštění a dohled úloh (Jenkins). Systém umožnuje vizualizovat stav jednotlivých úloh, délku a stabilitu běhů, upozorňuje na vzniklé problémy pomocí emailových notifikací. Systém umožňuje v rámci webového uživatelského rozhraní i konfiguraci úloh</w:t>
            </w:r>
          </w:p>
        </w:tc>
      </w:tr>
      <w:tr w:rsidR="00254CEF" w:rsidRPr="003871B3" w14:paraId="0505FD3B" w14:textId="77777777" w:rsidTr="00B7266F">
        <w:tc>
          <w:tcPr>
            <w:tcW w:w="988" w:type="dxa"/>
          </w:tcPr>
          <w:p w14:paraId="3691F58E" w14:textId="738310E0" w:rsidR="00254CEF" w:rsidRPr="003871B3" w:rsidRDefault="00254CEF" w:rsidP="009539DD">
            <w:pPr>
              <w:pStyle w:val="GSOdstavec"/>
              <w:ind w:left="708" w:hanging="708"/>
            </w:pPr>
            <w:r w:rsidRPr="003871B3">
              <w:t>TP029</w:t>
            </w:r>
          </w:p>
        </w:tc>
        <w:tc>
          <w:tcPr>
            <w:tcW w:w="8079" w:type="dxa"/>
          </w:tcPr>
          <w:p w14:paraId="18860F65" w14:textId="062B6255" w:rsidR="00254CEF" w:rsidRPr="003871B3" w:rsidRDefault="00254CEF" w:rsidP="00E0071D">
            <w:pPr>
              <w:pStyle w:val="GSOdstavec"/>
              <w:rPr>
                <w:rFonts w:cs="Arial"/>
                <w:szCs w:val="22"/>
              </w:rPr>
            </w:pPr>
            <w:r w:rsidRPr="003871B3">
              <w:rPr>
                <w:rFonts w:cs="Arial"/>
                <w:szCs w:val="22"/>
              </w:rPr>
              <w:t>Systém bude umožňovat automatické kontroly přenesených a transformovaných dat. Informace o výsledku přenosů a transformací budou logovány a archivovány.</w:t>
            </w:r>
          </w:p>
        </w:tc>
      </w:tr>
      <w:tr w:rsidR="00254CEF" w:rsidRPr="003871B3" w14:paraId="00CCA968" w14:textId="77777777" w:rsidTr="00B7266F">
        <w:tc>
          <w:tcPr>
            <w:tcW w:w="988" w:type="dxa"/>
          </w:tcPr>
          <w:p w14:paraId="30656F74" w14:textId="64D74885" w:rsidR="00254CEF" w:rsidRPr="003871B3" w:rsidRDefault="00254CEF" w:rsidP="009539DD">
            <w:pPr>
              <w:pStyle w:val="GSOdstavec"/>
              <w:ind w:left="708" w:hanging="708"/>
            </w:pPr>
            <w:r w:rsidRPr="003871B3">
              <w:t>TP030</w:t>
            </w:r>
          </w:p>
        </w:tc>
        <w:tc>
          <w:tcPr>
            <w:tcW w:w="8079" w:type="dxa"/>
          </w:tcPr>
          <w:p w14:paraId="5DD90586" w14:textId="77777777" w:rsidR="00254CEF" w:rsidRPr="003871B3" w:rsidRDefault="00254CEF" w:rsidP="00E0071D">
            <w:pPr>
              <w:pStyle w:val="GSOdstavec"/>
              <w:rPr>
                <w:rFonts w:cs="Arial"/>
                <w:szCs w:val="22"/>
              </w:rPr>
            </w:pPr>
            <w:r w:rsidRPr="003871B3">
              <w:rPr>
                <w:rFonts w:cs="Arial"/>
                <w:szCs w:val="22"/>
              </w:rPr>
              <w:t>Systém bude umožňovat nastavení parametrů kontrol prostřednictvím uživatelského rozhraní. Parametry kontrol bude možné ukládat do šablon, které mohou být opakovaně využívány.</w:t>
            </w:r>
          </w:p>
          <w:p w14:paraId="3E719426" w14:textId="245D0F4E" w:rsidR="00254CEF" w:rsidRPr="003871B3" w:rsidRDefault="00254CEF" w:rsidP="00E0071D">
            <w:pPr>
              <w:pStyle w:val="GSOdstavec"/>
              <w:rPr>
                <w:rFonts w:cs="Arial"/>
                <w:szCs w:val="22"/>
              </w:rPr>
            </w:pPr>
            <w:r w:rsidRPr="003871B3">
              <w:rPr>
                <w:rFonts w:cs="Arial"/>
                <w:szCs w:val="22"/>
              </w:rPr>
              <w:t>LIS je vytvářen pomocí ETL nástroje umožňující rychlé vytváření transformací pomocí textového editoru a optimalizovaného pro potřeby migrace v časových hranicích. Součástí definice migračních procesů jsou i validační pravidla a kontroly. Tyto kontroly jsou definovány v textové podobě pomocí uživatelského rozhraní IntelliJ Idea za použitím šablon k opakovanému využití.</w:t>
            </w:r>
          </w:p>
        </w:tc>
      </w:tr>
      <w:tr w:rsidR="00254CEF" w:rsidRPr="003871B3" w14:paraId="5F731325" w14:textId="77777777" w:rsidTr="00B7266F">
        <w:tc>
          <w:tcPr>
            <w:tcW w:w="988" w:type="dxa"/>
          </w:tcPr>
          <w:p w14:paraId="667B78B2" w14:textId="49E5A0CB" w:rsidR="00254CEF" w:rsidRPr="003871B3" w:rsidRDefault="00254CEF" w:rsidP="009539DD">
            <w:pPr>
              <w:pStyle w:val="GSOdstavec"/>
              <w:ind w:left="708" w:hanging="708"/>
            </w:pPr>
            <w:r w:rsidRPr="003871B3">
              <w:t>TP031</w:t>
            </w:r>
          </w:p>
        </w:tc>
        <w:tc>
          <w:tcPr>
            <w:tcW w:w="8079" w:type="dxa"/>
          </w:tcPr>
          <w:p w14:paraId="5CB2604A" w14:textId="77777777" w:rsidR="00254CEF" w:rsidRPr="003871B3" w:rsidRDefault="00254CEF" w:rsidP="00E0071D">
            <w:pPr>
              <w:pStyle w:val="GSOdstavec"/>
              <w:rPr>
                <w:rFonts w:cs="Arial"/>
                <w:szCs w:val="22"/>
              </w:rPr>
            </w:pPr>
            <w:r w:rsidRPr="003871B3">
              <w:rPr>
                <w:rFonts w:cs="Arial"/>
                <w:szCs w:val="22"/>
              </w:rPr>
              <w:t>Dodavatel implementuje datové validace v souladu se specifikacemi rozhraní, kde budou validační pravidla popsány. Systém umožní datové validace pro všechny typy API (webová služba, db struktura, flat file).</w:t>
            </w:r>
          </w:p>
          <w:p w14:paraId="29D24385" w14:textId="4224CC4D" w:rsidR="00254CEF" w:rsidRPr="003871B3" w:rsidRDefault="00254CEF" w:rsidP="00E0071D">
            <w:pPr>
              <w:pStyle w:val="GSOdstavec"/>
              <w:rPr>
                <w:rFonts w:cs="Arial"/>
                <w:szCs w:val="22"/>
              </w:rPr>
            </w:pPr>
            <w:r w:rsidRPr="003871B3">
              <w:rPr>
                <w:rFonts w:cs="Arial"/>
                <w:szCs w:val="22"/>
              </w:rPr>
              <w:t>Datové validace jsou vždy součástí realizace datové integrace a poplatné známým validačním pravidlům, které jsou definované např popisem rozhraní</w:t>
            </w:r>
          </w:p>
        </w:tc>
      </w:tr>
      <w:tr w:rsidR="00254CEF" w:rsidRPr="003871B3" w14:paraId="3859873B" w14:textId="77777777" w:rsidTr="00B7266F">
        <w:tc>
          <w:tcPr>
            <w:tcW w:w="988" w:type="dxa"/>
          </w:tcPr>
          <w:p w14:paraId="5E0E2721" w14:textId="617B58AC" w:rsidR="00254CEF" w:rsidRPr="003871B3" w:rsidRDefault="00254CEF" w:rsidP="009539DD">
            <w:pPr>
              <w:pStyle w:val="GSOdstavec"/>
              <w:ind w:left="708" w:hanging="708"/>
            </w:pPr>
            <w:r w:rsidRPr="003871B3">
              <w:t>TP045</w:t>
            </w:r>
          </w:p>
        </w:tc>
        <w:tc>
          <w:tcPr>
            <w:tcW w:w="8079" w:type="dxa"/>
          </w:tcPr>
          <w:p w14:paraId="5DA5C2DD" w14:textId="040A6633" w:rsidR="00254CEF" w:rsidRPr="003871B3" w:rsidRDefault="00254CEF" w:rsidP="00E0071D">
            <w:pPr>
              <w:pStyle w:val="GSOdstavec"/>
              <w:rPr>
                <w:rFonts w:cs="Arial"/>
                <w:szCs w:val="22"/>
              </w:rPr>
            </w:pPr>
            <w:r w:rsidRPr="003871B3">
              <w:rPr>
                <w:rFonts w:cs="Arial"/>
                <w:szCs w:val="22"/>
              </w:rPr>
              <w:t xml:space="preserve">Požadavky (incidenty, změny, atd.) budou na Dodavatele předávány prostřednictvím centrální evidence (tiketového systému) na straně </w:t>
            </w:r>
            <w:r w:rsidR="00262235">
              <w:rPr>
                <w:rFonts w:cs="Arial"/>
                <w:szCs w:val="22"/>
              </w:rPr>
              <w:t>Objednatel</w:t>
            </w:r>
            <w:r w:rsidRPr="003871B3">
              <w:rPr>
                <w:rFonts w:cs="Arial"/>
                <w:szCs w:val="22"/>
              </w:rPr>
              <w:t>e.</w:t>
            </w:r>
          </w:p>
          <w:p w14:paraId="5FFFF2C8" w14:textId="1DFF700C" w:rsidR="00254CEF" w:rsidRPr="003871B3" w:rsidRDefault="00254CEF" w:rsidP="00E0071D">
            <w:pPr>
              <w:pStyle w:val="GSOdstavec"/>
              <w:rPr>
                <w:rFonts w:cs="Arial"/>
                <w:szCs w:val="22"/>
              </w:rPr>
            </w:pPr>
            <w:r w:rsidRPr="003871B3">
              <w:rPr>
                <w:rFonts w:cs="Arial"/>
                <w:szCs w:val="22"/>
              </w:rPr>
              <w:t xml:space="preserve">Dodavatel bude přebírat požadavky prostřednictvím centrální evidence (tiketového systému Manits) na straně </w:t>
            </w:r>
            <w:r w:rsidR="00262235">
              <w:rPr>
                <w:rFonts w:cs="Arial"/>
                <w:szCs w:val="22"/>
              </w:rPr>
              <w:t>Objednatel</w:t>
            </w:r>
            <w:r w:rsidRPr="003871B3">
              <w:rPr>
                <w:rFonts w:cs="Arial"/>
                <w:szCs w:val="22"/>
              </w:rPr>
              <w:t>e. Protože však jde o dodávku formou projektu, předpokládáme, že primárním komunikačním kanálem budou schůzky projektového vedení LIS. Řízení změn bude poplatné dodané metodice.</w:t>
            </w:r>
          </w:p>
        </w:tc>
      </w:tr>
      <w:tr w:rsidR="00254CEF" w:rsidRPr="003871B3" w14:paraId="68B4E6F9" w14:textId="77777777" w:rsidTr="00B7266F">
        <w:tc>
          <w:tcPr>
            <w:tcW w:w="988" w:type="dxa"/>
          </w:tcPr>
          <w:p w14:paraId="235AF575" w14:textId="1796FB7A" w:rsidR="00254CEF" w:rsidRPr="003871B3" w:rsidRDefault="00254CEF" w:rsidP="009539DD">
            <w:pPr>
              <w:pStyle w:val="GSOdstavec"/>
              <w:ind w:left="708" w:hanging="708"/>
            </w:pPr>
            <w:r w:rsidRPr="003871B3">
              <w:t>TP047</w:t>
            </w:r>
          </w:p>
        </w:tc>
        <w:tc>
          <w:tcPr>
            <w:tcW w:w="8079" w:type="dxa"/>
          </w:tcPr>
          <w:p w14:paraId="7387412C" w14:textId="6B7A34B4" w:rsidR="00254CEF" w:rsidRPr="003871B3" w:rsidRDefault="00254CEF" w:rsidP="00E0071D">
            <w:pPr>
              <w:pStyle w:val="GSOdstavec"/>
              <w:rPr>
                <w:rFonts w:cs="Arial"/>
                <w:szCs w:val="22"/>
              </w:rPr>
            </w:pPr>
            <w:r w:rsidRPr="003871B3">
              <w:rPr>
                <w:rFonts w:cs="Arial"/>
                <w:szCs w:val="22"/>
              </w:rPr>
              <w:t xml:space="preserve">Dodavatel na vyžádání poskytne součinnost pro kontrolu transformačních procesů pracovníkem </w:t>
            </w:r>
            <w:r w:rsidR="00262235">
              <w:rPr>
                <w:rFonts w:cs="Arial"/>
                <w:szCs w:val="22"/>
              </w:rPr>
              <w:t>Objednatel</w:t>
            </w:r>
            <w:r w:rsidRPr="003871B3">
              <w:rPr>
                <w:rFonts w:cs="Arial"/>
                <w:szCs w:val="22"/>
              </w:rPr>
              <w:t>e nebo jim pověřenou osobou.</w:t>
            </w:r>
          </w:p>
        </w:tc>
      </w:tr>
      <w:tr w:rsidR="00254CEF" w:rsidRPr="003871B3" w14:paraId="28826002" w14:textId="77777777" w:rsidTr="00B7266F">
        <w:tc>
          <w:tcPr>
            <w:tcW w:w="988" w:type="dxa"/>
          </w:tcPr>
          <w:p w14:paraId="7785D228" w14:textId="47F7F9BC" w:rsidR="00254CEF" w:rsidRPr="003871B3" w:rsidRDefault="00254CEF" w:rsidP="009539DD">
            <w:pPr>
              <w:pStyle w:val="GSOdstavec"/>
              <w:ind w:left="708" w:hanging="708"/>
            </w:pPr>
            <w:r w:rsidRPr="003871B3">
              <w:t>TP048</w:t>
            </w:r>
          </w:p>
        </w:tc>
        <w:tc>
          <w:tcPr>
            <w:tcW w:w="8079" w:type="dxa"/>
          </w:tcPr>
          <w:p w14:paraId="63DC437D" w14:textId="2CAA02F8" w:rsidR="00254CEF" w:rsidRPr="003871B3" w:rsidRDefault="00254CEF" w:rsidP="00E0071D">
            <w:pPr>
              <w:pStyle w:val="GSOdstavec"/>
              <w:rPr>
                <w:rFonts w:cs="Arial"/>
                <w:szCs w:val="22"/>
              </w:rPr>
            </w:pPr>
            <w:r w:rsidRPr="003871B3">
              <w:rPr>
                <w:rFonts w:cs="Arial"/>
                <w:szCs w:val="22"/>
              </w:rPr>
              <w:t>Dodavatel bude provádět validace a připomínkování součinnostních dodávek. Např. u poskytovaných zdrojových a cílových datových struktur provede kvalitativní posouzení veškerých požadovaných částí, zda odpovídají domluvenému a očekávanému stavu.</w:t>
            </w:r>
          </w:p>
        </w:tc>
      </w:tr>
      <w:tr w:rsidR="00254CEF" w:rsidRPr="003871B3" w14:paraId="49A1B6CF" w14:textId="77777777" w:rsidTr="00B7266F">
        <w:tc>
          <w:tcPr>
            <w:tcW w:w="988" w:type="dxa"/>
          </w:tcPr>
          <w:p w14:paraId="4F149BE8" w14:textId="0BF59186" w:rsidR="00254CEF" w:rsidRPr="003871B3" w:rsidRDefault="00254CEF" w:rsidP="009539DD">
            <w:pPr>
              <w:pStyle w:val="GSOdstavec"/>
              <w:ind w:left="708" w:hanging="708"/>
            </w:pPr>
            <w:r w:rsidRPr="003871B3">
              <w:t>TP061</w:t>
            </w:r>
          </w:p>
        </w:tc>
        <w:tc>
          <w:tcPr>
            <w:tcW w:w="8079" w:type="dxa"/>
          </w:tcPr>
          <w:p w14:paraId="5BEEF9BD" w14:textId="77777777" w:rsidR="00254CEF" w:rsidRPr="003871B3" w:rsidRDefault="00254CEF" w:rsidP="00E0071D">
            <w:pPr>
              <w:pStyle w:val="GSOdstavec"/>
              <w:rPr>
                <w:rFonts w:cs="Arial"/>
                <w:szCs w:val="22"/>
              </w:rPr>
            </w:pPr>
            <w:r w:rsidRPr="003871B3">
              <w:rPr>
                <w:rFonts w:cs="Arial"/>
                <w:szCs w:val="22"/>
              </w:rPr>
              <w:t>Datové položky obsahující identifikaci subjektů budou Dodavatelem identifikovány a v Lx vrstvách nahrazeny jednotnou identifikací IDSev z registrů IPPD.</w:t>
            </w:r>
          </w:p>
          <w:p w14:paraId="64ADEEC4" w14:textId="79EFBFFE" w:rsidR="00254CEF" w:rsidRPr="003871B3" w:rsidRDefault="00254CEF" w:rsidP="00E0071D">
            <w:pPr>
              <w:pStyle w:val="GSOdstavec"/>
              <w:rPr>
                <w:rFonts w:cs="Arial"/>
                <w:szCs w:val="22"/>
              </w:rPr>
            </w:pPr>
            <w:r w:rsidRPr="003871B3">
              <w:rPr>
                <w:rFonts w:cs="Arial"/>
                <w:szCs w:val="22"/>
              </w:rPr>
              <w:t>Dodavatel zajistí (doplní) identifikace subjektů dle IDSEV v L1 a L2 vrstvách. Původní identifikace zůstane zachována pro potřeby zpětného dohledání. Identifikace bude pro fyzické osoby bude koncipována na shodu IKMPSV a u právnických osob na shodu IČ.</w:t>
            </w:r>
          </w:p>
        </w:tc>
      </w:tr>
      <w:tr w:rsidR="00254CEF" w:rsidRPr="003871B3" w14:paraId="6320CB40" w14:textId="77777777" w:rsidTr="00B7266F">
        <w:tc>
          <w:tcPr>
            <w:tcW w:w="988" w:type="dxa"/>
          </w:tcPr>
          <w:p w14:paraId="55AB2A4A" w14:textId="3F0ECA79" w:rsidR="00254CEF" w:rsidRPr="003871B3" w:rsidRDefault="00254CEF" w:rsidP="009539DD">
            <w:pPr>
              <w:pStyle w:val="GSOdstavec"/>
              <w:ind w:left="708" w:hanging="708"/>
            </w:pPr>
            <w:r w:rsidRPr="003871B3">
              <w:t>TP063</w:t>
            </w:r>
          </w:p>
        </w:tc>
        <w:tc>
          <w:tcPr>
            <w:tcW w:w="8079" w:type="dxa"/>
          </w:tcPr>
          <w:p w14:paraId="7C2235EE" w14:textId="4A44CE02" w:rsidR="00254CEF" w:rsidRPr="003871B3" w:rsidRDefault="00254CEF" w:rsidP="00E0071D">
            <w:pPr>
              <w:pStyle w:val="GSOdstavec"/>
              <w:rPr>
                <w:rFonts w:cs="Arial"/>
                <w:szCs w:val="22"/>
              </w:rPr>
            </w:pPr>
            <w:r w:rsidRPr="003871B3">
              <w:rPr>
                <w:rFonts w:cs="Arial"/>
                <w:szCs w:val="22"/>
              </w:rPr>
              <w:t xml:space="preserve">Dodavatel je zodpovědný za identifikaci nekonzistencí v rámci zdrojových dat, vytvoření návrhu řešení nalezené nekonzistence. Tam, kde to bude možné, Dodavatel vytvoří transformační mechanismus pro řešení nekonzistence. V ostatních případech poskytne dodavatel postup a součinnost </w:t>
            </w:r>
            <w:r w:rsidR="00262235">
              <w:rPr>
                <w:rFonts w:cs="Arial"/>
                <w:szCs w:val="22"/>
              </w:rPr>
              <w:t>Objednatel</w:t>
            </w:r>
            <w:r w:rsidRPr="003871B3">
              <w:rPr>
                <w:rFonts w:cs="Arial"/>
                <w:szCs w:val="22"/>
              </w:rPr>
              <w:t>i při řešení nekonzistence.</w:t>
            </w:r>
          </w:p>
          <w:p w14:paraId="22822E87" w14:textId="4C9FFCDD" w:rsidR="00254CEF" w:rsidRPr="003871B3" w:rsidRDefault="00254CEF" w:rsidP="00307AD1">
            <w:pPr>
              <w:pStyle w:val="GSOdstavec"/>
              <w:rPr>
                <w:rFonts w:cs="Arial"/>
                <w:szCs w:val="22"/>
              </w:rPr>
            </w:pPr>
            <w:r w:rsidRPr="003871B3">
              <w:rPr>
                <w:rFonts w:cs="Arial"/>
                <w:szCs w:val="22"/>
              </w:rPr>
              <w:t>Dodavatel provede analýzu nekonzistenc</w:t>
            </w:r>
            <w:r>
              <w:rPr>
                <w:rFonts w:cs="Arial"/>
                <w:szCs w:val="22"/>
              </w:rPr>
              <w:t>í</w:t>
            </w:r>
            <w:r w:rsidRPr="003871B3">
              <w:rPr>
                <w:rFonts w:cs="Arial"/>
                <w:szCs w:val="22"/>
              </w:rPr>
              <w:t xml:space="preserve"> dat ze zdrojových systém</w:t>
            </w:r>
            <w:r>
              <w:rPr>
                <w:rFonts w:cs="Arial"/>
                <w:szCs w:val="22"/>
              </w:rPr>
              <w:t>ů</w:t>
            </w:r>
            <w:r w:rsidRPr="003871B3">
              <w:rPr>
                <w:rFonts w:cs="Arial"/>
                <w:szCs w:val="22"/>
              </w:rPr>
              <w:t xml:space="preserve">, které vstupují do transformací. Výjimku tvoří nekonzistence finančních dat mezi účetní a věcnou agendou. </w:t>
            </w:r>
            <w:r w:rsidR="00262235">
              <w:rPr>
                <w:rFonts w:cs="Arial"/>
                <w:szCs w:val="22"/>
              </w:rPr>
              <w:t>Objednatel</w:t>
            </w:r>
            <w:r w:rsidRPr="004A4CC8">
              <w:rPr>
                <w:rFonts w:cs="Arial"/>
                <w:szCs w:val="22"/>
              </w:rPr>
              <w:t xml:space="preserve"> poskytne součinnost pro vytvoření návrhu řešení nekonzistencí formou konzultací s dodavateli zdrojových systémů a odbornými garanty MPSV/ÚP.</w:t>
            </w:r>
          </w:p>
        </w:tc>
      </w:tr>
      <w:tr w:rsidR="00254CEF" w:rsidRPr="003871B3" w14:paraId="1803D303" w14:textId="77777777" w:rsidTr="00B7266F">
        <w:tc>
          <w:tcPr>
            <w:tcW w:w="988" w:type="dxa"/>
          </w:tcPr>
          <w:p w14:paraId="77BC616F" w14:textId="0364941D" w:rsidR="00254CEF" w:rsidRPr="003871B3" w:rsidRDefault="00254CEF" w:rsidP="009539DD">
            <w:pPr>
              <w:pStyle w:val="GSOdstavec"/>
              <w:ind w:left="708" w:hanging="708"/>
            </w:pPr>
            <w:r w:rsidRPr="003871B3">
              <w:t>TP065</w:t>
            </w:r>
          </w:p>
        </w:tc>
        <w:tc>
          <w:tcPr>
            <w:tcW w:w="8079" w:type="dxa"/>
          </w:tcPr>
          <w:p w14:paraId="056B304E" w14:textId="77777777" w:rsidR="00254CEF" w:rsidRPr="003871B3" w:rsidRDefault="00254CEF" w:rsidP="00E0071D">
            <w:pPr>
              <w:pStyle w:val="GSOdstavec"/>
              <w:rPr>
                <w:rFonts w:cs="Arial"/>
                <w:szCs w:val="22"/>
              </w:rPr>
            </w:pPr>
            <w:r w:rsidRPr="003871B3">
              <w:rPr>
                <w:rFonts w:cs="Arial"/>
                <w:szCs w:val="22"/>
              </w:rPr>
              <w:t>Dodavatel provede unifikaci dat pro distribuované zdrojové systémy, tak aby byla zajištěna migrovatelnost do centrálních systémů.</w:t>
            </w:r>
          </w:p>
          <w:p w14:paraId="10F2C54E" w14:textId="603FAB09" w:rsidR="00254CEF" w:rsidRPr="003871B3" w:rsidRDefault="00254CEF" w:rsidP="00E0071D">
            <w:pPr>
              <w:pStyle w:val="GSOdstavec"/>
              <w:rPr>
                <w:rFonts w:cs="Arial"/>
                <w:szCs w:val="22"/>
              </w:rPr>
            </w:pPr>
            <w:r w:rsidRPr="003871B3">
              <w:rPr>
                <w:rFonts w:cs="Arial"/>
                <w:szCs w:val="22"/>
              </w:rPr>
              <w:t>V rámci transformací dodavatel unifikuje data dle požadavků získaných od projektů implementujících cílové systémy. Dle pravidel migrace se tento požadavek vztahuje pouze na migraci do IS ZAM.</w:t>
            </w:r>
          </w:p>
        </w:tc>
      </w:tr>
      <w:tr w:rsidR="00254CEF" w:rsidRPr="003871B3" w14:paraId="61613E58" w14:textId="77777777" w:rsidTr="00B7266F">
        <w:tc>
          <w:tcPr>
            <w:tcW w:w="988" w:type="dxa"/>
          </w:tcPr>
          <w:p w14:paraId="1C59F647" w14:textId="5D5D9CB1" w:rsidR="00254CEF" w:rsidRPr="003871B3" w:rsidRDefault="00254CEF" w:rsidP="009539DD">
            <w:pPr>
              <w:pStyle w:val="GSOdstavec"/>
              <w:ind w:left="708" w:hanging="708"/>
            </w:pPr>
            <w:r w:rsidRPr="003871B3">
              <w:t>TP066</w:t>
            </w:r>
          </w:p>
        </w:tc>
        <w:tc>
          <w:tcPr>
            <w:tcW w:w="8079" w:type="dxa"/>
          </w:tcPr>
          <w:p w14:paraId="4249CFCB" w14:textId="041975D9" w:rsidR="00254CEF" w:rsidRPr="003871B3" w:rsidRDefault="00254CEF" w:rsidP="00E0071D">
            <w:pPr>
              <w:pStyle w:val="GSOdstavec"/>
              <w:rPr>
                <w:rFonts w:cs="Arial"/>
                <w:szCs w:val="22"/>
              </w:rPr>
            </w:pPr>
            <w:r w:rsidRPr="003871B3">
              <w:rPr>
                <w:rFonts w:cs="Arial"/>
                <w:szCs w:val="22"/>
              </w:rPr>
              <w:t>Dodavatel zajistí, aby při budoucích kontrolách dat byly dohledatelná číselníková a registrová data pro všechny fáze transformací.</w:t>
            </w:r>
          </w:p>
        </w:tc>
      </w:tr>
      <w:tr w:rsidR="00254CEF" w:rsidRPr="003871B3" w14:paraId="51023D01" w14:textId="77777777" w:rsidTr="00B7266F">
        <w:tc>
          <w:tcPr>
            <w:tcW w:w="988" w:type="dxa"/>
          </w:tcPr>
          <w:p w14:paraId="45768465" w14:textId="469B37E1" w:rsidR="00254CEF" w:rsidRPr="003871B3" w:rsidRDefault="00254CEF" w:rsidP="009539DD">
            <w:pPr>
              <w:pStyle w:val="GSOdstavec"/>
              <w:ind w:left="708" w:hanging="708"/>
            </w:pPr>
            <w:r w:rsidRPr="003871B3">
              <w:t>TP067</w:t>
            </w:r>
          </w:p>
        </w:tc>
        <w:tc>
          <w:tcPr>
            <w:tcW w:w="8079" w:type="dxa"/>
          </w:tcPr>
          <w:p w14:paraId="32868ECA" w14:textId="77777777" w:rsidR="00254CEF" w:rsidRPr="003871B3" w:rsidRDefault="00254CEF" w:rsidP="00E0071D">
            <w:pPr>
              <w:pStyle w:val="GSOdstavec"/>
              <w:rPr>
                <w:rFonts w:cs="Arial"/>
                <w:szCs w:val="22"/>
              </w:rPr>
            </w:pPr>
            <w:r w:rsidRPr="003871B3">
              <w:rPr>
                <w:rFonts w:cs="Arial"/>
                <w:szCs w:val="22"/>
              </w:rPr>
              <w:t>Při transformaci nesmí dojít k žádnému zkreslení, ztrátě nebo duplicitě dat z byznys pohledu.</w:t>
            </w:r>
          </w:p>
          <w:p w14:paraId="6EC1FA91" w14:textId="3B8FF83C" w:rsidR="00254CEF" w:rsidRPr="003871B3" w:rsidRDefault="00254CEF" w:rsidP="00E0071D">
            <w:pPr>
              <w:pStyle w:val="GSOdstavec"/>
              <w:rPr>
                <w:rFonts w:cs="Arial"/>
                <w:szCs w:val="22"/>
              </w:rPr>
            </w:pPr>
            <w:r w:rsidRPr="003871B3">
              <w:rPr>
                <w:rFonts w:cs="Arial"/>
                <w:szCs w:val="22"/>
              </w:rPr>
              <w:t>Dodavatel provede transformace na základě schválené analýzy. V některých případech mohou být data (na základě požadavků cílových systému) transformována na jiný význam, nebo i se ztrátou původního významu.</w:t>
            </w:r>
          </w:p>
        </w:tc>
      </w:tr>
      <w:tr w:rsidR="00254CEF" w:rsidRPr="003871B3" w14:paraId="05181D9E" w14:textId="77777777" w:rsidTr="00B7266F">
        <w:tc>
          <w:tcPr>
            <w:tcW w:w="988" w:type="dxa"/>
          </w:tcPr>
          <w:p w14:paraId="31C4E8A3" w14:textId="532E025E" w:rsidR="00254CEF" w:rsidRPr="003871B3" w:rsidRDefault="00254CEF" w:rsidP="009539DD">
            <w:pPr>
              <w:pStyle w:val="GSOdstavec"/>
              <w:ind w:left="708" w:hanging="708"/>
            </w:pPr>
            <w:r w:rsidRPr="003871B3">
              <w:t>TP068</w:t>
            </w:r>
          </w:p>
        </w:tc>
        <w:tc>
          <w:tcPr>
            <w:tcW w:w="8079" w:type="dxa"/>
          </w:tcPr>
          <w:p w14:paraId="0934E6A8" w14:textId="77777777" w:rsidR="00254CEF" w:rsidRPr="003871B3" w:rsidRDefault="00254CEF" w:rsidP="00E0071D">
            <w:pPr>
              <w:pStyle w:val="GSOdstavec"/>
              <w:rPr>
                <w:rFonts w:cs="Arial"/>
                <w:szCs w:val="22"/>
              </w:rPr>
            </w:pPr>
            <w:r w:rsidRPr="003871B3">
              <w:rPr>
                <w:rFonts w:cs="Arial"/>
                <w:szCs w:val="22"/>
              </w:rPr>
              <w:t>Dodavatel zajistí, aby zdrojová data, tak jak byla převzata z původních systémů, byla archivována a v případě potřeby byla přístupná pro případný audit.</w:t>
            </w:r>
          </w:p>
          <w:p w14:paraId="6A1D890F" w14:textId="4317F4CE" w:rsidR="00254CEF" w:rsidRPr="003871B3" w:rsidRDefault="00254CEF" w:rsidP="00E0071D">
            <w:pPr>
              <w:pStyle w:val="GSOdstavec"/>
              <w:rPr>
                <w:rFonts w:cs="Arial"/>
                <w:szCs w:val="22"/>
              </w:rPr>
            </w:pPr>
            <w:r w:rsidRPr="003871B3">
              <w:rPr>
                <w:rFonts w:cs="Arial"/>
                <w:szCs w:val="22"/>
              </w:rPr>
              <w:t>Dodavatel zajisti součinnost při napojení na zálohovací a archivační mechanismy.</w:t>
            </w:r>
          </w:p>
        </w:tc>
      </w:tr>
      <w:tr w:rsidR="00254CEF" w:rsidRPr="003871B3" w14:paraId="022C41D2" w14:textId="77777777" w:rsidTr="00B7266F">
        <w:tc>
          <w:tcPr>
            <w:tcW w:w="988" w:type="dxa"/>
          </w:tcPr>
          <w:p w14:paraId="3908C18A" w14:textId="7A226B15" w:rsidR="00254CEF" w:rsidRPr="003871B3" w:rsidRDefault="00254CEF" w:rsidP="009539DD">
            <w:pPr>
              <w:pStyle w:val="GSOdstavec"/>
              <w:ind w:left="708" w:hanging="708"/>
            </w:pPr>
            <w:r w:rsidRPr="003871B3">
              <w:t>TP069</w:t>
            </w:r>
          </w:p>
        </w:tc>
        <w:tc>
          <w:tcPr>
            <w:tcW w:w="8079" w:type="dxa"/>
          </w:tcPr>
          <w:p w14:paraId="1FF5A4AD" w14:textId="5F5B3414" w:rsidR="00254CEF" w:rsidRPr="003871B3" w:rsidRDefault="00254CEF" w:rsidP="00E0071D">
            <w:pPr>
              <w:pStyle w:val="GSOdstavec"/>
              <w:rPr>
                <w:rFonts w:cs="Arial"/>
                <w:szCs w:val="22"/>
              </w:rPr>
            </w:pPr>
            <w:r w:rsidRPr="003871B3">
              <w:rPr>
                <w:rFonts w:cs="Arial"/>
                <w:szCs w:val="22"/>
              </w:rPr>
              <w:t>Během transformací budou Dodavatelem automaticky kontrolovány formáty, platnosti dat a tam, kde to bude možné, bude Dodavatelem provedeno jejich ověření pomocí porovnání počtů záznamů, počtů sloupců, kontrolních součtů relevantních číselných sloupců, intervalů a číselníků. Dodavatel dokumentuje transformační postupy, aby bylo možné nad vybraným vzorkem dat ověřit dodaný transformační postup. Výsledky těchto kontrolních mechanismů budou ukládána na archivovaná úložiště.</w:t>
            </w:r>
          </w:p>
        </w:tc>
      </w:tr>
      <w:tr w:rsidR="00254CEF" w:rsidRPr="003871B3" w14:paraId="7A82939C" w14:textId="77777777" w:rsidTr="00B7266F">
        <w:tc>
          <w:tcPr>
            <w:tcW w:w="988" w:type="dxa"/>
          </w:tcPr>
          <w:p w14:paraId="06A3EF29" w14:textId="39E42407" w:rsidR="00254CEF" w:rsidRPr="003871B3" w:rsidRDefault="00254CEF" w:rsidP="009539DD">
            <w:pPr>
              <w:pStyle w:val="GSOdstavec"/>
              <w:ind w:left="708" w:hanging="708"/>
            </w:pPr>
            <w:r w:rsidRPr="003871B3">
              <w:t>TP071</w:t>
            </w:r>
          </w:p>
        </w:tc>
        <w:tc>
          <w:tcPr>
            <w:tcW w:w="8079" w:type="dxa"/>
          </w:tcPr>
          <w:p w14:paraId="5A1A9EEE" w14:textId="7E65CACB" w:rsidR="00254CEF" w:rsidRPr="003871B3" w:rsidRDefault="00254CEF" w:rsidP="00E0071D">
            <w:pPr>
              <w:pStyle w:val="GSOdstavec"/>
              <w:rPr>
                <w:rFonts w:cs="Arial"/>
                <w:szCs w:val="22"/>
              </w:rPr>
            </w:pPr>
            <w:r w:rsidRPr="003871B3">
              <w:rPr>
                <w:rFonts w:cs="Arial"/>
                <w:szCs w:val="22"/>
              </w:rPr>
              <w:t>Dodavatel provede výkonnostní testy a optimalizace za účelem minimalizace potřebné doby k plnění jednotlivých vrstev (L1, L2) migrační platformy.</w:t>
            </w:r>
          </w:p>
        </w:tc>
      </w:tr>
      <w:tr w:rsidR="00254CEF" w:rsidRPr="003871B3" w14:paraId="314174D3" w14:textId="77777777" w:rsidTr="00B7266F">
        <w:tc>
          <w:tcPr>
            <w:tcW w:w="988" w:type="dxa"/>
          </w:tcPr>
          <w:p w14:paraId="3547C9D9" w14:textId="111A0B0D" w:rsidR="00254CEF" w:rsidRPr="003871B3" w:rsidRDefault="00254CEF" w:rsidP="009539DD">
            <w:pPr>
              <w:pStyle w:val="GSOdstavec"/>
              <w:ind w:left="708" w:hanging="708"/>
            </w:pPr>
            <w:r w:rsidRPr="003871B3">
              <w:t>TP072</w:t>
            </w:r>
          </w:p>
        </w:tc>
        <w:tc>
          <w:tcPr>
            <w:tcW w:w="8079" w:type="dxa"/>
          </w:tcPr>
          <w:p w14:paraId="60EF60CB" w14:textId="77777777" w:rsidR="00254CEF" w:rsidRPr="003871B3" w:rsidRDefault="00254CEF" w:rsidP="002B7CC1">
            <w:pPr>
              <w:pStyle w:val="GSOdstavec"/>
              <w:rPr>
                <w:rFonts w:cs="Arial"/>
                <w:szCs w:val="22"/>
              </w:rPr>
            </w:pPr>
            <w:r w:rsidRPr="003871B3">
              <w:rPr>
                <w:rFonts w:cs="Arial"/>
                <w:szCs w:val="22"/>
              </w:rPr>
              <w:t>Dodavatel zajistí správné plánování návaznosti jednotlivých činností v souvislosti s výkonem své služby. Tento plán musí přirozeně zohledňovat všechny činnosti a jejich návaznosti a též všechny spolupráce s různými migračními projekty s ohledem na jednotlivé harmonogramy.</w:t>
            </w:r>
          </w:p>
          <w:p w14:paraId="1E175FA1" w14:textId="30B497D5" w:rsidR="00254CEF" w:rsidRPr="004A4CC8" w:rsidRDefault="00262235" w:rsidP="00E0071D">
            <w:pPr>
              <w:pStyle w:val="GSOdstavec"/>
              <w:rPr>
                <w:rFonts w:cs="Arial"/>
                <w:szCs w:val="22"/>
              </w:rPr>
            </w:pPr>
            <w:r>
              <w:rPr>
                <w:rFonts w:cs="Arial"/>
                <w:szCs w:val="22"/>
              </w:rPr>
              <w:t>Objednatel</w:t>
            </w:r>
            <w:r w:rsidR="00254CEF" w:rsidRPr="004A4CC8">
              <w:rPr>
                <w:rFonts w:cs="Arial"/>
                <w:szCs w:val="22"/>
              </w:rPr>
              <w:t xml:space="preserve"> jako svou součinnost zajistí průběžnou aktualizaci informací a požadavků okolních projektů.</w:t>
            </w:r>
          </w:p>
        </w:tc>
      </w:tr>
      <w:tr w:rsidR="00254CEF" w:rsidRPr="003871B3" w14:paraId="1B1A25C4" w14:textId="77777777" w:rsidTr="00B7266F">
        <w:tc>
          <w:tcPr>
            <w:tcW w:w="988" w:type="dxa"/>
          </w:tcPr>
          <w:p w14:paraId="70C352A9" w14:textId="1101C794" w:rsidR="00254CEF" w:rsidRPr="003871B3" w:rsidRDefault="00254CEF" w:rsidP="009539DD">
            <w:pPr>
              <w:pStyle w:val="GSOdstavec"/>
              <w:ind w:left="708" w:hanging="708"/>
            </w:pPr>
            <w:r w:rsidRPr="003871B3">
              <w:t>TP075</w:t>
            </w:r>
          </w:p>
        </w:tc>
        <w:tc>
          <w:tcPr>
            <w:tcW w:w="8079" w:type="dxa"/>
          </w:tcPr>
          <w:p w14:paraId="104710B7" w14:textId="33B92927" w:rsidR="00254CEF" w:rsidRPr="003871B3" w:rsidRDefault="00254CEF" w:rsidP="002B7CC1">
            <w:pPr>
              <w:pStyle w:val="GSOdstavec"/>
              <w:rPr>
                <w:rFonts w:cs="Arial"/>
                <w:szCs w:val="22"/>
              </w:rPr>
            </w:pPr>
            <w:r w:rsidRPr="003871B3">
              <w:rPr>
                <w:rFonts w:cs="Arial"/>
                <w:szCs w:val="22"/>
              </w:rPr>
              <w:t>Tým Dodavatele bude pro analytickou práci využívat výhradně osobní uživatelské účty. Osobní uživatelské účty nebudou sdílené více osobami. Porušení tohoto pravidla bude řešeno jako bezpečnostní událost. Technický uživatel bude sloužit pouze na transformaci dat, nikoliv na analytickou práci. Technický uživatel bude provádět pouze Insert, Update, Delete operace.</w:t>
            </w:r>
          </w:p>
        </w:tc>
      </w:tr>
      <w:tr w:rsidR="00254CEF" w:rsidRPr="003871B3" w14:paraId="1F01CB41" w14:textId="77777777" w:rsidTr="00B7266F">
        <w:trPr>
          <w:trHeight w:val="1996"/>
        </w:trPr>
        <w:tc>
          <w:tcPr>
            <w:tcW w:w="988" w:type="dxa"/>
          </w:tcPr>
          <w:p w14:paraId="32DB94D0" w14:textId="4E77A015" w:rsidR="00254CEF" w:rsidRPr="003871B3" w:rsidRDefault="00254CEF" w:rsidP="009539DD">
            <w:pPr>
              <w:pStyle w:val="GSOdstavec"/>
              <w:ind w:left="708" w:hanging="708"/>
            </w:pPr>
            <w:r w:rsidRPr="003871B3">
              <w:t>TP079</w:t>
            </w:r>
          </w:p>
        </w:tc>
        <w:tc>
          <w:tcPr>
            <w:tcW w:w="8079" w:type="dxa"/>
          </w:tcPr>
          <w:p w14:paraId="2CE8B94B" w14:textId="3FBAFF5C" w:rsidR="00254CEF" w:rsidRPr="003871B3" w:rsidRDefault="00254CEF" w:rsidP="002B7CC1">
            <w:pPr>
              <w:pStyle w:val="GSOdstavec"/>
              <w:rPr>
                <w:rFonts w:cs="Arial"/>
                <w:szCs w:val="22"/>
              </w:rPr>
            </w:pPr>
            <w:r w:rsidRPr="003871B3">
              <w:rPr>
                <w:rFonts w:cs="Arial"/>
                <w:szCs w:val="22"/>
              </w:rPr>
              <w:t>Dodavatel je zodpovědný za vytvoření migračních postupů tak, aby byly technicky realizovatelné s minimální odstávkou systémů. Komplikované migrace mohou být fázovány a může docházet k případným domigracím na vyžádání tak, aby byla zajištěna potřebná dostupnost dat. Dodavatel je povinen navrhnout optimální postup z pohledu minimalizace délky odstávky kritických systémů.</w:t>
            </w:r>
          </w:p>
        </w:tc>
      </w:tr>
      <w:tr w:rsidR="00254CEF" w:rsidRPr="003871B3" w14:paraId="6458BCB4" w14:textId="77777777" w:rsidTr="00B7266F">
        <w:tc>
          <w:tcPr>
            <w:tcW w:w="988" w:type="dxa"/>
          </w:tcPr>
          <w:p w14:paraId="7121496F" w14:textId="7364622E" w:rsidR="00254CEF" w:rsidRPr="003871B3" w:rsidRDefault="00254CEF" w:rsidP="009539DD">
            <w:pPr>
              <w:pStyle w:val="GSOdstavec"/>
              <w:ind w:left="708" w:hanging="708"/>
            </w:pPr>
            <w:r w:rsidRPr="003871B3">
              <w:t>TP085</w:t>
            </w:r>
          </w:p>
        </w:tc>
        <w:tc>
          <w:tcPr>
            <w:tcW w:w="8079" w:type="dxa"/>
          </w:tcPr>
          <w:p w14:paraId="3B4C2586" w14:textId="77777777" w:rsidR="00254CEF" w:rsidRPr="003871B3" w:rsidRDefault="00254CEF" w:rsidP="001A4A19">
            <w:pPr>
              <w:pStyle w:val="GSOdstavec"/>
              <w:rPr>
                <w:rFonts w:cs="Arial"/>
                <w:szCs w:val="22"/>
              </w:rPr>
            </w:pPr>
            <w:r w:rsidRPr="003871B3">
              <w:rPr>
                <w:rFonts w:cs="Arial"/>
                <w:szCs w:val="22"/>
              </w:rPr>
              <w:t>Dodavatel provede transformaci číselníkových hodnot původních systémů na číselníkové hodnoty cílových systémů. V případě nutnosti dodavatel navrhne realizovatelné úpravy nových číselníků.</w:t>
            </w:r>
          </w:p>
          <w:p w14:paraId="250B1C97" w14:textId="1B318F49" w:rsidR="00254CEF" w:rsidRPr="004A4CC8" w:rsidRDefault="00254CEF" w:rsidP="002B7CC1">
            <w:pPr>
              <w:pStyle w:val="GSOdstavec"/>
              <w:rPr>
                <w:rFonts w:cs="Arial"/>
                <w:szCs w:val="22"/>
              </w:rPr>
            </w:pPr>
            <w:r w:rsidRPr="004A4CC8">
              <w:rPr>
                <w:rFonts w:cs="Arial"/>
                <w:szCs w:val="22"/>
              </w:rPr>
              <w:t xml:space="preserve">Definici business pravidel pro provedení transformace číselníkových hodnot poskytne jako součinnost </w:t>
            </w:r>
            <w:r w:rsidR="00262235">
              <w:rPr>
                <w:rFonts w:cs="Arial"/>
                <w:szCs w:val="22"/>
              </w:rPr>
              <w:t>Objednatel</w:t>
            </w:r>
            <w:r w:rsidRPr="004A4CC8">
              <w:rPr>
                <w:rFonts w:cs="Arial"/>
                <w:szCs w:val="22"/>
              </w:rPr>
              <w:t>.</w:t>
            </w:r>
          </w:p>
        </w:tc>
      </w:tr>
      <w:tr w:rsidR="00254CEF" w:rsidRPr="003871B3" w14:paraId="2F987D0C" w14:textId="77777777" w:rsidTr="00B7266F">
        <w:tc>
          <w:tcPr>
            <w:tcW w:w="988" w:type="dxa"/>
          </w:tcPr>
          <w:p w14:paraId="33B4529E" w14:textId="6491C6DB" w:rsidR="00254CEF" w:rsidRPr="003871B3" w:rsidRDefault="00254CEF" w:rsidP="009539DD">
            <w:pPr>
              <w:pStyle w:val="GSOdstavec"/>
              <w:ind w:left="708" w:hanging="708"/>
            </w:pPr>
            <w:r w:rsidRPr="003871B3">
              <w:t>BEZ012</w:t>
            </w:r>
          </w:p>
        </w:tc>
        <w:tc>
          <w:tcPr>
            <w:tcW w:w="8079" w:type="dxa"/>
          </w:tcPr>
          <w:p w14:paraId="27D24A32" w14:textId="50C917D0" w:rsidR="00254CEF" w:rsidRPr="003871B3" w:rsidRDefault="00254CEF" w:rsidP="001A4A19">
            <w:pPr>
              <w:pStyle w:val="GSOdstavec"/>
              <w:rPr>
                <w:rFonts w:cs="Arial"/>
                <w:szCs w:val="22"/>
              </w:rPr>
            </w:pPr>
            <w:r w:rsidRPr="003871B3">
              <w:rPr>
                <w:rFonts w:cs="Arial"/>
                <w:szCs w:val="22"/>
              </w:rPr>
              <w:t>Uživatelské rozhraní musí poskytovat možnost úplného a bezpečného odhlášení uživatele ze systému.</w:t>
            </w:r>
          </w:p>
        </w:tc>
      </w:tr>
      <w:tr w:rsidR="00254CEF" w:rsidRPr="003871B3" w14:paraId="3F4BBD63" w14:textId="77777777" w:rsidTr="00B7266F">
        <w:tc>
          <w:tcPr>
            <w:tcW w:w="988" w:type="dxa"/>
          </w:tcPr>
          <w:p w14:paraId="4818DCDC" w14:textId="7B6535B4" w:rsidR="00254CEF" w:rsidRPr="003871B3" w:rsidRDefault="00254CEF" w:rsidP="009539DD">
            <w:pPr>
              <w:pStyle w:val="GSOdstavec"/>
              <w:ind w:left="708" w:hanging="708"/>
            </w:pPr>
            <w:r w:rsidRPr="003871B3">
              <w:t>BEZ013</w:t>
            </w:r>
          </w:p>
        </w:tc>
        <w:tc>
          <w:tcPr>
            <w:tcW w:w="8079" w:type="dxa"/>
          </w:tcPr>
          <w:p w14:paraId="0F1753FE" w14:textId="5752B33E" w:rsidR="00254CEF" w:rsidRPr="003871B3" w:rsidRDefault="00254CEF" w:rsidP="00650AD2">
            <w:pPr>
              <w:pStyle w:val="GSOdstavec"/>
              <w:rPr>
                <w:rFonts w:cs="Arial"/>
                <w:szCs w:val="22"/>
              </w:rPr>
            </w:pPr>
            <w:r w:rsidRPr="003871B3">
              <w:rPr>
                <w:rFonts w:cs="Arial"/>
                <w:szCs w:val="22"/>
              </w:rPr>
              <w:t>V případě, že dodavatel dodá nový systém (aplikaci) zajistí, že před nasazením do produkce byl systém otestován na známé zranitelnost</w:t>
            </w:r>
            <w:r w:rsidR="00803C64">
              <w:rPr>
                <w:rFonts w:cs="Arial"/>
                <w:szCs w:val="22"/>
              </w:rPr>
              <w:t>i</w:t>
            </w:r>
            <w:r w:rsidRPr="003871B3">
              <w:rPr>
                <w:rFonts w:cs="Arial"/>
                <w:szCs w:val="22"/>
              </w:rPr>
              <w:t>. Systém musí být zabezpečen proti útokům známým v době uvádění systémů do provozu (primárně různé útoky typu injection, zneužití uploadu aj.). Dodavatel zvolí a bude dodržovat vhodnou metodiku pro bezpečný vývoj aplikací ověřenou dobrou praxí. Dodavatel musí zajistit součinnost při provedení bezpečnostních testů před akceptačními testy a poskytnout podklady a spolupráci pro bezpečnostní testování aplikací ze strany odběratele.</w:t>
            </w:r>
          </w:p>
          <w:p w14:paraId="0CFDF65E" w14:textId="77777777" w:rsidR="00254CEF" w:rsidRPr="003871B3" w:rsidRDefault="00254CEF" w:rsidP="00650AD2">
            <w:pPr>
              <w:framePr w:hSpace="142" w:wrap="around" w:vAnchor="text" w:hAnchor="text" w:xAlign="center" w:y="1"/>
              <w:autoSpaceDE w:val="0"/>
              <w:autoSpaceDN w:val="0"/>
              <w:adjustRightInd w:val="0"/>
              <w:rPr>
                <w:rFonts w:ascii="Arial" w:eastAsia="AR PL SungtiL GB" w:hAnsi="Arial" w:cs="Arial"/>
                <w:color w:val="auto"/>
                <w:sz w:val="22"/>
                <w:szCs w:val="22"/>
              </w:rPr>
            </w:pPr>
            <w:r w:rsidRPr="003871B3">
              <w:rPr>
                <w:rFonts w:ascii="Arial" w:eastAsia="AR PL SungtiL GB" w:hAnsi="Arial" w:cs="Arial"/>
                <w:color w:val="auto"/>
                <w:sz w:val="22"/>
                <w:szCs w:val="22"/>
              </w:rPr>
              <w:t>Předmětem plnění LIS je databáze MS SQL Server 2014 a MS SQL Server Reporting Services. V rámci nasazení jsou použity jen stabilní verze těchto produktů určené pro produkční nasazení, tyto nástroje jsou testovány dodavatelem těchto systémů.</w:t>
            </w:r>
          </w:p>
          <w:p w14:paraId="05E12561" w14:textId="1AB3358E" w:rsidR="00254CEF" w:rsidRPr="003871B3" w:rsidRDefault="00254CEF" w:rsidP="00650AD2">
            <w:pPr>
              <w:framePr w:hSpace="142" w:wrap="around" w:vAnchor="text" w:hAnchor="text" w:xAlign="center" w:y="1"/>
              <w:autoSpaceDE w:val="0"/>
              <w:autoSpaceDN w:val="0"/>
              <w:adjustRightInd w:val="0"/>
              <w:rPr>
                <w:rFonts w:ascii="Arial" w:eastAsia="AR PL SungtiL GB" w:hAnsi="Arial" w:cs="Arial"/>
                <w:color w:val="auto"/>
                <w:sz w:val="22"/>
                <w:szCs w:val="22"/>
              </w:rPr>
            </w:pPr>
            <w:r w:rsidRPr="003871B3">
              <w:rPr>
                <w:rFonts w:ascii="Arial" w:eastAsia="AR PL SungtiL GB" w:hAnsi="Arial" w:cs="Arial"/>
                <w:color w:val="auto"/>
                <w:sz w:val="22"/>
                <w:szCs w:val="22"/>
              </w:rPr>
              <w:t xml:space="preserve">Pro dodávku řešení na těchto komponentách budou na základě analýzy rizik definovány, v součinnosti se </w:t>
            </w:r>
            <w:r w:rsidR="00262235">
              <w:rPr>
                <w:rFonts w:ascii="Arial" w:eastAsia="AR PL SungtiL GB" w:hAnsi="Arial" w:cs="Arial"/>
                <w:color w:val="auto"/>
                <w:sz w:val="22"/>
                <w:szCs w:val="22"/>
              </w:rPr>
              <w:t>Objednatel</w:t>
            </w:r>
            <w:r w:rsidRPr="003871B3">
              <w:rPr>
                <w:rFonts w:ascii="Arial" w:eastAsia="AR PL SungtiL GB" w:hAnsi="Arial" w:cs="Arial"/>
                <w:color w:val="auto"/>
                <w:sz w:val="22"/>
                <w:szCs w:val="22"/>
              </w:rPr>
              <w:t xml:space="preserve">em, minimální požadavky na bezpečnost aplikace, které budou nutnou součástí každé verze Systému určené k nasazení do produkčního prostředí. Pro vývoj aplikací jsou stanoveny standardy pro psaní kódu a jeho revize. Pravidelně se provádí revize kódu druhou osobou. V rámci sestavování verzí se provádí statická analýza kódu. Před nasazením do testovacího prostředí se provádějí komplexní vývojářské testy, jejichž součástí je i odezva na nestandardní nebo zakázané vstupy. </w:t>
            </w:r>
          </w:p>
          <w:p w14:paraId="7CDDC254" w14:textId="0D9586A0" w:rsidR="00254CEF" w:rsidRPr="003871B3" w:rsidRDefault="00254CEF" w:rsidP="001A4A19">
            <w:pPr>
              <w:pStyle w:val="GSOdstavec"/>
              <w:rPr>
                <w:rFonts w:eastAsia="AR PL SungtiL GB" w:cs="Arial"/>
                <w:color w:val="auto"/>
                <w:szCs w:val="22"/>
              </w:rPr>
            </w:pPr>
            <w:r w:rsidRPr="003871B3">
              <w:rPr>
                <w:rFonts w:eastAsia="AR PL SungtiL GB" w:cs="Arial"/>
                <w:color w:val="auto"/>
                <w:szCs w:val="22"/>
              </w:rPr>
              <w:t>Dodavatel je připraven poskytnout podklady a součinnost při bezpečnostním testování dodavatelem.</w:t>
            </w:r>
          </w:p>
        </w:tc>
      </w:tr>
      <w:tr w:rsidR="00254CEF" w:rsidRPr="003871B3" w14:paraId="5A22F798" w14:textId="77777777" w:rsidTr="00B7266F">
        <w:tc>
          <w:tcPr>
            <w:tcW w:w="988" w:type="dxa"/>
          </w:tcPr>
          <w:p w14:paraId="4366C3EA" w14:textId="59E4BA27" w:rsidR="00254CEF" w:rsidRPr="003871B3" w:rsidRDefault="00254CEF" w:rsidP="009539DD">
            <w:pPr>
              <w:pStyle w:val="GSOdstavec"/>
              <w:ind w:left="708" w:hanging="708"/>
            </w:pPr>
            <w:r w:rsidRPr="003871B3">
              <w:t>BEZ014</w:t>
            </w:r>
          </w:p>
        </w:tc>
        <w:tc>
          <w:tcPr>
            <w:tcW w:w="8079" w:type="dxa"/>
          </w:tcPr>
          <w:p w14:paraId="5876BD80" w14:textId="2E888983" w:rsidR="00254CEF" w:rsidRPr="003871B3" w:rsidRDefault="00254CEF" w:rsidP="00650AD2">
            <w:pPr>
              <w:pStyle w:val="GSOdstavec"/>
              <w:rPr>
                <w:rFonts w:cs="Arial"/>
                <w:szCs w:val="22"/>
              </w:rPr>
            </w:pPr>
            <w:r w:rsidRPr="003871B3">
              <w:rPr>
                <w:rFonts w:cs="Arial"/>
                <w:szCs w:val="22"/>
              </w:rPr>
              <w:t>Operační systém musí mít možnost automatického zjišťování a stahování bezpečnostních záplat s upozorněním na tyto záplaty pro administrátora systému. Implementace záplat musí probíhat až po předchozím souhlasu administrátora.</w:t>
            </w:r>
          </w:p>
        </w:tc>
      </w:tr>
      <w:tr w:rsidR="00254CEF" w:rsidRPr="003871B3" w14:paraId="35DDFCA6" w14:textId="77777777" w:rsidTr="00B7266F">
        <w:tc>
          <w:tcPr>
            <w:tcW w:w="988" w:type="dxa"/>
          </w:tcPr>
          <w:p w14:paraId="1FC012BD" w14:textId="63B9D0CE" w:rsidR="00254CEF" w:rsidRPr="003871B3" w:rsidRDefault="00254CEF" w:rsidP="009539DD">
            <w:pPr>
              <w:pStyle w:val="GSOdstavec"/>
              <w:ind w:left="708" w:hanging="708"/>
            </w:pPr>
            <w:r w:rsidRPr="003871B3">
              <w:t>BEZ015</w:t>
            </w:r>
          </w:p>
        </w:tc>
        <w:tc>
          <w:tcPr>
            <w:tcW w:w="8079" w:type="dxa"/>
          </w:tcPr>
          <w:p w14:paraId="67F2C9E9" w14:textId="77777777" w:rsidR="00254CEF" w:rsidRPr="003871B3" w:rsidRDefault="00254CEF" w:rsidP="00B00E54">
            <w:pPr>
              <w:pStyle w:val="GSOdstavec"/>
              <w:rPr>
                <w:rFonts w:cs="Arial"/>
                <w:szCs w:val="22"/>
              </w:rPr>
            </w:pPr>
            <w:r w:rsidRPr="003871B3">
              <w:rPr>
                <w:rFonts w:cs="Arial"/>
                <w:szCs w:val="22"/>
              </w:rPr>
              <w:t>Databáze musí splňovat požadavky na ochranu dat a dostupnost, a to minimálně:</w:t>
            </w:r>
          </w:p>
          <w:p w14:paraId="6838D133"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xml:space="preserve"> - ochranu před neoprávněným přístupem,</w:t>
            </w:r>
          </w:p>
          <w:p w14:paraId="66BE7E65"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xml:space="preserve"> - možnost přidělení oprávnění na jednotlivé DB operace, k jednotlivým tabulkám a položkám (sloupce) tabulky,</w:t>
            </w:r>
          </w:p>
          <w:p w14:paraId="3503E5F9"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možnost vytvářet pohledy a přiřazovat oprávnění k nim,</w:t>
            </w:r>
          </w:p>
          <w:p w14:paraId="719A4FE7"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ochrana integrity dat,</w:t>
            </w:r>
          </w:p>
          <w:p w14:paraId="47F857F0"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auditování</w:t>
            </w:r>
          </w:p>
          <w:p w14:paraId="1D527851" w14:textId="7BA2388F" w:rsidR="00254CEF" w:rsidRPr="003871B3" w:rsidRDefault="00254CEF" w:rsidP="00650AD2">
            <w:pPr>
              <w:ind w:left="2"/>
              <w:rPr>
                <w:rFonts w:ascii="Arial" w:hAnsi="Arial" w:cs="Arial"/>
                <w:sz w:val="22"/>
                <w:szCs w:val="22"/>
              </w:rPr>
            </w:pPr>
            <w:r w:rsidRPr="003871B3">
              <w:rPr>
                <w:rFonts w:ascii="Arial" w:hAnsi="Arial" w:cs="Arial"/>
                <w:sz w:val="22"/>
                <w:szCs w:val="22"/>
              </w:rPr>
              <w:t>-</w:t>
            </w:r>
            <w:r w:rsidR="00B00E54">
              <w:rPr>
                <w:rFonts w:ascii="Arial" w:hAnsi="Arial" w:cs="Arial"/>
                <w:sz w:val="22"/>
                <w:szCs w:val="22"/>
              </w:rPr>
              <w:t xml:space="preserve"> </w:t>
            </w:r>
            <w:r w:rsidRPr="003871B3">
              <w:rPr>
                <w:rFonts w:ascii="Arial" w:hAnsi="Arial" w:cs="Arial"/>
                <w:sz w:val="22"/>
                <w:szCs w:val="22"/>
              </w:rPr>
              <w:t>logování DB operací s možností administrátorsky nastavit úroveň logování,</w:t>
            </w:r>
          </w:p>
          <w:p w14:paraId="7FDE8500"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šifrování tabulek, šifrování pouze vybraných položek,</w:t>
            </w:r>
          </w:p>
          <w:p w14:paraId="16A15F71"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zajistit vysokou dostupnost přidávání serverů a rozšiřování HW za běhu databáze,</w:t>
            </w:r>
          </w:p>
          <w:p w14:paraId="47D73111"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zajistit databázovým enginem virtualizaci databázových tabulek v rámci uzlů clusteru,</w:t>
            </w:r>
          </w:p>
          <w:p w14:paraId="258229CD" w14:textId="77777777" w:rsidR="00254CEF" w:rsidRPr="003871B3" w:rsidRDefault="00254CEF" w:rsidP="00650AD2">
            <w:pPr>
              <w:ind w:left="2"/>
              <w:rPr>
                <w:rFonts w:ascii="Arial" w:hAnsi="Arial" w:cs="Arial"/>
                <w:sz w:val="22"/>
                <w:szCs w:val="22"/>
              </w:rPr>
            </w:pPr>
            <w:r w:rsidRPr="003871B3">
              <w:rPr>
                <w:rFonts w:ascii="Arial" w:hAnsi="Arial" w:cs="Arial"/>
                <w:sz w:val="22"/>
                <w:szCs w:val="22"/>
              </w:rPr>
              <w:t>- umožnit v rámci administrace DB plnou správu virtualizovaných tabulek,</w:t>
            </w:r>
          </w:p>
          <w:p w14:paraId="0D8A6209" w14:textId="77777777" w:rsidR="00254CEF" w:rsidRPr="003871B3" w:rsidRDefault="00254CEF" w:rsidP="00650AD2">
            <w:pPr>
              <w:autoSpaceDE w:val="0"/>
              <w:autoSpaceDN w:val="0"/>
              <w:adjustRightInd w:val="0"/>
              <w:rPr>
                <w:rFonts w:ascii="Arial" w:eastAsia="AR PL SungtiL GB" w:hAnsi="Arial" w:cs="Arial"/>
                <w:color w:val="auto"/>
                <w:sz w:val="22"/>
                <w:szCs w:val="22"/>
              </w:rPr>
            </w:pPr>
            <w:r w:rsidRPr="003871B3">
              <w:rPr>
                <w:rFonts w:ascii="Arial" w:hAnsi="Arial" w:cs="Arial"/>
                <w:sz w:val="22"/>
                <w:szCs w:val="22"/>
              </w:rPr>
              <w:t>- umožnit údržbu (upgrade, patchovani) databáze samostatně na jednom serveru v clusteru a následně na druhém a dalším bez nutnosti odstávky DB služeb.</w:t>
            </w:r>
            <w:r w:rsidRPr="003871B3">
              <w:rPr>
                <w:rFonts w:ascii="Arial" w:eastAsia="AR PL SungtiL GB" w:hAnsi="Arial" w:cs="Arial"/>
                <w:color w:val="auto"/>
                <w:sz w:val="22"/>
                <w:szCs w:val="22"/>
              </w:rPr>
              <w:t xml:space="preserve"> </w:t>
            </w:r>
          </w:p>
          <w:p w14:paraId="269BAAAA" w14:textId="2BA00DA6" w:rsidR="00254CEF" w:rsidRPr="003871B3" w:rsidRDefault="00254CEF" w:rsidP="00B00E54">
            <w:pPr>
              <w:pStyle w:val="GSOdstavec"/>
              <w:rPr>
                <w:rFonts w:eastAsia="AR PL SungtiL GB" w:cs="Arial"/>
                <w:color w:val="auto"/>
                <w:szCs w:val="22"/>
              </w:rPr>
            </w:pPr>
            <w:r w:rsidRPr="003871B3">
              <w:rPr>
                <w:rFonts w:eastAsia="AR PL SungtiL GB" w:cs="Arial"/>
                <w:color w:val="auto"/>
                <w:szCs w:val="22"/>
              </w:rPr>
              <w:t xml:space="preserve">Databázový </w:t>
            </w:r>
            <w:r w:rsidRPr="00B00E54">
              <w:rPr>
                <w:rFonts w:cs="Arial"/>
                <w:szCs w:val="22"/>
              </w:rPr>
              <w:t>software</w:t>
            </w:r>
            <w:r w:rsidRPr="003871B3">
              <w:rPr>
                <w:rFonts w:eastAsia="AR PL SungtiL GB" w:cs="Arial"/>
                <w:color w:val="auto"/>
                <w:szCs w:val="22"/>
              </w:rPr>
              <w:t xml:space="preserve"> použitý pro provoz systému splňuje všechny uvedené požadavky na bezpečnost řešení, zajištění vysoké dostupnosti systému i zajištění vysoké úrovně zabezpečení dat.</w:t>
            </w:r>
          </w:p>
        </w:tc>
      </w:tr>
      <w:tr w:rsidR="00254CEF" w:rsidRPr="003871B3" w14:paraId="4946F6D3" w14:textId="77777777" w:rsidTr="00B7266F">
        <w:tc>
          <w:tcPr>
            <w:tcW w:w="988" w:type="dxa"/>
          </w:tcPr>
          <w:p w14:paraId="2D9ECC22" w14:textId="69355E41" w:rsidR="00254CEF" w:rsidRPr="003871B3" w:rsidRDefault="00254CEF" w:rsidP="009539DD">
            <w:pPr>
              <w:pStyle w:val="GSOdstavec"/>
              <w:ind w:left="708" w:hanging="708"/>
            </w:pPr>
            <w:r w:rsidRPr="003871B3">
              <w:t>BEZ020</w:t>
            </w:r>
          </w:p>
        </w:tc>
        <w:tc>
          <w:tcPr>
            <w:tcW w:w="8079" w:type="dxa"/>
          </w:tcPr>
          <w:p w14:paraId="400A0187" w14:textId="3123CB8A" w:rsidR="00254CEF" w:rsidRPr="003871B3" w:rsidRDefault="00254CEF" w:rsidP="00B00E54">
            <w:pPr>
              <w:pStyle w:val="GSOdstavec"/>
              <w:rPr>
                <w:rFonts w:cs="Arial"/>
                <w:szCs w:val="22"/>
              </w:rPr>
            </w:pPr>
            <w:r w:rsidRPr="003871B3">
              <w:rPr>
                <w:rFonts w:eastAsia="AR PL SungtiL GB" w:cs="Arial"/>
                <w:color w:val="auto"/>
                <w:szCs w:val="22"/>
              </w:rPr>
              <w:t xml:space="preserve">V případě nově dodávané aplikace (systému) v rámci projektu LIS dodavatel zajistí bezpečnost vývojového, integračního a testovacího prostředí a ochranu používaných testovacích dat (aplikování stejných technických a organizačních bezpečnostních </w:t>
            </w:r>
            <w:r w:rsidRPr="00B00E54">
              <w:rPr>
                <w:rFonts w:cs="Arial"/>
                <w:szCs w:val="22"/>
              </w:rPr>
              <w:t>opatření</w:t>
            </w:r>
            <w:r w:rsidRPr="003871B3">
              <w:rPr>
                <w:rFonts w:eastAsia="AR PL SungtiL GB" w:cs="Arial"/>
                <w:color w:val="auto"/>
                <w:szCs w:val="22"/>
              </w:rPr>
              <w:t xml:space="preserve"> jako v produkčním systému nebo jejich anonymizace). V případě použití před produkčních dat dodavatel zajistí jejich bezpečnost na stejné úrovni jako na datech produkčních</w:t>
            </w:r>
          </w:p>
        </w:tc>
      </w:tr>
      <w:tr w:rsidR="00254CEF" w:rsidRPr="003871B3" w14:paraId="6C2DED34" w14:textId="77777777" w:rsidTr="00B7266F">
        <w:tc>
          <w:tcPr>
            <w:tcW w:w="988" w:type="dxa"/>
          </w:tcPr>
          <w:p w14:paraId="4CE07A99" w14:textId="30BEB61E" w:rsidR="00254CEF" w:rsidRPr="003871B3" w:rsidRDefault="00254CEF" w:rsidP="009539DD">
            <w:pPr>
              <w:pStyle w:val="GSOdstavec"/>
              <w:ind w:left="708" w:hanging="708"/>
            </w:pPr>
            <w:r w:rsidRPr="003871B3">
              <w:t>BEZ021</w:t>
            </w:r>
          </w:p>
        </w:tc>
        <w:tc>
          <w:tcPr>
            <w:tcW w:w="8079" w:type="dxa"/>
          </w:tcPr>
          <w:p w14:paraId="5ACC1D2B" w14:textId="5D04902C" w:rsidR="00254CEF" w:rsidRPr="003871B3" w:rsidRDefault="00254CEF" w:rsidP="00B00E54">
            <w:pPr>
              <w:pStyle w:val="GSOdstavec"/>
              <w:rPr>
                <w:rFonts w:eastAsia="AR PL SungtiL GB" w:cs="Arial"/>
                <w:color w:val="auto"/>
                <w:szCs w:val="22"/>
              </w:rPr>
            </w:pPr>
            <w:r w:rsidRPr="003871B3">
              <w:rPr>
                <w:rFonts w:eastAsia="AR PL SungtiL GB" w:cs="Arial"/>
                <w:color w:val="auto"/>
                <w:szCs w:val="22"/>
              </w:rPr>
              <w:t>V případě nově dodávané aplikace (systému) v rámci projektu LIS dodavatel zajistí před nasazením do produkce otestování systému (aplikace) na známé zranitelnosti dle „best practice“ pro danou technologii. Dodavatel zajistí provedení bezpečnostního testování změn před jejich zavedením do provozu.</w:t>
            </w:r>
          </w:p>
        </w:tc>
      </w:tr>
      <w:tr w:rsidR="00254CEF" w:rsidRPr="003871B3" w14:paraId="72F5CDFD" w14:textId="77777777" w:rsidTr="00B7266F">
        <w:tc>
          <w:tcPr>
            <w:tcW w:w="988" w:type="dxa"/>
          </w:tcPr>
          <w:p w14:paraId="1CD96C68" w14:textId="19A35A8E" w:rsidR="00254CEF" w:rsidRPr="003871B3" w:rsidRDefault="00254CEF" w:rsidP="009539DD">
            <w:pPr>
              <w:pStyle w:val="GSOdstavec"/>
              <w:ind w:left="708" w:hanging="708"/>
            </w:pPr>
            <w:r w:rsidRPr="003871B3">
              <w:t>DOC005</w:t>
            </w:r>
          </w:p>
        </w:tc>
        <w:tc>
          <w:tcPr>
            <w:tcW w:w="8079" w:type="dxa"/>
          </w:tcPr>
          <w:p w14:paraId="5C20A493" w14:textId="770E1CCD" w:rsidR="00254CEF" w:rsidRPr="003871B3" w:rsidRDefault="00254CEF" w:rsidP="00650AD2">
            <w:pPr>
              <w:pStyle w:val="GSOdstavec"/>
              <w:rPr>
                <w:rFonts w:cs="Arial"/>
                <w:szCs w:val="22"/>
              </w:rPr>
            </w:pPr>
            <w:r w:rsidRPr="003871B3">
              <w:rPr>
                <w:rFonts w:cs="Arial"/>
                <w:szCs w:val="22"/>
              </w:rPr>
              <w:t>V souladu s modelovacím standardem MPSV jsou v rámci projektového EA repository definovány základní uživatelské role. Správa přístupů je v zodpovědnosti Administrátora EA na straně MPSV.</w:t>
            </w:r>
          </w:p>
        </w:tc>
      </w:tr>
      <w:tr w:rsidR="00254CEF" w:rsidRPr="003871B3" w14:paraId="1691E53A" w14:textId="77777777" w:rsidTr="00B7266F">
        <w:tc>
          <w:tcPr>
            <w:tcW w:w="988" w:type="dxa"/>
          </w:tcPr>
          <w:p w14:paraId="50A6D778" w14:textId="2EA90BD2" w:rsidR="00254CEF" w:rsidRPr="003871B3" w:rsidRDefault="00254CEF" w:rsidP="009539DD">
            <w:pPr>
              <w:pStyle w:val="GSOdstavec"/>
              <w:ind w:left="708" w:hanging="708"/>
            </w:pPr>
            <w:r w:rsidRPr="003871B3">
              <w:t>BEZ002</w:t>
            </w:r>
          </w:p>
        </w:tc>
        <w:tc>
          <w:tcPr>
            <w:tcW w:w="8079" w:type="dxa"/>
          </w:tcPr>
          <w:p w14:paraId="0F263746" w14:textId="149BB81E" w:rsidR="00254CEF" w:rsidRPr="003871B3" w:rsidRDefault="00254CEF" w:rsidP="00DF011A">
            <w:pPr>
              <w:pStyle w:val="GSOdstavec"/>
              <w:rPr>
                <w:rFonts w:cs="Arial"/>
                <w:szCs w:val="22"/>
              </w:rPr>
            </w:pPr>
            <w:r w:rsidRPr="003871B3">
              <w:rPr>
                <w:rFonts w:cs="Arial"/>
                <w:szCs w:val="22"/>
              </w:rPr>
              <w:t>Dodavatel zajistí přihlašování administrátorů, uživatelů k databázovém systémům pomocí MS AD, pokud to databázový systém umožňuje a je k dispozici odpovídající licenční pokrytí. Je možné uplatnit výjimku pro přihlašování technických uživatelů k databázím. Výjimky navrhne dodavatel včetně odůvodnění a nechá odsouhlasit MKB MPSV.</w:t>
            </w:r>
          </w:p>
          <w:p w14:paraId="48233739" w14:textId="77777777" w:rsidR="00254CEF" w:rsidRPr="003871B3" w:rsidRDefault="00254CEF" w:rsidP="00E737B5">
            <w:pPr>
              <w:pStyle w:val="GSOdstavec"/>
              <w:spacing w:before="160"/>
              <w:rPr>
                <w:rFonts w:cs="Arial"/>
                <w:szCs w:val="22"/>
              </w:rPr>
            </w:pPr>
            <w:r w:rsidRPr="003871B3">
              <w:rPr>
                <w:rFonts w:cs="Arial"/>
                <w:szCs w:val="22"/>
              </w:rPr>
              <w:t>V případě nově dodávané aplikace (systému) v rámci projektu dodavatel zajistí, aby systém umožňoval přihlášení uživatele jedním z následujících způsobů:</w:t>
            </w:r>
          </w:p>
          <w:p w14:paraId="0A0A4FCC" w14:textId="77777777" w:rsidR="00254CEF" w:rsidRPr="003871B3" w:rsidRDefault="00254CEF" w:rsidP="00213C03">
            <w:pPr>
              <w:pStyle w:val="GSOdstavec"/>
              <w:spacing w:before="0" w:after="0"/>
              <w:ind w:left="586" w:hanging="586"/>
              <w:rPr>
                <w:rFonts w:cs="Arial"/>
                <w:szCs w:val="22"/>
              </w:rPr>
            </w:pPr>
            <w:r w:rsidRPr="003871B3">
              <w:rPr>
                <w:rFonts w:cs="Arial"/>
                <w:szCs w:val="22"/>
              </w:rPr>
              <w:t>•</w:t>
            </w:r>
            <w:r w:rsidRPr="003871B3">
              <w:rPr>
                <w:rFonts w:cs="Arial"/>
                <w:szCs w:val="22"/>
              </w:rPr>
              <w:tab/>
              <w:t>SSO (integrace s desktop SSO prostřednictvím MS Windows AD - Kerberos),</w:t>
            </w:r>
          </w:p>
          <w:p w14:paraId="48A3F2BE" w14:textId="77777777" w:rsidR="00254CEF" w:rsidRPr="003871B3" w:rsidRDefault="00254CEF" w:rsidP="00213C03">
            <w:pPr>
              <w:pStyle w:val="GSOdstavec"/>
              <w:spacing w:before="0" w:after="0"/>
              <w:ind w:left="586" w:hanging="586"/>
              <w:rPr>
                <w:rFonts w:cs="Arial"/>
                <w:szCs w:val="22"/>
              </w:rPr>
            </w:pPr>
            <w:r w:rsidRPr="003871B3">
              <w:rPr>
                <w:rFonts w:cs="Arial"/>
                <w:szCs w:val="22"/>
              </w:rPr>
              <w:t>•</w:t>
            </w:r>
            <w:r w:rsidRPr="003871B3">
              <w:rPr>
                <w:rFonts w:cs="Arial"/>
                <w:szCs w:val="22"/>
              </w:rPr>
              <w:tab/>
              <w:t>jménem a heslem,</w:t>
            </w:r>
          </w:p>
          <w:p w14:paraId="54A42E40" w14:textId="77777777" w:rsidR="00254CEF" w:rsidRPr="003871B3" w:rsidRDefault="00254CEF" w:rsidP="00213C03">
            <w:pPr>
              <w:pStyle w:val="GSOdstavec"/>
              <w:spacing w:before="0" w:after="0"/>
              <w:ind w:left="586" w:hanging="586"/>
              <w:rPr>
                <w:rFonts w:cs="Arial"/>
                <w:szCs w:val="22"/>
              </w:rPr>
            </w:pPr>
            <w:r w:rsidRPr="003871B3">
              <w:rPr>
                <w:rFonts w:cs="Arial"/>
                <w:szCs w:val="22"/>
              </w:rPr>
              <w:t>•</w:t>
            </w:r>
            <w:r w:rsidRPr="003871B3">
              <w:rPr>
                <w:rFonts w:cs="Arial"/>
                <w:szCs w:val="22"/>
              </w:rPr>
              <w:tab/>
              <w:t>Certifikátem X. 509.</w:t>
            </w:r>
          </w:p>
          <w:p w14:paraId="00F1FB99" w14:textId="77777777" w:rsidR="00254CEF" w:rsidRPr="003871B3" w:rsidRDefault="00254CEF" w:rsidP="00E737B5">
            <w:pPr>
              <w:pStyle w:val="GSOdstavec"/>
              <w:spacing w:before="160"/>
              <w:rPr>
                <w:rFonts w:cs="Arial"/>
                <w:szCs w:val="22"/>
              </w:rPr>
            </w:pPr>
            <w:r w:rsidRPr="003871B3">
              <w:rPr>
                <w:rFonts w:cs="Arial"/>
                <w:szCs w:val="22"/>
              </w:rPr>
              <w:t>Výběr použité autentizační metody musí systém umožnit na základě změny konfigurace. V případě selhání autentizace prostřednictvím SSO (MS-AD účtu uživatele), systém musí uživateli umožnit alternativní přihlášení jménem a heslem anebo certifikátem. Při přihlašování pomocí klientského certifikátu systém volitelně umožní použití certifikátu uloženého na HDD nebo na čipové kartě. Autentizační údaje nesmí být přenášeny a ukládány v otevřené podobě. V případě autentizace na úrovni sytému musí systém zajistit ověření uživatelů v souladu s požadavky vyhlášky 82/2018 o kybernetické bezpečnosti uvedenými v §19(5) s tím, že kvalita hesel musí plnit všechny požadavky uvedené v tomto § vyhlášky.</w:t>
            </w:r>
          </w:p>
          <w:p w14:paraId="22CD8A76" w14:textId="77777777" w:rsidR="00254CEF" w:rsidRPr="003871B3" w:rsidRDefault="00254CEF" w:rsidP="00E737B5">
            <w:pPr>
              <w:pStyle w:val="GSOdstavec"/>
              <w:spacing w:before="160"/>
              <w:rPr>
                <w:rFonts w:cs="Arial"/>
                <w:szCs w:val="22"/>
              </w:rPr>
            </w:pPr>
            <w:r w:rsidRPr="003871B3">
              <w:rPr>
                <w:rFonts w:cs="Arial"/>
                <w:szCs w:val="22"/>
              </w:rPr>
              <w:t>Dodavatel zajistí přihlašování administrátorů, uživatelů k databázovém systémům pomocí MS AD.</w:t>
            </w:r>
          </w:p>
          <w:p w14:paraId="2BA5021E" w14:textId="70D9B03E" w:rsidR="00254CEF" w:rsidRPr="003871B3" w:rsidRDefault="00254CEF" w:rsidP="00E737B5">
            <w:pPr>
              <w:pStyle w:val="GSOdstavec"/>
              <w:spacing w:before="160"/>
              <w:rPr>
                <w:rFonts w:cs="Arial"/>
                <w:szCs w:val="22"/>
              </w:rPr>
            </w:pPr>
            <w:r w:rsidRPr="003871B3">
              <w:rPr>
                <w:rFonts w:cs="Arial"/>
                <w:szCs w:val="22"/>
              </w:rPr>
              <w:t>V případě nové dodávané aplikace (systému) dodavatel vyhodnotí možnosti dané technologie na splnění požadavku a v případě nesouladu s tímto požadavkem požádá o výjimku.</w:t>
            </w:r>
          </w:p>
        </w:tc>
      </w:tr>
    </w:tbl>
    <w:p w14:paraId="47854D82" w14:textId="6E1E4E73" w:rsidR="00646977" w:rsidRPr="003871B3" w:rsidRDefault="00646977" w:rsidP="00E02DF7">
      <w:pPr>
        <w:pStyle w:val="GSOdstavec"/>
      </w:pPr>
    </w:p>
    <w:p w14:paraId="5B984FE6" w14:textId="77777777" w:rsidR="00C05D3C" w:rsidRPr="003871B3" w:rsidRDefault="00C05D3C" w:rsidP="00C05D3C">
      <w:pPr>
        <w:pStyle w:val="GSNadpis1"/>
      </w:pPr>
      <w:bookmarkStart w:id="41" w:name="_Toc522884708"/>
      <w:r w:rsidRPr="003871B3">
        <w:t>Společné prvky plnění</w:t>
      </w:r>
      <w:bookmarkEnd w:id="41"/>
    </w:p>
    <w:p w14:paraId="50215B58" w14:textId="77409D09" w:rsidR="00C05D3C" w:rsidRPr="003871B3" w:rsidRDefault="000E22BE" w:rsidP="002F607E">
      <w:pPr>
        <w:pStyle w:val="GSOdstavec"/>
        <w:spacing w:before="60" w:after="120"/>
        <w:jc w:val="both"/>
        <w:rPr>
          <w:rFonts w:cs="Arial"/>
          <w:szCs w:val="22"/>
        </w:rPr>
      </w:pPr>
      <w:bookmarkStart w:id="42" w:name="_Toc462035543"/>
      <w:r w:rsidRPr="003871B3">
        <w:rPr>
          <w:rFonts w:cs="Arial"/>
          <w:szCs w:val="22"/>
        </w:rPr>
        <w:t>Viz Příloha č.1 k Obchodní Smlouvě č. 09/2017</w:t>
      </w:r>
      <w:r w:rsidR="00546D12" w:rsidRPr="003871B3">
        <w:rPr>
          <w:rFonts w:cs="Arial"/>
          <w:szCs w:val="22"/>
        </w:rPr>
        <w:t>.</w:t>
      </w:r>
    </w:p>
    <w:p w14:paraId="65AF7823" w14:textId="4A27CE04" w:rsidR="002B1B35" w:rsidRPr="003871B3" w:rsidRDefault="002B1B35" w:rsidP="00A01CCB">
      <w:pPr>
        <w:pStyle w:val="GSNadpis1"/>
      </w:pPr>
      <w:bookmarkStart w:id="43" w:name="_Toc522884709"/>
      <w:r w:rsidRPr="003871B3">
        <w:t>Součinnost Objednatele</w:t>
      </w:r>
      <w:bookmarkEnd w:id="43"/>
    </w:p>
    <w:p w14:paraId="3F74509D" w14:textId="681A4EDE" w:rsidR="002B1B35" w:rsidRPr="003871B3" w:rsidRDefault="002B1B35" w:rsidP="002B1B35">
      <w:pPr>
        <w:pStyle w:val="GSOdstavec"/>
        <w:spacing w:before="60" w:after="120"/>
        <w:jc w:val="both"/>
        <w:rPr>
          <w:rFonts w:cs="Arial"/>
          <w:szCs w:val="22"/>
        </w:rPr>
      </w:pPr>
      <w:r w:rsidRPr="003871B3">
        <w:rPr>
          <w:rFonts w:cs="Arial"/>
          <w:szCs w:val="22"/>
        </w:rPr>
        <w:t>Viz Příloha č.1 k Obchodní Smlouvě č. 09/2017</w:t>
      </w:r>
      <w:r w:rsidR="009E43D8" w:rsidRPr="003871B3">
        <w:rPr>
          <w:rFonts w:cs="Arial"/>
          <w:szCs w:val="22"/>
        </w:rPr>
        <w:t xml:space="preserve"> a doplnění z této Přílohy</w:t>
      </w:r>
      <w:r w:rsidR="004A4CC8">
        <w:rPr>
          <w:rFonts w:cs="Arial"/>
          <w:szCs w:val="22"/>
        </w:rPr>
        <w:t>:</w:t>
      </w:r>
    </w:p>
    <w:tbl>
      <w:tblPr>
        <w:tblStyle w:val="TableGrid"/>
        <w:tblW w:w="0" w:type="auto"/>
        <w:tblLook w:val="04A0" w:firstRow="1" w:lastRow="0" w:firstColumn="1" w:lastColumn="0" w:noHBand="0" w:noVBand="1"/>
      </w:tblPr>
      <w:tblGrid>
        <w:gridCol w:w="1305"/>
        <w:gridCol w:w="1133"/>
        <w:gridCol w:w="6622"/>
      </w:tblGrid>
      <w:tr w:rsidR="00CA69E3" w14:paraId="659BDC4B" w14:textId="77777777" w:rsidTr="00CA69E3">
        <w:tc>
          <w:tcPr>
            <w:tcW w:w="1271" w:type="dxa"/>
          </w:tcPr>
          <w:p w14:paraId="21D00299" w14:textId="2C89EFDC" w:rsidR="00CA69E3" w:rsidRDefault="004A4CC8" w:rsidP="002B1B35">
            <w:pPr>
              <w:pStyle w:val="GSOdstavec"/>
            </w:pPr>
            <w:r>
              <w:t>Požadavek</w:t>
            </w:r>
          </w:p>
        </w:tc>
        <w:tc>
          <w:tcPr>
            <w:tcW w:w="1134" w:type="dxa"/>
          </w:tcPr>
          <w:p w14:paraId="44006386" w14:textId="3C66AF26" w:rsidR="00CA69E3" w:rsidRDefault="004A4CC8" w:rsidP="002B1B35">
            <w:pPr>
              <w:pStyle w:val="GSOdstavec"/>
            </w:pPr>
            <w:r>
              <w:t>Kapitola</w:t>
            </w:r>
          </w:p>
        </w:tc>
        <w:tc>
          <w:tcPr>
            <w:tcW w:w="6655" w:type="dxa"/>
          </w:tcPr>
          <w:p w14:paraId="5DF6F181" w14:textId="5EBC2A48" w:rsidR="00CA69E3" w:rsidRDefault="004A4CC8" w:rsidP="002B1B35">
            <w:pPr>
              <w:pStyle w:val="GSOdstavec"/>
            </w:pPr>
            <w:r>
              <w:t>Text požadavku</w:t>
            </w:r>
          </w:p>
        </w:tc>
      </w:tr>
      <w:tr w:rsidR="00CA69E3" w14:paraId="30CBEE2A" w14:textId="77777777" w:rsidTr="00CA69E3">
        <w:tc>
          <w:tcPr>
            <w:tcW w:w="1271" w:type="dxa"/>
          </w:tcPr>
          <w:p w14:paraId="275F21CF" w14:textId="163BD12E" w:rsidR="00CA69E3" w:rsidRDefault="00CA69E3" w:rsidP="002B1B35">
            <w:pPr>
              <w:pStyle w:val="GSOdstavec"/>
            </w:pPr>
            <w:r>
              <w:t>BEZ001</w:t>
            </w:r>
          </w:p>
        </w:tc>
        <w:tc>
          <w:tcPr>
            <w:tcW w:w="1134" w:type="dxa"/>
          </w:tcPr>
          <w:p w14:paraId="07A0BFA5" w14:textId="7EA21C48" w:rsidR="00CA69E3" w:rsidRDefault="00CA69E3" w:rsidP="006E4B9C">
            <w:pPr>
              <w:pStyle w:val="GSOdstavec"/>
            </w:pPr>
            <w:r>
              <w:t>2.</w:t>
            </w:r>
            <w:r w:rsidR="006E4B9C">
              <w:t>1</w:t>
            </w:r>
            <w:r>
              <w:t>.1.2</w:t>
            </w:r>
          </w:p>
        </w:tc>
        <w:tc>
          <w:tcPr>
            <w:tcW w:w="6655" w:type="dxa"/>
          </w:tcPr>
          <w:p w14:paraId="3CE4CE52" w14:textId="54508306" w:rsidR="00CA69E3" w:rsidRDefault="00CA69E3" w:rsidP="002B1B35">
            <w:pPr>
              <w:pStyle w:val="GSOdstavec"/>
            </w:pPr>
            <w:r w:rsidRPr="00770125">
              <w:rPr>
                <w:szCs w:val="16"/>
              </w:rPr>
              <w:t xml:space="preserve">S ohledem na fakt, že předmětem poptávky není dodávka a konfigurace komunikačních sítí či jejich komponent a </w:t>
            </w:r>
            <w:r w:rsidR="00262235">
              <w:rPr>
                <w:szCs w:val="16"/>
              </w:rPr>
              <w:t>Objednatel</w:t>
            </w:r>
            <w:r w:rsidRPr="00770125">
              <w:rPr>
                <w:szCs w:val="16"/>
              </w:rPr>
              <w:t xml:space="preserve"> poskytne pro nasazení systému nezbytnou komunikační infrastrukturu</w:t>
            </w:r>
          </w:p>
        </w:tc>
      </w:tr>
      <w:tr w:rsidR="00CA69E3" w14:paraId="2ECA2AAF" w14:textId="77777777" w:rsidTr="00CA69E3">
        <w:tc>
          <w:tcPr>
            <w:tcW w:w="1271" w:type="dxa"/>
          </w:tcPr>
          <w:p w14:paraId="1A7C9AF3" w14:textId="08907E54" w:rsidR="00CA69E3" w:rsidRDefault="00CA69E3" w:rsidP="002B1B35">
            <w:pPr>
              <w:pStyle w:val="GSOdstavec"/>
            </w:pPr>
            <w:r>
              <w:t>TP010</w:t>
            </w:r>
          </w:p>
        </w:tc>
        <w:tc>
          <w:tcPr>
            <w:tcW w:w="1134" w:type="dxa"/>
          </w:tcPr>
          <w:p w14:paraId="39512003" w14:textId="7889F1CB" w:rsidR="00CA69E3" w:rsidRDefault="006E4B9C" w:rsidP="002B1B35">
            <w:pPr>
              <w:pStyle w:val="GSOdstavec"/>
            </w:pPr>
            <w:r>
              <w:t>2.1</w:t>
            </w:r>
            <w:r w:rsidR="00CA69E3">
              <w:t>.1.3</w:t>
            </w:r>
          </w:p>
        </w:tc>
        <w:tc>
          <w:tcPr>
            <w:tcW w:w="6655" w:type="dxa"/>
          </w:tcPr>
          <w:p w14:paraId="7845F4B8" w14:textId="359CF161" w:rsidR="00CA69E3" w:rsidRDefault="00CA69E3" w:rsidP="002B1B35">
            <w:pPr>
              <w:pStyle w:val="GSOdstavec"/>
            </w:pPr>
            <w:r w:rsidRPr="00254CEF">
              <w:rPr>
                <w:rFonts w:cs="Arial"/>
                <w:szCs w:val="22"/>
              </w:rPr>
              <w:t xml:space="preserve">Dodavatel poskytne součinnost pro integraci do společného monitorovacího, zálohovacího systému, kterou zajisti </w:t>
            </w:r>
            <w:r w:rsidR="00262235">
              <w:rPr>
                <w:rFonts w:cs="Arial"/>
                <w:szCs w:val="22"/>
              </w:rPr>
              <w:t>Objednatel</w:t>
            </w:r>
            <w:r w:rsidRPr="00254CEF">
              <w:rPr>
                <w:rFonts w:cs="Arial"/>
                <w:szCs w:val="22"/>
              </w:rPr>
              <w:t xml:space="preserve">. Systém bude napojen na časovou synchronizaci, podklady pro nastavení časové synchronizace poskytne </w:t>
            </w:r>
            <w:r w:rsidR="00262235">
              <w:rPr>
                <w:rFonts w:cs="Arial"/>
                <w:szCs w:val="22"/>
              </w:rPr>
              <w:t>Objednatel</w:t>
            </w:r>
            <w:r w:rsidRPr="00254CEF">
              <w:rPr>
                <w:rFonts w:cs="Arial"/>
                <w:szCs w:val="22"/>
              </w:rPr>
              <w:t>.</w:t>
            </w:r>
          </w:p>
        </w:tc>
      </w:tr>
      <w:tr w:rsidR="00CA69E3" w14:paraId="77FEE403" w14:textId="77777777" w:rsidTr="00CA69E3">
        <w:tc>
          <w:tcPr>
            <w:tcW w:w="1271" w:type="dxa"/>
          </w:tcPr>
          <w:p w14:paraId="1CD44E86" w14:textId="248EDDC0" w:rsidR="00CA69E3" w:rsidRDefault="00CA69E3" w:rsidP="002B1B35">
            <w:pPr>
              <w:pStyle w:val="GSOdstavec"/>
            </w:pPr>
            <w:r>
              <w:t>DOC010</w:t>
            </w:r>
          </w:p>
        </w:tc>
        <w:tc>
          <w:tcPr>
            <w:tcW w:w="1134" w:type="dxa"/>
          </w:tcPr>
          <w:p w14:paraId="17D52115" w14:textId="333D14D2" w:rsidR="00CA69E3" w:rsidRDefault="00CA69E3" w:rsidP="006E4B9C">
            <w:pPr>
              <w:pStyle w:val="GSOdstavec"/>
            </w:pPr>
            <w:r>
              <w:t>2.</w:t>
            </w:r>
            <w:r w:rsidR="006E4B9C">
              <w:t>1</w:t>
            </w:r>
            <w:r>
              <w:t>.1.5</w:t>
            </w:r>
          </w:p>
        </w:tc>
        <w:tc>
          <w:tcPr>
            <w:tcW w:w="6655" w:type="dxa"/>
          </w:tcPr>
          <w:p w14:paraId="6662D128" w14:textId="60E4E955" w:rsidR="00CA69E3" w:rsidRDefault="00262235" w:rsidP="002B1B35">
            <w:pPr>
              <w:pStyle w:val="GSOdstavec"/>
            </w:pPr>
            <w:r>
              <w:rPr>
                <w:rFonts w:cs="Arial"/>
                <w:szCs w:val="22"/>
              </w:rPr>
              <w:t>Objednatel</w:t>
            </w:r>
            <w:r w:rsidR="00CA69E3" w:rsidRPr="003871B3">
              <w:rPr>
                <w:rFonts w:cs="Arial"/>
                <w:szCs w:val="22"/>
              </w:rPr>
              <w:t xml:space="preserve"> jako součinnost poskytne konzultace v oblasti způsobu realizace jednotlivých modelů podle standardu MPSV.</w:t>
            </w:r>
          </w:p>
        </w:tc>
      </w:tr>
      <w:tr w:rsidR="00CA69E3" w14:paraId="615B2A37" w14:textId="77777777" w:rsidTr="00CA69E3">
        <w:tc>
          <w:tcPr>
            <w:tcW w:w="1271" w:type="dxa"/>
          </w:tcPr>
          <w:p w14:paraId="087E4A4B" w14:textId="77777777" w:rsidR="00CA69E3" w:rsidRDefault="00CA69E3" w:rsidP="002B1B35">
            <w:pPr>
              <w:pStyle w:val="GSOdstavec"/>
            </w:pPr>
          </w:p>
        </w:tc>
        <w:tc>
          <w:tcPr>
            <w:tcW w:w="1134" w:type="dxa"/>
          </w:tcPr>
          <w:p w14:paraId="6FF4D4D1" w14:textId="4A5B80D4" w:rsidR="00CA69E3" w:rsidRDefault="00A30E6C" w:rsidP="006E4B9C">
            <w:pPr>
              <w:pStyle w:val="GSOdstavec"/>
            </w:pPr>
            <w:r>
              <w:t>2.</w:t>
            </w:r>
            <w:r w:rsidR="006E4B9C">
              <w:t>1</w:t>
            </w:r>
            <w:r>
              <w:t>.3</w:t>
            </w:r>
          </w:p>
        </w:tc>
        <w:tc>
          <w:tcPr>
            <w:tcW w:w="6655" w:type="dxa"/>
          </w:tcPr>
          <w:p w14:paraId="1E955143" w14:textId="591C91EC" w:rsidR="00CA69E3" w:rsidRDefault="00A30E6C" w:rsidP="002B1B35">
            <w:pPr>
              <w:pStyle w:val="GSOdstavec"/>
            </w:pPr>
            <w:r w:rsidRPr="003871B3">
              <w:t>Vytvoření GAP analýzy vyžaduje intenzivní součinnost MPSV realizovanou Dodavatelem IS ZAM a to minimálně v rozsahu 2FTE po dobu této projektové aktivity. V rámci realizace se předpokládá organizace každodenních schůzek v rozsahu 4 hodin a následné zpracování nových požadavků a příprava na další schůzku.</w:t>
            </w:r>
          </w:p>
        </w:tc>
      </w:tr>
      <w:tr w:rsidR="00CA69E3" w14:paraId="6F95AAE0" w14:textId="77777777" w:rsidTr="00CA69E3">
        <w:tc>
          <w:tcPr>
            <w:tcW w:w="1271" w:type="dxa"/>
          </w:tcPr>
          <w:p w14:paraId="0BB4BDDC" w14:textId="77777777" w:rsidR="00CA69E3" w:rsidRDefault="004A4CC8" w:rsidP="002B1B35">
            <w:pPr>
              <w:pStyle w:val="GSOdstavec"/>
            </w:pPr>
            <w:r>
              <w:t>ZAM009</w:t>
            </w:r>
          </w:p>
          <w:p w14:paraId="016F66A3" w14:textId="6F6E8963" w:rsidR="004A4CC8" w:rsidRDefault="004A4CC8" w:rsidP="002B1B35">
            <w:pPr>
              <w:pStyle w:val="GSOdstavec"/>
            </w:pPr>
            <w:r>
              <w:t>TP016</w:t>
            </w:r>
          </w:p>
        </w:tc>
        <w:tc>
          <w:tcPr>
            <w:tcW w:w="1134" w:type="dxa"/>
          </w:tcPr>
          <w:p w14:paraId="29C128D9" w14:textId="08797162" w:rsidR="00CA69E3" w:rsidRDefault="00A30E6C" w:rsidP="006E4B9C">
            <w:pPr>
              <w:pStyle w:val="GSOdstavec"/>
            </w:pPr>
            <w:r>
              <w:t>2.</w:t>
            </w:r>
            <w:r w:rsidR="006E4B9C">
              <w:t>1</w:t>
            </w:r>
            <w:r>
              <w:t>.4</w:t>
            </w:r>
          </w:p>
        </w:tc>
        <w:tc>
          <w:tcPr>
            <w:tcW w:w="6655" w:type="dxa"/>
          </w:tcPr>
          <w:p w14:paraId="7248D80F" w14:textId="153622C7" w:rsidR="00CA69E3" w:rsidRDefault="00A30E6C" w:rsidP="002B1B35">
            <w:pPr>
              <w:pStyle w:val="GSOdstavec"/>
            </w:pPr>
            <w:r w:rsidRPr="003871B3">
              <w:t xml:space="preserve">Pro definici podmínek rozdělení dat bude vyžadována součinnost Objednatele v oblasti právního posouzení dané problematiky a sjednocení s platnou legislativou a odborných útvarů pro naplnění potřeb Objednatele. </w:t>
            </w:r>
          </w:p>
        </w:tc>
      </w:tr>
      <w:tr w:rsidR="00CA69E3" w14:paraId="2FECE0D2" w14:textId="77777777" w:rsidTr="00CA69E3">
        <w:tc>
          <w:tcPr>
            <w:tcW w:w="1271" w:type="dxa"/>
          </w:tcPr>
          <w:p w14:paraId="0013F2ED" w14:textId="77777777" w:rsidR="00CA69E3" w:rsidRDefault="004A4CC8" w:rsidP="002B1B35">
            <w:pPr>
              <w:pStyle w:val="GSOdstavec"/>
            </w:pPr>
            <w:r>
              <w:t>DOC010</w:t>
            </w:r>
          </w:p>
          <w:p w14:paraId="2549A70C" w14:textId="77777777" w:rsidR="004A4CC8" w:rsidRDefault="004A4CC8" w:rsidP="002B1B35">
            <w:pPr>
              <w:pStyle w:val="GSOdstavec"/>
            </w:pPr>
            <w:r>
              <w:t>DO019</w:t>
            </w:r>
          </w:p>
          <w:p w14:paraId="5BC93980" w14:textId="4253185D" w:rsidR="004A4CC8" w:rsidRDefault="004A4CC8" w:rsidP="002B1B35">
            <w:pPr>
              <w:pStyle w:val="GSOdstavec"/>
            </w:pPr>
            <w:r>
              <w:t>DOC021</w:t>
            </w:r>
          </w:p>
        </w:tc>
        <w:tc>
          <w:tcPr>
            <w:tcW w:w="1134" w:type="dxa"/>
          </w:tcPr>
          <w:p w14:paraId="51AFD384" w14:textId="2214311B" w:rsidR="00CA69E3" w:rsidRDefault="00A30E6C" w:rsidP="006E4B9C">
            <w:pPr>
              <w:pStyle w:val="GSOdstavec"/>
            </w:pPr>
            <w:r>
              <w:t>2.</w:t>
            </w:r>
            <w:r w:rsidR="006E4B9C">
              <w:t>1</w:t>
            </w:r>
            <w:r>
              <w:t>.5</w:t>
            </w:r>
          </w:p>
        </w:tc>
        <w:tc>
          <w:tcPr>
            <w:tcW w:w="6655" w:type="dxa"/>
          </w:tcPr>
          <w:p w14:paraId="741B6398" w14:textId="77777777" w:rsidR="00A30E6C" w:rsidRPr="003871B3" w:rsidRDefault="00A30E6C" w:rsidP="00A30E6C">
            <w:pPr>
              <w:pStyle w:val="GSOdstavec"/>
            </w:pPr>
            <w:r w:rsidRPr="003871B3">
              <w:t>Pro návrh řešení vedení dokumentace dle nové metodiky MPSV bude nutné poskytnout ze strany MPSV konzultace k požadovanému způsobu modelování, a to alespoň v těchto oblastech:</w:t>
            </w:r>
          </w:p>
          <w:p w14:paraId="59C8A133" w14:textId="77777777" w:rsidR="00A30E6C" w:rsidRPr="00C22A86" w:rsidRDefault="00A30E6C" w:rsidP="00A30E6C">
            <w:pPr>
              <w:pStyle w:val="ListParagraph"/>
              <w:numPr>
                <w:ilvl w:val="0"/>
                <w:numId w:val="25"/>
              </w:numPr>
              <w:rPr>
                <w:rFonts w:ascii="Arial" w:hAnsi="Arial" w:cs="Arial"/>
                <w:b w:val="0"/>
                <w:sz w:val="22"/>
                <w:szCs w:val="22"/>
              </w:rPr>
            </w:pPr>
            <w:r w:rsidRPr="00C22A86">
              <w:rPr>
                <w:rFonts w:ascii="Arial" w:hAnsi="Arial" w:cs="Arial"/>
                <w:b w:val="0"/>
                <w:sz w:val="22"/>
                <w:szCs w:val="22"/>
              </w:rPr>
              <w:t>Datová analýza (E2E analýza s popisem vazeb od UI po pole v DB) (DOC010)</w:t>
            </w:r>
          </w:p>
          <w:p w14:paraId="00DCF96C" w14:textId="77777777" w:rsidR="00A30E6C" w:rsidRPr="00C22A86" w:rsidRDefault="00A30E6C" w:rsidP="00A30E6C">
            <w:pPr>
              <w:pStyle w:val="ListParagraph"/>
              <w:numPr>
                <w:ilvl w:val="0"/>
                <w:numId w:val="25"/>
              </w:numPr>
              <w:rPr>
                <w:rFonts w:ascii="Arial" w:hAnsi="Arial" w:cs="Arial"/>
                <w:b w:val="0"/>
                <w:sz w:val="22"/>
                <w:szCs w:val="22"/>
              </w:rPr>
            </w:pPr>
            <w:r w:rsidRPr="00C22A86">
              <w:rPr>
                <w:rFonts w:ascii="Arial" w:hAnsi="Arial" w:cs="Arial"/>
                <w:b w:val="0"/>
                <w:sz w:val="22"/>
                <w:szCs w:val="22"/>
              </w:rPr>
              <w:t>Datové toky a vazby jednotlivých entit mezi vrstvami a systémy (DOC019)</w:t>
            </w:r>
          </w:p>
          <w:p w14:paraId="38595A2F" w14:textId="77777777" w:rsidR="00A30E6C" w:rsidRPr="00C22A86" w:rsidRDefault="00A30E6C" w:rsidP="00A30E6C">
            <w:pPr>
              <w:pStyle w:val="ListParagraph"/>
              <w:numPr>
                <w:ilvl w:val="0"/>
                <w:numId w:val="25"/>
              </w:numPr>
              <w:rPr>
                <w:rFonts w:ascii="Arial" w:hAnsi="Arial" w:cs="Arial"/>
                <w:b w:val="0"/>
                <w:sz w:val="22"/>
                <w:szCs w:val="22"/>
              </w:rPr>
            </w:pPr>
            <w:r w:rsidRPr="00C22A86">
              <w:rPr>
                <w:rFonts w:ascii="Arial" w:hAnsi="Arial" w:cs="Arial"/>
                <w:b w:val="0"/>
                <w:sz w:val="22"/>
                <w:szCs w:val="22"/>
              </w:rPr>
              <w:t>Způsob kontroly správnosti dat načítaných do definované entity (DOC021)</w:t>
            </w:r>
          </w:p>
          <w:p w14:paraId="56E58E85" w14:textId="77777777" w:rsidR="00A30E6C" w:rsidRPr="00C22A86" w:rsidRDefault="00A30E6C" w:rsidP="00A30E6C">
            <w:pPr>
              <w:pStyle w:val="ListParagraph"/>
              <w:numPr>
                <w:ilvl w:val="0"/>
                <w:numId w:val="25"/>
              </w:numPr>
              <w:rPr>
                <w:rFonts w:ascii="Arial" w:hAnsi="Arial" w:cs="Arial"/>
                <w:b w:val="0"/>
                <w:sz w:val="22"/>
                <w:szCs w:val="22"/>
              </w:rPr>
            </w:pPr>
            <w:r w:rsidRPr="00C22A86">
              <w:rPr>
                <w:rFonts w:ascii="Arial" w:hAnsi="Arial" w:cs="Arial"/>
                <w:b w:val="0"/>
                <w:sz w:val="22"/>
                <w:szCs w:val="22"/>
              </w:rPr>
              <w:t>Popis ETL transformací a jejich vazeb (DOC010)</w:t>
            </w:r>
          </w:p>
          <w:p w14:paraId="61525DFF" w14:textId="040D6A08" w:rsidR="00CA69E3" w:rsidRDefault="00A30E6C" w:rsidP="002B1B35">
            <w:pPr>
              <w:pStyle w:val="GSOdstavec"/>
            </w:pPr>
            <w:r w:rsidRPr="00C22A86">
              <w:t>Předpokládaný rozsah nutné součinnosti je cca 5MD.</w:t>
            </w:r>
          </w:p>
        </w:tc>
      </w:tr>
      <w:tr w:rsidR="00A30E6C" w14:paraId="4D424E34" w14:textId="77777777" w:rsidTr="00CA69E3">
        <w:tc>
          <w:tcPr>
            <w:tcW w:w="1271" w:type="dxa"/>
          </w:tcPr>
          <w:p w14:paraId="59672450" w14:textId="02B98C26" w:rsidR="00A30E6C" w:rsidRDefault="00A30E6C" w:rsidP="002B1B35">
            <w:pPr>
              <w:pStyle w:val="GSOdstavec"/>
            </w:pPr>
            <w:r>
              <w:t>ZAM008</w:t>
            </w:r>
          </w:p>
        </w:tc>
        <w:tc>
          <w:tcPr>
            <w:tcW w:w="1134" w:type="dxa"/>
          </w:tcPr>
          <w:p w14:paraId="64E8F278" w14:textId="27F2E2A6" w:rsidR="00A30E6C" w:rsidRDefault="00A30E6C" w:rsidP="006E4B9C">
            <w:pPr>
              <w:pStyle w:val="GSOdstavec"/>
            </w:pPr>
            <w:r>
              <w:t>2.</w:t>
            </w:r>
            <w:r w:rsidR="006E4B9C">
              <w:t>1</w:t>
            </w:r>
            <w:r>
              <w:t>.6</w:t>
            </w:r>
          </w:p>
        </w:tc>
        <w:tc>
          <w:tcPr>
            <w:tcW w:w="6655" w:type="dxa"/>
          </w:tcPr>
          <w:p w14:paraId="57AAC487" w14:textId="6874ACD5" w:rsidR="00A30E6C" w:rsidRPr="003871B3" w:rsidRDefault="00A30E6C" w:rsidP="00A30E6C">
            <w:pPr>
              <w:pStyle w:val="GSOdstavec"/>
            </w:pPr>
            <w:r w:rsidRPr="003871B3">
              <w:t>V případě, že bude docházet ke změnám v obrazovkách původním dodavatelem je nutnou součinností Objednatele informovat o této změně projekt LIS, aby i tato změna byla promítnuta do udržované dokumentace, a to včetně změny vazby obrazovek na podkladové databáze.</w:t>
            </w:r>
          </w:p>
        </w:tc>
      </w:tr>
      <w:tr w:rsidR="00A30E6C" w14:paraId="5A51E302" w14:textId="77777777" w:rsidTr="00CA69E3">
        <w:tc>
          <w:tcPr>
            <w:tcW w:w="1271" w:type="dxa"/>
          </w:tcPr>
          <w:p w14:paraId="28BD06E8" w14:textId="77777777" w:rsidR="00A30E6C" w:rsidRDefault="00A30E6C" w:rsidP="002B1B35">
            <w:pPr>
              <w:pStyle w:val="GSOdstavec"/>
            </w:pPr>
            <w:r>
              <w:t>TP073</w:t>
            </w:r>
          </w:p>
          <w:p w14:paraId="12E84DCD" w14:textId="51A15486" w:rsidR="00A30E6C" w:rsidRDefault="00A30E6C" w:rsidP="002B1B35">
            <w:pPr>
              <w:pStyle w:val="GSOdstavec"/>
            </w:pPr>
            <w:r>
              <w:t>TP082</w:t>
            </w:r>
          </w:p>
        </w:tc>
        <w:tc>
          <w:tcPr>
            <w:tcW w:w="1134" w:type="dxa"/>
          </w:tcPr>
          <w:p w14:paraId="74FD6D0A" w14:textId="58D19C16" w:rsidR="00A30E6C" w:rsidRDefault="00A30E6C" w:rsidP="006E4B9C">
            <w:pPr>
              <w:pStyle w:val="GSOdstavec"/>
            </w:pPr>
            <w:r>
              <w:t>2.</w:t>
            </w:r>
            <w:r w:rsidR="006E4B9C">
              <w:t>1</w:t>
            </w:r>
            <w:r>
              <w:t>.9</w:t>
            </w:r>
          </w:p>
        </w:tc>
        <w:tc>
          <w:tcPr>
            <w:tcW w:w="6655" w:type="dxa"/>
          </w:tcPr>
          <w:p w14:paraId="394D01FC" w14:textId="658074C4" w:rsidR="00A30E6C" w:rsidRPr="003871B3" w:rsidRDefault="00A30E6C" w:rsidP="00A30E6C">
            <w:pPr>
              <w:pStyle w:val="GSOdstavec"/>
            </w:pPr>
            <w:r w:rsidRPr="003871B3">
              <w:t>Za účelem úspory času se předpokládá součinnost Objednatele v definici podoby a rozsahu testovacích scénářů, tak aby byla maximalizována šance rychlého a úspěšného jednokolového oponentního řízení.</w:t>
            </w:r>
          </w:p>
        </w:tc>
      </w:tr>
      <w:tr w:rsidR="00A30E6C" w14:paraId="008171A7" w14:textId="77777777" w:rsidTr="00CA69E3">
        <w:tc>
          <w:tcPr>
            <w:tcW w:w="1271" w:type="dxa"/>
          </w:tcPr>
          <w:p w14:paraId="24DA285E" w14:textId="77777777" w:rsidR="00A30E6C" w:rsidRDefault="00A30E6C" w:rsidP="00A30E6C">
            <w:pPr>
              <w:pStyle w:val="GSOdstavec"/>
            </w:pPr>
            <w:r>
              <w:t>TP073</w:t>
            </w:r>
          </w:p>
          <w:p w14:paraId="0B0C4894" w14:textId="604B5F56" w:rsidR="00A30E6C" w:rsidRDefault="00A30E6C" w:rsidP="00A30E6C">
            <w:pPr>
              <w:pStyle w:val="GSOdstavec"/>
            </w:pPr>
            <w:r>
              <w:t>TP082</w:t>
            </w:r>
          </w:p>
        </w:tc>
        <w:tc>
          <w:tcPr>
            <w:tcW w:w="1134" w:type="dxa"/>
          </w:tcPr>
          <w:p w14:paraId="7149087D" w14:textId="361F6BDD" w:rsidR="00A30E6C" w:rsidRDefault="00A30E6C" w:rsidP="006E4B9C">
            <w:pPr>
              <w:pStyle w:val="GSOdstavec"/>
            </w:pPr>
            <w:r>
              <w:t>2.</w:t>
            </w:r>
            <w:r w:rsidR="006E4B9C">
              <w:t>1</w:t>
            </w:r>
            <w:r>
              <w:t>.9</w:t>
            </w:r>
          </w:p>
        </w:tc>
        <w:tc>
          <w:tcPr>
            <w:tcW w:w="6655" w:type="dxa"/>
          </w:tcPr>
          <w:p w14:paraId="19D7A27E" w14:textId="3C3C1C02" w:rsidR="00A30E6C" w:rsidRPr="003871B3" w:rsidRDefault="00A30E6C" w:rsidP="00A30E6C">
            <w:pPr>
              <w:pStyle w:val="GSOdstavec"/>
            </w:pPr>
            <w:r w:rsidRPr="003871B3">
              <w:t>Pro testovací scénáře budou vybrány reprezentativní datové vzorky, a to buď týmem LIS nebo v součinnosti s garanty migrace ze strany Objednatele. V obou případech se nepředpokládá vytvoření umělých testovacích dat, ale použití potenciálu stávajících migračních dat.</w:t>
            </w:r>
          </w:p>
        </w:tc>
      </w:tr>
      <w:tr w:rsidR="00A30E6C" w14:paraId="3409C50F" w14:textId="77777777" w:rsidTr="00CA69E3">
        <w:tc>
          <w:tcPr>
            <w:tcW w:w="1271" w:type="dxa"/>
          </w:tcPr>
          <w:p w14:paraId="0EDEB433" w14:textId="77777777" w:rsidR="00A30E6C" w:rsidRDefault="00A30E6C" w:rsidP="00A30E6C">
            <w:pPr>
              <w:pStyle w:val="GSOdstavec"/>
            </w:pPr>
            <w:r>
              <w:t>TP073</w:t>
            </w:r>
          </w:p>
          <w:p w14:paraId="5BDE2B35" w14:textId="10B3D123" w:rsidR="00A30E6C" w:rsidRDefault="00A30E6C" w:rsidP="00A30E6C">
            <w:pPr>
              <w:pStyle w:val="GSOdstavec"/>
            </w:pPr>
            <w:r>
              <w:t>TP082</w:t>
            </w:r>
          </w:p>
        </w:tc>
        <w:tc>
          <w:tcPr>
            <w:tcW w:w="1134" w:type="dxa"/>
          </w:tcPr>
          <w:p w14:paraId="752C6D63" w14:textId="505359EC" w:rsidR="00A30E6C" w:rsidRDefault="006E4B9C" w:rsidP="002B1B35">
            <w:pPr>
              <w:pStyle w:val="GSOdstavec"/>
            </w:pPr>
            <w:r>
              <w:t>2.1</w:t>
            </w:r>
            <w:r w:rsidR="00A30E6C">
              <w:t>.9</w:t>
            </w:r>
          </w:p>
        </w:tc>
        <w:tc>
          <w:tcPr>
            <w:tcW w:w="6655" w:type="dxa"/>
          </w:tcPr>
          <w:p w14:paraId="446D66B3" w14:textId="2D5C6BFB" w:rsidR="00A30E6C" w:rsidRPr="003871B3" w:rsidRDefault="00A30E6C" w:rsidP="00A30E6C">
            <w:pPr>
              <w:pStyle w:val="GSOdstavec"/>
            </w:pPr>
            <w:r w:rsidRPr="003871B3">
              <w:t>V případě, že bude pro provedení testů potřeba v navázaných systémech připravit data jiným způsobem než načtením připravených migračních dat, bude toto řešeno jako součinnost daného systému pro provedení testu.</w:t>
            </w:r>
          </w:p>
        </w:tc>
      </w:tr>
      <w:tr w:rsidR="00A30E6C" w14:paraId="22C19CD8" w14:textId="77777777" w:rsidTr="00CA69E3">
        <w:tc>
          <w:tcPr>
            <w:tcW w:w="1271" w:type="dxa"/>
          </w:tcPr>
          <w:p w14:paraId="4C54DB2A" w14:textId="649CD63A" w:rsidR="00A30E6C" w:rsidRDefault="00A30E6C" w:rsidP="002B1B35">
            <w:pPr>
              <w:pStyle w:val="GSOdstavec"/>
            </w:pPr>
            <w:r>
              <w:t>BEZ003</w:t>
            </w:r>
          </w:p>
        </w:tc>
        <w:tc>
          <w:tcPr>
            <w:tcW w:w="1134" w:type="dxa"/>
          </w:tcPr>
          <w:p w14:paraId="6E68B764" w14:textId="2483BA40" w:rsidR="00A30E6C" w:rsidRDefault="006E4B9C" w:rsidP="002B1B35">
            <w:pPr>
              <w:pStyle w:val="GSOdstavec"/>
            </w:pPr>
            <w:r>
              <w:t>2.1</w:t>
            </w:r>
            <w:r w:rsidR="00A30E6C">
              <w:t>.10</w:t>
            </w:r>
          </w:p>
        </w:tc>
        <w:tc>
          <w:tcPr>
            <w:tcW w:w="6655" w:type="dxa"/>
          </w:tcPr>
          <w:p w14:paraId="42506F10" w14:textId="1344A685" w:rsidR="00A30E6C" w:rsidRPr="00A30E6C" w:rsidRDefault="00A30E6C" w:rsidP="00A30E6C">
            <w:pPr>
              <w:pStyle w:val="GSOdstavec"/>
              <w:rPr>
                <w:rFonts w:eastAsia="Times New Roman" w:cs="Arial"/>
                <w:color w:val="000000"/>
                <w:szCs w:val="22"/>
                <w:lang w:eastAsia="cs-CZ"/>
              </w:rPr>
            </w:pPr>
            <w:r w:rsidRPr="003871B3">
              <w:rPr>
                <w:rFonts w:eastAsia="Times New Roman" w:cs="Arial"/>
                <w:color w:val="000000"/>
                <w:szCs w:val="22"/>
                <w:lang w:eastAsia="cs-CZ"/>
              </w:rPr>
              <w:t>Platforma LIS umožňuje autentizaci buď jménem a heslem uloženým přímo v SQL Serveru (tzv. SQL Autentizace) nebo doménovým (AD) účtem. Pro vyhovění tomuto požadavku bude nutné převést veškeré uživatelské účty využívající SQL autentizaci na AD účty. V součinnosti s Objednatelem bude vytvořeno mapování těchto účtu na AD účty a postupně budou převedeny.</w:t>
            </w:r>
          </w:p>
        </w:tc>
      </w:tr>
      <w:tr w:rsidR="00A30E6C" w14:paraId="43E58597" w14:textId="77777777" w:rsidTr="00CA69E3">
        <w:tc>
          <w:tcPr>
            <w:tcW w:w="1271" w:type="dxa"/>
          </w:tcPr>
          <w:p w14:paraId="502554F3" w14:textId="5AB425C8" w:rsidR="00A30E6C" w:rsidRDefault="00A30E6C" w:rsidP="002B1B35">
            <w:pPr>
              <w:pStyle w:val="GSOdstavec"/>
            </w:pPr>
            <w:r>
              <w:t>BEZ005</w:t>
            </w:r>
          </w:p>
        </w:tc>
        <w:tc>
          <w:tcPr>
            <w:tcW w:w="1134" w:type="dxa"/>
          </w:tcPr>
          <w:p w14:paraId="4338D3A8" w14:textId="74A04A5C" w:rsidR="00A30E6C" w:rsidRDefault="00A30E6C" w:rsidP="006E4B9C">
            <w:pPr>
              <w:pStyle w:val="GSOdstavec"/>
            </w:pPr>
            <w:r>
              <w:t>2.</w:t>
            </w:r>
            <w:r w:rsidR="006E4B9C">
              <w:t>1</w:t>
            </w:r>
            <w:r>
              <w:t>.10</w:t>
            </w:r>
          </w:p>
        </w:tc>
        <w:tc>
          <w:tcPr>
            <w:tcW w:w="6655" w:type="dxa"/>
          </w:tcPr>
          <w:p w14:paraId="761CA4A7" w14:textId="3E499C57" w:rsidR="00A30E6C" w:rsidRPr="00A30E6C" w:rsidRDefault="00A30E6C" w:rsidP="00A30E6C">
            <w:pPr>
              <w:pStyle w:val="GSOdstavec"/>
              <w:rPr>
                <w:rFonts w:eastAsia="Times New Roman" w:cs="Arial"/>
                <w:color w:val="000000"/>
                <w:szCs w:val="22"/>
                <w:lang w:eastAsia="cs-CZ"/>
              </w:rPr>
            </w:pPr>
            <w:r w:rsidRPr="003871B3">
              <w:rPr>
                <w:rFonts w:eastAsia="Times New Roman" w:cs="Arial"/>
                <w:color w:val="000000"/>
                <w:szCs w:val="22"/>
                <w:lang w:eastAsia="cs-CZ"/>
              </w:rPr>
              <w:t>Objednatel poskytne součinnost při analýze způsobu aplikace tohoto požadavku na technologii MS SQL Server.</w:t>
            </w:r>
          </w:p>
        </w:tc>
      </w:tr>
      <w:tr w:rsidR="00A30E6C" w14:paraId="193F1083" w14:textId="77777777" w:rsidTr="00CA69E3">
        <w:tc>
          <w:tcPr>
            <w:tcW w:w="1271" w:type="dxa"/>
          </w:tcPr>
          <w:p w14:paraId="21914E68" w14:textId="2142C4B7" w:rsidR="00A30E6C" w:rsidRDefault="00A30E6C" w:rsidP="002B1B35">
            <w:pPr>
              <w:pStyle w:val="GSOdstavec"/>
            </w:pPr>
            <w:r>
              <w:t>EX001</w:t>
            </w:r>
          </w:p>
        </w:tc>
        <w:tc>
          <w:tcPr>
            <w:tcW w:w="1134" w:type="dxa"/>
          </w:tcPr>
          <w:p w14:paraId="5E79A58D" w14:textId="083298EA" w:rsidR="00A30E6C" w:rsidRDefault="00A30E6C" w:rsidP="006E4B9C">
            <w:pPr>
              <w:pStyle w:val="GSOdstavec"/>
            </w:pPr>
            <w:r>
              <w:t>2.</w:t>
            </w:r>
            <w:r w:rsidR="006E4B9C">
              <w:t>1</w:t>
            </w:r>
            <w:r>
              <w:t>.14</w:t>
            </w:r>
          </w:p>
        </w:tc>
        <w:tc>
          <w:tcPr>
            <w:tcW w:w="6655" w:type="dxa"/>
          </w:tcPr>
          <w:p w14:paraId="7BD0EDC8" w14:textId="40D083B0" w:rsidR="00A30E6C" w:rsidRPr="003871B3" w:rsidRDefault="00A30E6C" w:rsidP="00A30E6C">
            <w:pPr>
              <w:pStyle w:val="GSOdstavec"/>
            </w:pPr>
            <w:r w:rsidRPr="00A30E6C">
              <w:rPr>
                <w:rFonts w:cs="Arial"/>
                <w:szCs w:val="22"/>
              </w:rPr>
              <w:t>Součinnost MPSV: Zajištění pracovníka pro konzultace související s ukončením provozu nebo přechodem.</w:t>
            </w:r>
          </w:p>
        </w:tc>
      </w:tr>
      <w:tr w:rsidR="00A30E6C" w14:paraId="3FB9239C" w14:textId="77777777" w:rsidTr="00CA69E3">
        <w:tc>
          <w:tcPr>
            <w:tcW w:w="1271" w:type="dxa"/>
          </w:tcPr>
          <w:p w14:paraId="7DE8534F" w14:textId="6D67BABB" w:rsidR="00A30E6C" w:rsidRDefault="00A30E6C" w:rsidP="00A30E6C">
            <w:pPr>
              <w:pStyle w:val="GSOdstavec"/>
            </w:pPr>
            <w:r>
              <w:t>EX002</w:t>
            </w:r>
          </w:p>
        </w:tc>
        <w:tc>
          <w:tcPr>
            <w:tcW w:w="1134" w:type="dxa"/>
          </w:tcPr>
          <w:p w14:paraId="54D0F1E9" w14:textId="46E1776E" w:rsidR="00A30E6C" w:rsidRDefault="00A30E6C" w:rsidP="006E4B9C">
            <w:pPr>
              <w:pStyle w:val="GSOdstavec"/>
            </w:pPr>
            <w:r>
              <w:t>2.</w:t>
            </w:r>
            <w:r w:rsidR="006E4B9C">
              <w:t>1</w:t>
            </w:r>
            <w:r>
              <w:t>.14</w:t>
            </w:r>
          </w:p>
        </w:tc>
        <w:tc>
          <w:tcPr>
            <w:tcW w:w="6655" w:type="dxa"/>
          </w:tcPr>
          <w:p w14:paraId="6EDD6D5B" w14:textId="037FDCF5" w:rsidR="00A30E6C" w:rsidRPr="00A30E6C" w:rsidRDefault="00A30E6C" w:rsidP="00A30E6C">
            <w:pPr>
              <w:pStyle w:val="GSOdstavec"/>
              <w:rPr>
                <w:rFonts w:cs="Arial"/>
                <w:szCs w:val="22"/>
              </w:rPr>
            </w:pPr>
            <w:r w:rsidRPr="00A30E6C">
              <w:rPr>
                <w:rFonts w:cs="Arial"/>
                <w:szCs w:val="22"/>
              </w:rPr>
              <w:t>Poskytnutí technických prostředků pro provedení zakonzervování dle Plánu a týmu pro společné provedení testu obnovy systému.</w:t>
            </w:r>
          </w:p>
        </w:tc>
      </w:tr>
      <w:tr w:rsidR="00A30E6C" w14:paraId="23F66326" w14:textId="77777777" w:rsidTr="00CA69E3">
        <w:tc>
          <w:tcPr>
            <w:tcW w:w="1271" w:type="dxa"/>
          </w:tcPr>
          <w:p w14:paraId="551919FD" w14:textId="216B9BA3" w:rsidR="00A30E6C" w:rsidRDefault="00571DD9" w:rsidP="002B1B35">
            <w:pPr>
              <w:pStyle w:val="GSOdstavec"/>
            </w:pPr>
            <w:r>
              <w:t>ZAM003</w:t>
            </w:r>
          </w:p>
        </w:tc>
        <w:tc>
          <w:tcPr>
            <w:tcW w:w="1134" w:type="dxa"/>
          </w:tcPr>
          <w:p w14:paraId="3F06E56A" w14:textId="362D24CF" w:rsidR="00A30E6C" w:rsidRDefault="00571DD9" w:rsidP="006E4B9C">
            <w:pPr>
              <w:pStyle w:val="GSOdstavec"/>
            </w:pPr>
            <w:r>
              <w:t>2.</w:t>
            </w:r>
            <w:r w:rsidR="006E4B9C">
              <w:t>1</w:t>
            </w:r>
            <w:r>
              <w:t>.15</w:t>
            </w:r>
          </w:p>
        </w:tc>
        <w:tc>
          <w:tcPr>
            <w:tcW w:w="6655" w:type="dxa"/>
          </w:tcPr>
          <w:p w14:paraId="4F5096E1" w14:textId="2CFE966B" w:rsidR="00571DD9" w:rsidRPr="00254CEF" w:rsidRDefault="00571DD9" w:rsidP="00571DD9">
            <w:pPr>
              <w:pStyle w:val="GSOdstavec"/>
            </w:pPr>
            <w:r w:rsidRPr="00254CEF">
              <w:t xml:space="preserve">Jako součinnost pro realizaci tohoto poskytne </w:t>
            </w:r>
            <w:r w:rsidR="00262235">
              <w:t>Objednatel</w:t>
            </w:r>
            <w:r w:rsidRPr="00254CEF">
              <w:t xml:space="preserve"> intenzivní součinnost vlastních kapacit případně dodavatele IS ZAM v rámci definice potřebného detailu pro analýzu migračního logického datového modelu pro systém ISZAM (LDM L2), a to formou společných jednání a workshopů za účasti zástupců </w:t>
            </w:r>
            <w:r w:rsidR="00262235">
              <w:t>Objednatel</w:t>
            </w:r>
            <w:r w:rsidRPr="00254CEF">
              <w:t>e (ty zajišťuje MPSV), tj.  příslušných klíčových uživatelů či garantů jednotlivých agend a evidencí ISZAM.</w:t>
            </w:r>
          </w:p>
          <w:p w14:paraId="069BD992" w14:textId="61B92707" w:rsidR="00A30E6C" w:rsidRPr="003871B3" w:rsidRDefault="00571DD9" w:rsidP="00571DD9">
            <w:pPr>
              <w:pStyle w:val="GSOdstavec"/>
            </w:pPr>
            <w:r w:rsidRPr="00254CEF">
              <w:t>Rozsah požadované součinnosti bude definován v rámci vytvoření definice jednotlivých bodů do projektového backlogu a následně upřesněn v plánování konkrétního release.</w:t>
            </w:r>
          </w:p>
        </w:tc>
      </w:tr>
      <w:tr w:rsidR="004A4CC8" w14:paraId="15A07D6B" w14:textId="77777777" w:rsidTr="00CA69E3">
        <w:tc>
          <w:tcPr>
            <w:tcW w:w="1271" w:type="dxa"/>
          </w:tcPr>
          <w:p w14:paraId="64E09219" w14:textId="01D4B056" w:rsidR="004A4CC8" w:rsidRDefault="004A4CC8" w:rsidP="004A4CC8">
            <w:pPr>
              <w:pStyle w:val="GSOdstavec"/>
            </w:pPr>
            <w:r>
              <w:t>ZAM005</w:t>
            </w:r>
          </w:p>
        </w:tc>
        <w:tc>
          <w:tcPr>
            <w:tcW w:w="1134" w:type="dxa"/>
          </w:tcPr>
          <w:p w14:paraId="1651B6A1" w14:textId="31E1E910" w:rsidR="004A4CC8" w:rsidRDefault="004A4CC8" w:rsidP="006E4B9C">
            <w:pPr>
              <w:pStyle w:val="GSOdstavec"/>
            </w:pPr>
            <w:r>
              <w:t>2.</w:t>
            </w:r>
            <w:r w:rsidR="006E4B9C">
              <w:t>1</w:t>
            </w:r>
            <w:r>
              <w:t>.15</w:t>
            </w:r>
          </w:p>
        </w:tc>
        <w:tc>
          <w:tcPr>
            <w:tcW w:w="6655" w:type="dxa"/>
          </w:tcPr>
          <w:p w14:paraId="57D80764" w14:textId="5EEE28DA" w:rsidR="004A4CC8" w:rsidRPr="003871B3" w:rsidRDefault="004A4CC8" w:rsidP="004A4CC8">
            <w:pPr>
              <w:pStyle w:val="GSOdstavec"/>
            </w:pPr>
            <w:r w:rsidRPr="00254CEF">
              <w:t>Součinností MPSV je poskytnutí detailní business definice otevřeného případu (OP) včetně nutných vazebních podmínek na okolí případu. Vytvořená zjištění poskytne jako podklad při pracovních jednáních nad přípravou detailní analýzy LDM L2 za cílem vytvoření finálního migračního předpisu. Kromě určení vhodných stavů popíše a do finálního migračního předpisu promítne, jak</w:t>
            </w:r>
            <w:r>
              <w:t xml:space="preserve"> jsou otevřené případy definovány v GUI</w:t>
            </w:r>
          </w:p>
        </w:tc>
      </w:tr>
      <w:tr w:rsidR="004A4CC8" w14:paraId="3789B68B" w14:textId="77777777" w:rsidTr="00CA69E3">
        <w:tc>
          <w:tcPr>
            <w:tcW w:w="1271" w:type="dxa"/>
          </w:tcPr>
          <w:p w14:paraId="00BCAD19" w14:textId="19DBD47A" w:rsidR="004A4CC8" w:rsidRDefault="004A4CC8" w:rsidP="004A4CC8">
            <w:pPr>
              <w:pStyle w:val="GSOdstavec"/>
            </w:pPr>
            <w:r>
              <w:t>ZAM011</w:t>
            </w:r>
          </w:p>
        </w:tc>
        <w:tc>
          <w:tcPr>
            <w:tcW w:w="1134" w:type="dxa"/>
          </w:tcPr>
          <w:p w14:paraId="614935AD" w14:textId="6FED15CF" w:rsidR="004A4CC8" w:rsidRDefault="004A4CC8" w:rsidP="006E4B9C">
            <w:pPr>
              <w:pStyle w:val="GSOdstavec"/>
            </w:pPr>
            <w:r>
              <w:t>2.</w:t>
            </w:r>
            <w:r w:rsidR="006E4B9C">
              <w:t>1</w:t>
            </w:r>
            <w:r>
              <w:t>.15</w:t>
            </w:r>
          </w:p>
        </w:tc>
        <w:tc>
          <w:tcPr>
            <w:tcW w:w="6655" w:type="dxa"/>
          </w:tcPr>
          <w:p w14:paraId="509D2462" w14:textId="668BDDA2" w:rsidR="004A4CC8" w:rsidRPr="00254CEF" w:rsidRDefault="004A4CC8" w:rsidP="004A4CC8">
            <w:pPr>
              <w:pStyle w:val="GSOdstavec"/>
            </w:pPr>
            <w:r w:rsidRPr="003871B3">
              <w:t>Pro řešení nálezů je potřebná součinnost ze strany dodavatele ISZAM pro konzultace, vysvětlení a řešení nálezů přiřazených na stranu dodavatele ISZAM. Tato součinnost je důležitým faktorem pro řešení nálezů v odsouhlasených termínech.</w:t>
            </w:r>
          </w:p>
        </w:tc>
      </w:tr>
      <w:tr w:rsidR="004A4CC8" w14:paraId="4D4C216B" w14:textId="77777777" w:rsidTr="00CA69E3">
        <w:tc>
          <w:tcPr>
            <w:tcW w:w="1271" w:type="dxa"/>
          </w:tcPr>
          <w:p w14:paraId="4A4E3583" w14:textId="3C611450" w:rsidR="004A4CC8" w:rsidRDefault="004A4CC8" w:rsidP="004A4CC8">
            <w:pPr>
              <w:pStyle w:val="GSOdstavec"/>
            </w:pPr>
            <w:r>
              <w:t>TP052</w:t>
            </w:r>
          </w:p>
        </w:tc>
        <w:tc>
          <w:tcPr>
            <w:tcW w:w="1134" w:type="dxa"/>
          </w:tcPr>
          <w:p w14:paraId="3567C8A5" w14:textId="16B8382A" w:rsidR="004A4CC8" w:rsidRDefault="004A4CC8" w:rsidP="006E4B9C">
            <w:pPr>
              <w:pStyle w:val="GSOdstavec"/>
            </w:pPr>
            <w:r>
              <w:t>2.</w:t>
            </w:r>
            <w:r w:rsidR="006E4B9C">
              <w:t>1</w:t>
            </w:r>
            <w:r>
              <w:t>.15</w:t>
            </w:r>
          </w:p>
        </w:tc>
        <w:tc>
          <w:tcPr>
            <w:tcW w:w="6655" w:type="dxa"/>
          </w:tcPr>
          <w:p w14:paraId="6989248D" w14:textId="3DDD59BE" w:rsidR="004A4CC8" w:rsidRPr="00254CEF" w:rsidRDefault="004A4CC8" w:rsidP="004A4CC8">
            <w:pPr>
              <w:pStyle w:val="GSOdstavec"/>
            </w:pPr>
            <w:r w:rsidRPr="003871B3">
              <w:rPr>
                <w:rFonts w:cs="Arial"/>
                <w:szCs w:val="22"/>
              </w:rPr>
              <w:t xml:space="preserve">Dodavatel bude provádět analýzu zdrojových dat a jejich pochopení pro potřeby dalších transformací v projektu LIS. </w:t>
            </w:r>
            <w:r w:rsidR="00262235">
              <w:rPr>
                <w:rFonts w:cs="Arial"/>
                <w:szCs w:val="22"/>
              </w:rPr>
              <w:t>Objednatel</w:t>
            </w:r>
            <w:r w:rsidRPr="003871B3">
              <w:rPr>
                <w:rFonts w:cs="Arial"/>
                <w:szCs w:val="22"/>
              </w:rPr>
              <w:t xml:space="preserve"> poskytne součinnost formou konzultací s tvůrci zdrojových systémů a odbornými garanty.</w:t>
            </w:r>
          </w:p>
        </w:tc>
      </w:tr>
      <w:tr w:rsidR="004A4CC8" w14:paraId="6B4B4741" w14:textId="77777777" w:rsidTr="00CA69E3">
        <w:tc>
          <w:tcPr>
            <w:tcW w:w="1271" w:type="dxa"/>
          </w:tcPr>
          <w:p w14:paraId="726C83F2" w14:textId="606CD6C7" w:rsidR="004A4CC8" w:rsidRDefault="004A4CC8" w:rsidP="004A4CC8">
            <w:pPr>
              <w:pStyle w:val="GSOdstavec"/>
            </w:pPr>
            <w:r>
              <w:t>TP053</w:t>
            </w:r>
          </w:p>
        </w:tc>
        <w:tc>
          <w:tcPr>
            <w:tcW w:w="1134" w:type="dxa"/>
          </w:tcPr>
          <w:p w14:paraId="480EC696" w14:textId="67260945" w:rsidR="004A4CC8" w:rsidRDefault="004A4CC8" w:rsidP="006E4B9C">
            <w:pPr>
              <w:pStyle w:val="GSOdstavec"/>
            </w:pPr>
            <w:r>
              <w:t>2.</w:t>
            </w:r>
            <w:r w:rsidR="006E4B9C">
              <w:t>1</w:t>
            </w:r>
            <w:r>
              <w:t>.15</w:t>
            </w:r>
          </w:p>
        </w:tc>
        <w:tc>
          <w:tcPr>
            <w:tcW w:w="6655" w:type="dxa"/>
          </w:tcPr>
          <w:p w14:paraId="79E54314" w14:textId="0A572C4D" w:rsidR="004A4CC8" w:rsidRPr="00254CEF" w:rsidRDefault="004A4CC8" w:rsidP="004A4CC8">
            <w:pPr>
              <w:pStyle w:val="GSOdstavec"/>
            </w:pPr>
            <w:r w:rsidRPr="003871B3">
              <w:rPr>
                <w:rFonts w:cs="Arial"/>
                <w:szCs w:val="22"/>
              </w:rPr>
              <w:t xml:space="preserve">Dodavatel bude provádět analýzu zdrojových dat a jejich vazeb. </w:t>
            </w:r>
            <w:r w:rsidR="00262235">
              <w:rPr>
                <w:rFonts w:cs="Arial"/>
                <w:szCs w:val="22"/>
              </w:rPr>
              <w:t>Objednatel</w:t>
            </w:r>
            <w:r w:rsidRPr="003871B3">
              <w:rPr>
                <w:rFonts w:cs="Arial"/>
                <w:szCs w:val="22"/>
              </w:rPr>
              <w:t xml:space="preserve"> poskytne součinnost formou konzultací s tvůrci zdrojových systémů a odbornými garanty. Odpovědnost za pochopení vazeb entit a dat zdrojových systémů je podmíněna úplným poskytnutím součinnosti </w:t>
            </w:r>
            <w:r w:rsidR="00262235">
              <w:rPr>
                <w:rFonts w:cs="Arial"/>
                <w:szCs w:val="22"/>
              </w:rPr>
              <w:t>Objednatel</w:t>
            </w:r>
            <w:r w:rsidRPr="003871B3">
              <w:rPr>
                <w:rFonts w:cs="Arial"/>
                <w:szCs w:val="22"/>
              </w:rPr>
              <w:t>e.</w:t>
            </w:r>
          </w:p>
        </w:tc>
      </w:tr>
      <w:tr w:rsidR="004A4CC8" w14:paraId="18F2DC39" w14:textId="77777777" w:rsidTr="00CA69E3">
        <w:tc>
          <w:tcPr>
            <w:tcW w:w="1271" w:type="dxa"/>
          </w:tcPr>
          <w:p w14:paraId="1AC3E5F0" w14:textId="25B8C50A" w:rsidR="004A4CC8" w:rsidRDefault="004A4CC8" w:rsidP="004A4CC8">
            <w:pPr>
              <w:pStyle w:val="GSOdstavec"/>
            </w:pPr>
            <w:r>
              <w:t>TP059</w:t>
            </w:r>
          </w:p>
        </w:tc>
        <w:tc>
          <w:tcPr>
            <w:tcW w:w="1134" w:type="dxa"/>
          </w:tcPr>
          <w:p w14:paraId="6858F25D" w14:textId="314B9CC2" w:rsidR="004A4CC8" w:rsidRDefault="004A4CC8" w:rsidP="006E4B9C">
            <w:pPr>
              <w:pStyle w:val="GSOdstavec"/>
            </w:pPr>
            <w:r>
              <w:t>2.</w:t>
            </w:r>
            <w:r w:rsidR="006E4B9C">
              <w:t>1</w:t>
            </w:r>
            <w:r>
              <w:t>.15</w:t>
            </w:r>
          </w:p>
        </w:tc>
        <w:tc>
          <w:tcPr>
            <w:tcW w:w="6655" w:type="dxa"/>
          </w:tcPr>
          <w:p w14:paraId="3756D33F" w14:textId="5AE4B711" w:rsidR="004A4CC8" w:rsidRPr="00254CEF" w:rsidRDefault="00262235" w:rsidP="004A4CC8">
            <w:pPr>
              <w:pStyle w:val="GSOdstavec"/>
            </w:pPr>
            <w:r>
              <w:rPr>
                <w:rFonts w:cs="Arial"/>
                <w:szCs w:val="22"/>
              </w:rPr>
              <w:t>Objednatel</w:t>
            </w:r>
            <w:r w:rsidR="004A4CC8" w:rsidRPr="00254CEF">
              <w:rPr>
                <w:rFonts w:cs="Arial"/>
                <w:szCs w:val="22"/>
              </w:rPr>
              <w:t xml:space="preserve"> v rámci oponentního řízení zajistí validaci tohoto návrhu přes všechny zástupce dotčených systémů. </w:t>
            </w:r>
            <w:r>
              <w:rPr>
                <w:rFonts w:cs="Arial"/>
                <w:szCs w:val="22"/>
              </w:rPr>
              <w:t>Objednatel</w:t>
            </w:r>
            <w:r w:rsidR="004A4CC8" w:rsidRPr="00254CEF">
              <w:rPr>
                <w:rFonts w:cs="Arial"/>
                <w:szCs w:val="22"/>
              </w:rPr>
              <w:t xml:space="preserve"> v rámci analytické fáze poskytne věcného garanta pro konzultace návrhu transformace.</w:t>
            </w:r>
          </w:p>
        </w:tc>
      </w:tr>
      <w:tr w:rsidR="004A4CC8" w14:paraId="7C415D82" w14:textId="77777777" w:rsidTr="00CA69E3">
        <w:tc>
          <w:tcPr>
            <w:tcW w:w="1271" w:type="dxa"/>
          </w:tcPr>
          <w:p w14:paraId="104F76C2" w14:textId="5D0B1216" w:rsidR="004A4CC8" w:rsidRDefault="004A4CC8" w:rsidP="004A4CC8">
            <w:pPr>
              <w:pStyle w:val="GSOdstavec"/>
            </w:pPr>
            <w:r>
              <w:t>DOC015</w:t>
            </w:r>
          </w:p>
        </w:tc>
        <w:tc>
          <w:tcPr>
            <w:tcW w:w="1134" w:type="dxa"/>
          </w:tcPr>
          <w:p w14:paraId="538B9D0F" w14:textId="1ADFC461" w:rsidR="004A4CC8" w:rsidRDefault="004A4CC8" w:rsidP="006E4B9C">
            <w:pPr>
              <w:pStyle w:val="GSOdstavec"/>
            </w:pPr>
            <w:r>
              <w:t>2.</w:t>
            </w:r>
            <w:r w:rsidR="006E4B9C">
              <w:t>1</w:t>
            </w:r>
            <w:r>
              <w:t>.15</w:t>
            </w:r>
          </w:p>
        </w:tc>
        <w:tc>
          <w:tcPr>
            <w:tcW w:w="6655" w:type="dxa"/>
          </w:tcPr>
          <w:p w14:paraId="2E152536" w14:textId="134FF58C" w:rsidR="004A4CC8" w:rsidRPr="00254CEF" w:rsidRDefault="00262235" w:rsidP="004A4CC8">
            <w:pPr>
              <w:pStyle w:val="GSOdstavec"/>
              <w:rPr>
                <w:rFonts w:cs="Arial"/>
                <w:szCs w:val="22"/>
              </w:rPr>
            </w:pPr>
            <w:r>
              <w:t>Objednatel</w:t>
            </w:r>
            <w:r w:rsidR="004A4CC8" w:rsidRPr="003871B3">
              <w:t xml:space="preserve"> poskytne licence OS (Win10) a EA.</w:t>
            </w:r>
          </w:p>
        </w:tc>
      </w:tr>
      <w:tr w:rsidR="004A4CC8" w14:paraId="775894A1" w14:textId="77777777" w:rsidTr="00CA69E3">
        <w:tc>
          <w:tcPr>
            <w:tcW w:w="1271" w:type="dxa"/>
          </w:tcPr>
          <w:p w14:paraId="5A48874F" w14:textId="0DF5A849" w:rsidR="004A4CC8" w:rsidRDefault="004A4CC8" w:rsidP="002B1B35">
            <w:pPr>
              <w:pStyle w:val="GSOdstavec"/>
            </w:pPr>
            <w:r>
              <w:t>TP063</w:t>
            </w:r>
          </w:p>
        </w:tc>
        <w:tc>
          <w:tcPr>
            <w:tcW w:w="1134" w:type="dxa"/>
          </w:tcPr>
          <w:p w14:paraId="2B7BB9E4" w14:textId="600068D5" w:rsidR="004A4CC8" w:rsidRDefault="004A4CC8" w:rsidP="006E4B9C">
            <w:pPr>
              <w:pStyle w:val="GSOdstavec"/>
            </w:pPr>
            <w:r>
              <w:t>2.</w:t>
            </w:r>
            <w:r w:rsidR="006E4B9C">
              <w:t>1</w:t>
            </w:r>
            <w:r>
              <w:t>.16</w:t>
            </w:r>
          </w:p>
        </w:tc>
        <w:tc>
          <w:tcPr>
            <w:tcW w:w="6655" w:type="dxa"/>
          </w:tcPr>
          <w:p w14:paraId="449731A6" w14:textId="7D8BC4B0" w:rsidR="004A4CC8" w:rsidRPr="00254CEF" w:rsidRDefault="00262235" w:rsidP="00A30E6C">
            <w:pPr>
              <w:pStyle w:val="GSOdstavec"/>
              <w:rPr>
                <w:rFonts w:cs="Arial"/>
                <w:szCs w:val="22"/>
              </w:rPr>
            </w:pPr>
            <w:r>
              <w:rPr>
                <w:rFonts w:cs="Arial"/>
                <w:szCs w:val="22"/>
              </w:rPr>
              <w:t>Objednatel</w:t>
            </w:r>
            <w:r w:rsidR="004A4CC8" w:rsidRPr="004A4CC8">
              <w:rPr>
                <w:rFonts w:cs="Arial"/>
                <w:szCs w:val="22"/>
              </w:rPr>
              <w:t xml:space="preserve"> poskytne součinnost pro vytvoření návrhu řešení nekonzistencí formou konzultací s dodavateli zdrojových systémů a odbornými garanty MPSV/ÚP.</w:t>
            </w:r>
          </w:p>
        </w:tc>
      </w:tr>
      <w:tr w:rsidR="004A4CC8" w14:paraId="785FA147" w14:textId="77777777" w:rsidTr="00CA69E3">
        <w:tc>
          <w:tcPr>
            <w:tcW w:w="1271" w:type="dxa"/>
          </w:tcPr>
          <w:p w14:paraId="22C3B42F" w14:textId="1A6B6A72" w:rsidR="004A4CC8" w:rsidRDefault="004A4CC8" w:rsidP="004A4CC8">
            <w:pPr>
              <w:pStyle w:val="GSOdstavec"/>
            </w:pPr>
            <w:r>
              <w:t>TP072</w:t>
            </w:r>
          </w:p>
        </w:tc>
        <w:tc>
          <w:tcPr>
            <w:tcW w:w="1134" w:type="dxa"/>
          </w:tcPr>
          <w:p w14:paraId="48E436A1" w14:textId="66FAD4A2" w:rsidR="004A4CC8" w:rsidRDefault="004A4CC8" w:rsidP="006E4B9C">
            <w:pPr>
              <w:pStyle w:val="GSOdstavec"/>
            </w:pPr>
            <w:r>
              <w:t>2.</w:t>
            </w:r>
            <w:r w:rsidR="006E4B9C">
              <w:t>1</w:t>
            </w:r>
            <w:r>
              <w:t>.16</w:t>
            </w:r>
          </w:p>
        </w:tc>
        <w:tc>
          <w:tcPr>
            <w:tcW w:w="6655" w:type="dxa"/>
          </w:tcPr>
          <w:p w14:paraId="7610AA3B" w14:textId="7605830E" w:rsidR="004A4CC8" w:rsidRPr="004A4CC8" w:rsidRDefault="00262235" w:rsidP="004A4CC8">
            <w:pPr>
              <w:pStyle w:val="GSOdstavec"/>
            </w:pPr>
            <w:r>
              <w:rPr>
                <w:rFonts w:cs="Arial"/>
                <w:szCs w:val="22"/>
              </w:rPr>
              <w:t>Objednatel</w:t>
            </w:r>
            <w:r w:rsidR="004A4CC8" w:rsidRPr="004A4CC8">
              <w:rPr>
                <w:rFonts w:cs="Arial"/>
                <w:szCs w:val="22"/>
              </w:rPr>
              <w:t xml:space="preserve"> jako svou součinnost zajistí průběžnou aktualizaci informací a požadavků okolních projektů.</w:t>
            </w:r>
          </w:p>
        </w:tc>
      </w:tr>
      <w:tr w:rsidR="004A4CC8" w14:paraId="70559291" w14:textId="77777777" w:rsidTr="00CA69E3">
        <w:tc>
          <w:tcPr>
            <w:tcW w:w="1271" w:type="dxa"/>
          </w:tcPr>
          <w:p w14:paraId="5A94821A" w14:textId="5D499EC9" w:rsidR="004A4CC8" w:rsidRDefault="004A4CC8" w:rsidP="004A4CC8">
            <w:pPr>
              <w:pStyle w:val="GSOdstavec"/>
            </w:pPr>
            <w:r>
              <w:t>TP085</w:t>
            </w:r>
          </w:p>
        </w:tc>
        <w:tc>
          <w:tcPr>
            <w:tcW w:w="1134" w:type="dxa"/>
          </w:tcPr>
          <w:p w14:paraId="0E4FFFE2" w14:textId="3045A70F" w:rsidR="004A4CC8" w:rsidRDefault="004A4CC8" w:rsidP="006E4B9C">
            <w:pPr>
              <w:pStyle w:val="GSOdstavec"/>
            </w:pPr>
            <w:r>
              <w:t>2.</w:t>
            </w:r>
            <w:r w:rsidR="006E4B9C">
              <w:t>1</w:t>
            </w:r>
            <w:r>
              <w:t>.16</w:t>
            </w:r>
          </w:p>
        </w:tc>
        <w:tc>
          <w:tcPr>
            <w:tcW w:w="6655" w:type="dxa"/>
          </w:tcPr>
          <w:p w14:paraId="2E182BD0" w14:textId="4C819850" w:rsidR="004A4CC8" w:rsidRPr="004A4CC8" w:rsidRDefault="004A4CC8" w:rsidP="004A4CC8">
            <w:pPr>
              <w:pStyle w:val="GSOdstavec"/>
              <w:rPr>
                <w:rFonts w:cs="Arial"/>
                <w:szCs w:val="22"/>
              </w:rPr>
            </w:pPr>
            <w:r w:rsidRPr="004A4CC8">
              <w:rPr>
                <w:rFonts w:cs="Arial"/>
                <w:szCs w:val="22"/>
              </w:rPr>
              <w:t xml:space="preserve">Definici business pravidel pro provedení transformace číselníkových hodnot poskytne jako součinnost </w:t>
            </w:r>
            <w:r w:rsidR="00262235">
              <w:rPr>
                <w:rFonts w:cs="Arial"/>
                <w:szCs w:val="22"/>
              </w:rPr>
              <w:t>Objednatel</w:t>
            </w:r>
            <w:r w:rsidRPr="004A4CC8">
              <w:rPr>
                <w:rFonts w:cs="Arial"/>
                <w:szCs w:val="22"/>
              </w:rPr>
              <w:t>.</w:t>
            </w:r>
          </w:p>
        </w:tc>
      </w:tr>
      <w:tr w:rsidR="004A4CC8" w14:paraId="41052DA5" w14:textId="77777777" w:rsidTr="00CA69E3">
        <w:tc>
          <w:tcPr>
            <w:tcW w:w="1271" w:type="dxa"/>
          </w:tcPr>
          <w:p w14:paraId="57807924" w14:textId="0B28075A" w:rsidR="004A4CC8" w:rsidRDefault="004A4CC8" w:rsidP="004A4CC8">
            <w:pPr>
              <w:pStyle w:val="GSOdstavec"/>
            </w:pPr>
            <w:r>
              <w:t>BEZ013</w:t>
            </w:r>
          </w:p>
        </w:tc>
        <w:tc>
          <w:tcPr>
            <w:tcW w:w="1134" w:type="dxa"/>
          </w:tcPr>
          <w:p w14:paraId="76B449B8" w14:textId="18BB22C4" w:rsidR="004A4CC8" w:rsidRDefault="004A4CC8" w:rsidP="006E4B9C">
            <w:pPr>
              <w:pStyle w:val="GSOdstavec"/>
            </w:pPr>
            <w:r>
              <w:t>2.</w:t>
            </w:r>
            <w:r w:rsidR="006E4B9C">
              <w:t>1</w:t>
            </w:r>
            <w:r>
              <w:t>.16</w:t>
            </w:r>
          </w:p>
        </w:tc>
        <w:tc>
          <w:tcPr>
            <w:tcW w:w="6655" w:type="dxa"/>
          </w:tcPr>
          <w:p w14:paraId="7D7D0A68" w14:textId="22BD0204" w:rsidR="004A4CC8" w:rsidRPr="004A4CC8" w:rsidRDefault="004A4CC8" w:rsidP="004A4CC8">
            <w:pPr>
              <w:pStyle w:val="GSOdstavec"/>
              <w:rPr>
                <w:rFonts w:cs="Arial"/>
                <w:szCs w:val="22"/>
              </w:rPr>
            </w:pPr>
            <w:r w:rsidRPr="003871B3">
              <w:rPr>
                <w:rFonts w:eastAsia="AR PL SungtiL GB" w:cs="Arial"/>
                <w:color w:val="auto"/>
                <w:szCs w:val="22"/>
              </w:rPr>
              <w:t xml:space="preserve">Pro dodávku řešení na těchto komponentách budou na základě analýzy rizik definovány, v součinnosti se </w:t>
            </w:r>
            <w:r w:rsidR="00262235">
              <w:rPr>
                <w:rFonts w:eastAsia="AR PL SungtiL GB" w:cs="Arial"/>
                <w:color w:val="auto"/>
                <w:szCs w:val="22"/>
              </w:rPr>
              <w:t>Objednatel</w:t>
            </w:r>
            <w:r w:rsidRPr="003871B3">
              <w:rPr>
                <w:rFonts w:eastAsia="AR PL SungtiL GB" w:cs="Arial"/>
                <w:color w:val="auto"/>
                <w:szCs w:val="22"/>
              </w:rPr>
              <w:t>em, minimální požadavky na bezpečnost aplikace, které budou nutnou součástí každé verze Systému určené k nasazení do produkčního prostředí.</w:t>
            </w:r>
          </w:p>
        </w:tc>
      </w:tr>
      <w:tr w:rsidR="00595D93" w14:paraId="151F5C96" w14:textId="77777777" w:rsidTr="00CA69E3">
        <w:tc>
          <w:tcPr>
            <w:tcW w:w="1271" w:type="dxa"/>
          </w:tcPr>
          <w:p w14:paraId="5DF5589A" w14:textId="394DB556" w:rsidR="00595D93" w:rsidRDefault="00595D93" w:rsidP="004A4CC8">
            <w:pPr>
              <w:pStyle w:val="GSOdstavec"/>
            </w:pPr>
            <w:r>
              <w:t>TP086</w:t>
            </w:r>
          </w:p>
        </w:tc>
        <w:tc>
          <w:tcPr>
            <w:tcW w:w="1134" w:type="dxa"/>
          </w:tcPr>
          <w:p w14:paraId="285506C1" w14:textId="29FD970E" w:rsidR="00595D93" w:rsidRDefault="00595D93" w:rsidP="006E4B9C">
            <w:pPr>
              <w:pStyle w:val="GSOdstavec"/>
            </w:pPr>
            <w:r>
              <w:t>2.</w:t>
            </w:r>
            <w:r w:rsidR="006E4B9C">
              <w:t>1</w:t>
            </w:r>
            <w:r>
              <w:t>.1.1</w:t>
            </w:r>
          </w:p>
        </w:tc>
        <w:tc>
          <w:tcPr>
            <w:tcW w:w="6655" w:type="dxa"/>
          </w:tcPr>
          <w:p w14:paraId="60F0E8C9" w14:textId="09B4A9D3" w:rsidR="00595D93" w:rsidRPr="003871B3" w:rsidRDefault="00ED4723" w:rsidP="004A4CC8">
            <w:pPr>
              <w:pStyle w:val="GSOdstavec"/>
              <w:rPr>
                <w:rFonts w:eastAsia="AR PL SungtiL GB" w:cs="Arial"/>
                <w:color w:val="auto"/>
                <w:szCs w:val="22"/>
              </w:rPr>
            </w:pPr>
            <w:r>
              <w:rPr>
                <w:rFonts w:cs="Arial"/>
                <w:color w:val="auto"/>
              </w:rPr>
              <w:t>Objednatel</w:t>
            </w:r>
            <w:r w:rsidR="00595D93">
              <w:rPr>
                <w:rFonts w:cs="Arial"/>
                <w:color w:val="auto"/>
              </w:rPr>
              <w:t xml:space="preserve"> poskytne součinnost p</w:t>
            </w:r>
            <w:r>
              <w:rPr>
                <w:rFonts w:cs="Arial"/>
                <w:color w:val="auto"/>
              </w:rPr>
              <w:t>ři akceptaci metodiky. Objednatel</w:t>
            </w:r>
            <w:r w:rsidR="00595D93">
              <w:rPr>
                <w:rFonts w:cs="Arial"/>
                <w:color w:val="auto"/>
              </w:rPr>
              <w:t xml:space="preserve"> definuje skupinu oponentů, které bude Dodavatel v oponentu</w:t>
            </w:r>
            <w:r>
              <w:rPr>
                <w:rFonts w:cs="Arial"/>
                <w:color w:val="auto"/>
              </w:rPr>
              <w:t>ře metodiky oslovovat. Objednatel</w:t>
            </w:r>
            <w:r w:rsidR="00595D93">
              <w:rPr>
                <w:rFonts w:cs="Arial"/>
                <w:color w:val="auto"/>
              </w:rPr>
              <w:t xml:space="preserve"> do 5ti pracovních dní od dodání metodiky metodiku akceptuje nebo dodá připomínky Dodavateli k dalšímu vypořádání. Dodavatel připomínky vypořádá/zapracuje během 2 pracovních dní a vrátí</w:t>
            </w:r>
            <w:r>
              <w:rPr>
                <w:rFonts w:cs="Arial"/>
                <w:color w:val="auto"/>
              </w:rPr>
              <w:t xml:space="preserve"> metodiku k posouzení Objednateli. Objednatel</w:t>
            </w:r>
            <w:r w:rsidR="00595D93">
              <w:rPr>
                <w:rFonts w:cs="Arial"/>
                <w:color w:val="auto"/>
              </w:rPr>
              <w:t xml:space="preserve"> během 2 pracovních dní dodá Dodavateli další připomínky nebo metodiku akceptuje. Tyto kroky budou opakovány do úplného vypořádání připomínek nebo akceptace. Metodika bude akceptována,</w:t>
            </w:r>
            <w:r>
              <w:rPr>
                <w:rFonts w:cs="Arial"/>
                <w:color w:val="auto"/>
              </w:rPr>
              <w:t xml:space="preserve"> pokud nebudou ze strany Objednat</w:t>
            </w:r>
            <w:r w:rsidR="00595D93">
              <w:rPr>
                <w:rFonts w:cs="Arial"/>
                <w:color w:val="auto"/>
              </w:rPr>
              <w:t xml:space="preserve">ele žádné další připomínky, </w:t>
            </w:r>
          </w:p>
        </w:tc>
      </w:tr>
    </w:tbl>
    <w:p w14:paraId="74175DBF" w14:textId="77777777" w:rsidR="002B1B35" w:rsidRPr="003871B3" w:rsidRDefault="002B1B35" w:rsidP="002B1B35">
      <w:pPr>
        <w:pStyle w:val="GSOdstavec"/>
      </w:pPr>
    </w:p>
    <w:p w14:paraId="2ABA28B2" w14:textId="06B4EB31" w:rsidR="00805650" w:rsidRPr="003871B3" w:rsidRDefault="00805650" w:rsidP="00A01CCB">
      <w:pPr>
        <w:pStyle w:val="GSNadpis1"/>
      </w:pPr>
      <w:bookmarkStart w:id="44" w:name="_Ref521932325"/>
      <w:bookmarkStart w:id="45" w:name="_Toc522884710"/>
      <w:r w:rsidRPr="003871B3">
        <w:t>Projektový plán</w:t>
      </w:r>
      <w:bookmarkEnd w:id="42"/>
      <w:r w:rsidR="00C11B8D" w:rsidRPr="003871B3">
        <w:t xml:space="preserve"> a platební milníky</w:t>
      </w:r>
      <w:bookmarkEnd w:id="44"/>
      <w:bookmarkEnd w:id="45"/>
    </w:p>
    <w:p w14:paraId="18DFDBFF" w14:textId="7D50373C" w:rsidR="000273DE" w:rsidRPr="00C22A86" w:rsidRDefault="000273DE" w:rsidP="00C22A86">
      <w:pPr>
        <w:pStyle w:val="GSOdstavec"/>
        <w:rPr>
          <w:rFonts w:eastAsia="Times New Roman" w:cs="Arial"/>
          <w:color w:val="000000"/>
          <w:szCs w:val="22"/>
          <w:lang w:eastAsia="cs-CZ"/>
        </w:rPr>
      </w:pPr>
      <w:r w:rsidRPr="00C22A86">
        <w:rPr>
          <w:rFonts w:eastAsia="Times New Roman" w:cs="Arial"/>
          <w:color w:val="000000"/>
          <w:szCs w:val="22"/>
          <w:lang w:eastAsia="cs-CZ"/>
        </w:rPr>
        <w:t>Projektový plán je stanoven na základě aktuálních informací a lze jej modifikovat v mezích platnosti smlouvy dohodou na úrovní řídicího výboru.</w:t>
      </w:r>
      <w:r w:rsidR="00573345" w:rsidRPr="00C22A86">
        <w:rPr>
          <w:rFonts w:eastAsia="Times New Roman" w:cs="Arial"/>
          <w:color w:val="000000"/>
          <w:szCs w:val="22"/>
          <w:lang w:eastAsia="cs-CZ"/>
        </w:rPr>
        <w:t xml:space="preserve"> T</w:t>
      </w:r>
      <w:r w:rsidR="00466F1D" w:rsidRPr="00C22A86">
        <w:rPr>
          <w:rFonts w:eastAsia="Times New Roman" w:cs="Arial"/>
          <w:color w:val="000000"/>
          <w:szCs w:val="22"/>
          <w:lang w:eastAsia="cs-CZ"/>
        </w:rPr>
        <w:t xml:space="preserve">oto </w:t>
      </w:r>
      <w:r w:rsidR="00573345" w:rsidRPr="00C22A86">
        <w:rPr>
          <w:rFonts w:eastAsia="Times New Roman" w:cs="Arial"/>
          <w:color w:val="000000"/>
          <w:szCs w:val="22"/>
          <w:lang w:eastAsia="cs-CZ"/>
        </w:rPr>
        <w:t>se vztahuje i na milníky uvedené v příloze Příloha č.1 k Obchodní Smlouvě č. 09/2017.</w:t>
      </w:r>
    </w:p>
    <w:p w14:paraId="10F288C0" w14:textId="34A46988" w:rsidR="003962D2" w:rsidRPr="00C22A86" w:rsidRDefault="003962D2" w:rsidP="00C22A86">
      <w:pPr>
        <w:pStyle w:val="GSOdstavec"/>
        <w:rPr>
          <w:rFonts w:eastAsia="Times New Roman" w:cs="Arial"/>
          <w:color w:val="000000"/>
          <w:szCs w:val="22"/>
          <w:lang w:eastAsia="cs-CZ"/>
        </w:rPr>
      </w:pPr>
      <w:r w:rsidRPr="00C22A86">
        <w:rPr>
          <w:rFonts w:eastAsia="Times New Roman" w:cs="Arial"/>
          <w:color w:val="000000"/>
          <w:szCs w:val="22"/>
          <w:lang w:eastAsia="cs-CZ"/>
        </w:rPr>
        <w:t xml:space="preserve">Řádky v následujících tabulkách této kapitoly 5 uvedené prefixem „S“ se vztahují k původním milníkům Smlouvy (Přílohy č.1 k Obchodní Smlouvě č. 09/2017), a  ty, které jsou uvedené s prefixem „D“ jsou specifické pro tento Dodatek. </w:t>
      </w:r>
    </w:p>
    <w:p w14:paraId="7100DAA0" w14:textId="28BBDA75" w:rsidR="00C11B8D" w:rsidRPr="003871B3" w:rsidRDefault="00C11B8D" w:rsidP="00C11B8D">
      <w:pPr>
        <w:pStyle w:val="GSNadpis2"/>
      </w:pPr>
      <w:bookmarkStart w:id="46" w:name="_Toc521525919"/>
      <w:bookmarkStart w:id="47" w:name="_Toc521566402"/>
      <w:bookmarkStart w:id="48" w:name="_Toc521575059"/>
      <w:bookmarkStart w:id="49" w:name="_Toc521525920"/>
      <w:bookmarkStart w:id="50" w:name="_Toc521566403"/>
      <w:bookmarkStart w:id="51" w:name="_Toc521575060"/>
      <w:bookmarkStart w:id="52" w:name="_Toc522884711"/>
      <w:bookmarkStart w:id="53" w:name="_Toc468444796"/>
      <w:bookmarkEnd w:id="46"/>
      <w:bookmarkEnd w:id="47"/>
      <w:bookmarkEnd w:id="48"/>
      <w:bookmarkEnd w:id="49"/>
      <w:bookmarkEnd w:id="50"/>
      <w:bookmarkEnd w:id="51"/>
      <w:r w:rsidRPr="003871B3">
        <w:t xml:space="preserve">Činnosti LIS pro IS ZAM </w:t>
      </w:r>
      <w:r w:rsidR="00221896" w:rsidRPr="003871B3">
        <w:t>po dobu</w:t>
      </w:r>
      <w:r w:rsidRPr="003871B3">
        <w:t xml:space="preserve"> projektu IS ZAM</w:t>
      </w:r>
      <w:bookmarkEnd w:id="52"/>
    </w:p>
    <w:tbl>
      <w:tblPr>
        <w:tblW w:w="9214" w:type="dxa"/>
        <w:tblCellMar>
          <w:left w:w="70" w:type="dxa"/>
          <w:right w:w="70" w:type="dxa"/>
        </w:tblCellMar>
        <w:tblLook w:val="04A0" w:firstRow="1" w:lastRow="0" w:firstColumn="1" w:lastColumn="0" w:noHBand="0" w:noVBand="1"/>
      </w:tblPr>
      <w:tblGrid>
        <w:gridCol w:w="340"/>
        <w:gridCol w:w="891"/>
        <w:gridCol w:w="3119"/>
        <w:gridCol w:w="12"/>
        <w:gridCol w:w="1263"/>
        <w:gridCol w:w="1276"/>
        <w:gridCol w:w="12"/>
        <w:gridCol w:w="1122"/>
        <w:gridCol w:w="12"/>
        <w:gridCol w:w="1167"/>
      </w:tblGrid>
      <w:tr w:rsidR="00CB43C4" w:rsidRPr="003871B3" w14:paraId="20B4170D" w14:textId="77777777" w:rsidTr="00001C48">
        <w:trPr>
          <w:gridAfter w:val="1"/>
          <w:wAfter w:w="1167" w:type="dxa"/>
          <w:trHeight w:val="324"/>
        </w:trPr>
        <w:tc>
          <w:tcPr>
            <w:tcW w:w="4362" w:type="dxa"/>
            <w:gridSpan w:val="4"/>
            <w:tcBorders>
              <w:top w:val="nil"/>
              <w:left w:val="nil"/>
              <w:bottom w:val="nil"/>
              <w:right w:val="nil"/>
            </w:tcBorders>
            <w:shd w:val="clear" w:color="auto" w:fill="auto"/>
            <w:noWrap/>
            <w:hideMark/>
          </w:tcPr>
          <w:p w14:paraId="4A843A37" w14:textId="260A1496" w:rsidR="00CB43C4" w:rsidRPr="003871B3" w:rsidRDefault="00CB43C4" w:rsidP="00AD76DA">
            <w:pPr>
              <w:spacing w:line="240" w:lineRule="auto"/>
              <w:rPr>
                <w:rFonts w:ascii="Calibri" w:eastAsia="Times New Roman" w:hAnsi="Calibri"/>
                <w:b/>
                <w:bCs/>
                <w:color w:val="000000"/>
                <w:lang w:eastAsia="cs-CZ"/>
              </w:rPr>
            </w:pPr>
          </w:p>
        </w:tc>
        <w:tc>
          <w:tcPr>
            <w:tcW w:w="2551" w:type="dxa"/>
            <w:gridSpan w:val="3"/>
            <w:tcBorders>
              <w:top w:val="nil"/>
              <w:left w:val="nil"/>
              <w:bottom w:val="nil"/>
              <w:right w:val="nil"/>
            </w:tcBorders>
            <w:shd w:val="clear" w:color="auto" w:fill="auto"/>
            <w:noWrap/>
            <w:vAlign w:val="bottom"/>
            <w:hideMark/>
          </w:tcPr>
          <w:p w14:paraId="4DBA3C1A" w14:textId="77777777" w:rsidR="00CB43C4" w:rsidRPr="003871B3" w:rsidRDefault="00CB43C4" w:rsidP="00AD76DA">
            <w:pPr>
              <w:spacing w:line="240" w:lineRule="auto"/>
              <w:rPr>
                <w:rFonts w:ascii="Calibri" w:eastAsia="Times New Roman" w:hAnsi="Calibri"/>
                <w:b/>
                <w:bCs/>
                <w:color w:val="000000"/>
                <w:lang w:eastAsia="cs-CZ"/>
              </w:rPr>
            </w:pPr>
          </w:p>
        </w:tc>
        <w:tc>
          <w:tcPr>
            <w:tcW w:w="1134" w:type="dxa"/>
            <w:gridSpan w:val="2"/>
            <w:tcBorders>
              <w:top w:val="nil"/>
              <w:left w:val="nil"/>
              <w:bottom w:val="nil"/>
              <w:right w:val="nil"/>
            </w:tcBorders>
            <w:shd w:val="clear" w:color="auto" w:fill="auto"/>
            <w:noWrap/>
            <w:vAlign w:val="bottom"/>
            <w:hideMark/>
          </w:tcPr>
          <w:p w14:paraId="7CA08F67" w14:textId="77777777" w:rsidR="00CB43C4" w:rsidRPr="003871B3" w:rsidRDefault="00CB43C4" w:rsidP="00AD76DA">
            <w:pPr>
              <w:spacing w:line="240" w:lineRule="auto"/>
              <w:rPr>
                <w:rFonts w:ascii="Times New Roman" w:eastAsia="Times New Roman" w:hAnsi="Times New Roman"/>
                <w:color w:val="auto"/>
                <w:sz w:val="20"/>
                <w:szCs w:val="20"/>
                <w:lang w:eastAsia="cs-CZ"/>
              </w:rPr>
            </w:pPr>
          </w:p>
        </w:tc>
      </w:tr>
      <w:tr w:rsidR="00CB43C4" w:rsidRPr="003871B3" w14:paraId="1E59942C" w14:textId="77777777" w:rsidTr="00001C48">
        <w:trPr>
          <w:trHeight w:val="324"/>
        </w:trPr>
        <w:tc>
          <w:tcPr>
            <w:tcW w:w="340" w:type="dxa"/>
            <w:tcBorders>
              <w:top w:val="single" w:sz="8" w:space="0" w:color="auto"/>
              <w:left w:val="single" w:sz="8" w:space="0" w:color="auto"/>
              <w:bottom w:val="single" w:sz="8" w:space="0" w:color="auto"/>
              <w:right w:val="single" w:sz="4" w:space="0" w:color="auto"/>
            </w:tcBorders>
            <w:shd w:val="clear" w:color="000000" w:fill="D9D9D9"/>
            <w:noWrap/>
            <w:hideMark/>
          </w:tcPr>
          <w:p w14:paraId="37E5137B" w14:textId="77777777" w:rsidR="00CB43C4" w:rsidRPr="003871B3" w:rsidRDefault="00CB43C4" w:rsidP="00AD76DA">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 </w:t>
            </w:r>
          </w:p>
        </w:tc>
        <w:tc>
          <w:tcPr>
            <w:tcW w:w="891" w:type="dxa"/>
            <w:tcBorders>
              <w:top w:val="single" w:sz="8" w:space="0" w:color="auto"/>
              <w:left w:val="nil"/>
              <w:bottom w:val="single" w:sz="8" w:space="0" w:color="auto"/>
              <w:right w:val="single" w:sz="4" w:space="0" w:color="auto"/>
            </w:tcBorders>
            <w:shd w:val="clear" w:color="000000" w:fill="D9D9D9"/>
            <w:noWrap/>
            <w:hideMark/>
          </w:tcPr>
          <w:p w14:paraId="6A2933A4"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Milník</w:t>
            </w:r>
          </w:p>
        </w:tc>
        <w:tc>
          <w:tcPr>
            <w:tcW w:w="3119" w:type="dxa"/>
            <w:tcBorders>
              <w:top w:val="single" w:sz="4" w:space="0" w:color="auto"/>
              <w:left w:val="single" w:sz="4" w:space="0" w:color="auto"/>
              <w:bottom w:val="single" w:sz="4" w:space="0" w:color="auto"/>
              <w:right w:val="single" w:sz="4" w:space="0" w:color="auto"/>
            </w:tcBorders>
            <w:shd w:val="clear" w:color="000000" w:fill="D9D9D9"/>
            <w:noWrap/>
            <w:hideMark/>
          </w:tcPr>
          <w:p w14:paraId="49AF123D"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Oblast řešení</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EF3145F" w14:textId="77777777" w:rsidR="00CB43C4" w:rsidRPr="003871B3" w:rsidRDefault="00CB43C4" w:rsidP="00AD76DA">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Začátek</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hideMark/>
          </w:tcPr>
          <w:p w14:paraId="0E614A65" w14:textId="77777777" w:rsidR="00CB43C4" w:rsidRPr="003871B3" w:rsidRDefault="00CB43C4" w:rsidP="00AD76DA">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Konec</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56FBBEA" w14:textId="77777777" w:rsidR="00CB43C4" w:rsidRPr="003871B3" w:rsidRDefault="00CB43C4" w:rsidP="00AD76DA">
            <w:pPr>
              <w:spacing w:line="240" w:lineRule="auto"/>
              <w:jc w:val="right"/>
              <w:rPr>
                <w:rFonts w:ascii="Calibri" w:eastAsia="Times New Roman" w:hAnsi="Calibri"/>
                <w:b/>
                <w:bCs/>
                <w:color w:val="000000"/>
                <w:lang w:eastAsia="cs-CZ"/>
              </w:rPr>
            </w:pPr>
            <w:r w:rsidRPr="003871B3">
              <w:rPr>
                <w:rFonts w:ascii="Calibri" w:eastAsia="Times New Roman" w:hAnsi="Calibri"/>
                <w:b/>
                <w:bCs/>
                <w:color w:val="000000"/>
                <w:lang w:eastAsia="cs-CZ"/>
              </w:rPr>
              <w:t>Cena bez DPH</w:t>
            </w:r>
          </w:p>
        </w:tc>
        <w:tc>
          <w:tcPr>
            <w:tcW w:w="1179"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A88D4D3"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Cena s DPH</w:t>
            </w:r>
          </w:p>
        </w:tc>
      </w:tr>
      <w:tr w:rsidR="00CB43C4" w:rsidRPr="003871B3" w14:paraId="6A3C4AAF" w14:textId="77777777" w:rsidTr="00001C48">
        <w:trPr>
          <w:trHeight w:val="312"/>
        </w:trPr>
        <w:tc>
          <w:tcPr>
            <w:tcW w:w="340" w:type="dxa"/>
            <w:tcBorders>
              <w:top w:val="nil"/>
              <w:left w:val="single" w:sz="8" w:space="0" w:color="auto"/>
              <w:bottom w:val="single" w:sz="4" w:space="0" w:color="auto"/>
              <w:right w:val="single" w:sz="4" w:space="0" w:color="auto"/>
            </w:tcBorders>
            <w:shd w:val="clear" w:color="000000" w:fill="D9D9D9"/>
            <w:noWrap/>
            <w:hideMark/>
          </w:tcPr>
          <w:p w14:paraId="6D961693" w14:textId="77777777" w:rsidR="00CB43C4" w:rsidRPr="003871B3" w:rsidRDefault="00CB43C4" w:rsidP="00AD76DA">
            <w:pPr>
              <w:spacing w:line="240" w:lineRule="auto"/>
              <w:jc w:val="center"/>
              <w:rPr>
                <w:rFonts w:ascii="Calibri" w:eastAsia="Times New Roman" w:hAnsi="Calibri"/>
                <w:b/>
                <w:bCs/>
                <w:color w:val="262626"/>
                <w:lang w:eastAsia="cs-CZ"/>
              </w:rPr>
            </w:pPr>
            <w:r w:rsidRPr="003871B3">
              <w:rPr>
                <w:rFonts w:ascii="Calibri" w:eastAsia="Times New Roman" w:hAnsi="Calibri"/>
                <w:b/>
                <w:bCs/>
                <w:color w:val="262626"/>
                <w:lang w:eastAsia="cs-CZ"/>
              </w:rPr>
              <w:t>S</w:t>
            </w:r>
          </w:p>
        </w:tc>
        <w:tc>
          <w:tcPr>
            <w:tcW w:w="891" w:type="dxa"/>
            <w:tcBorders>
              <w:top w:val="nil"/>
              <w:left w:val="nil"/>
              <w:bottom w:val="single" w:sz="4" w:space="0" w:color="auto"/>
              <w:right w:val="single" w:sz="4" w:space="0" w:color="auto"/>
            </w:tcBorders>
            <w:shd w:val="clear" w:color="auto" w:fill="auto"/>
            <w:noWrap/>
            <w:hideMark/>
          </w:tcPr>
          <w:p w14:paraId="31ED0741" w14:textId="77777777" w:rsidR="00CB43C4" w:rsidRPr="003871B3" w:rsidRDefault="00CB43C4" w:rsidP="00AD76DA">
            <w:pPr>
              <w:spacing w:line="240" w:lineRule="auto"/>
              <w:rPr>
                <w:rFonts w:ascii="Calibri" w:eastAsia="Times New Roman" w:hAnsi="Calibri"/>
                <w:b/>
                <w:bCs/>
                <w:color w:val="262626"/>
                <w:lang w:eastAsia="cs-CZ"/>
              </w:rPr>
            </w:pPr>
            <w:r w:rsidRPr="003871B3">
              <w:rPr>
                <w:rFonts w:ascii="Calibri" w:eastAsia="Times New Roman" w:hAnsi="Calibri"/>
                <w:b/>
                <w:bCs/>
                <w:color w:val="262626"/>
                <w:lang w:eastAsia="cs-CZ"/>
              </w:rPr>
              <w:t>5.1.3</w:t>
            </w:r>
          </w:p>
        </w:tc>
        <w:tc>
          <w:tcPr>
            <w:tcW w:w="3119" w:type="dxa"/>
            <w:tcBorders>
              <w:top w:val="single" w:sz="4" w:space="0" w:color="auto"/>
              <w:left w:val="nil"/>
              <w:bottom w:val="single" w:sz="4" w:space="0" w:color="auto"/>
              <w:right w:val="single" w:sz="4" w:space="0" w:color="auto"/>
            </w:tcBorders>
            <w:shd w:val="clear" w:color="auto" w:fill="auto"/>
            <w:hideMark/>
          </w:tcPr>
          <w:p w14:paraId="6D3C1A35" w14:textId="77777777" w:rsidR="00CB43C4" w:rsidRPr="003871B3" w:rsidRDefault="00CB43C4" w:rsidP="00AD76DA">
            <w:pPr>
              <w:spacing w:line="240" w:lineRule="auto"/>
              <w:rPr>
                <w:rFonts w:ascii="Calibri" w:eastAsia="Times New Roman" w:hAnsi="Calibri"/>
                <w:lang w:eastAsia="cs-CZ"/>
              </w:rPr>
            </w:pPr>
            <w:r w:rsidRPr="003871B3">
              <w:rPr>
                <w:rFonts w:ascii="Calibri" w:eastAsia="Times New Roman" w:hAnsi="Calibri"/>
                <w:lang w:eastAsia="cs-CZ"/>
              </w:rPr>
              <w:t>Dokončení předání dat před migrací a plnění datového archívu.</w:t>
            </w:r>
          </w:p>
        </w:tc>
        <w:tc>
          <w:tcPr>
            <w:tcW w:w="1275" w:type="dxa"/>
            <w:gridSpan w:val="2"/>
            <w:tcBorders>
              <w:top w:val="nil"/>
              <w:left w:val="nil"/>
              <w:bottom w:val="single" w:sz="4" w:space="0" w:color="auto"/>
              <w:right w:val="single" w:sz="4" w:space="0" w:color="auto"/>
            </w:tcBorders>
            <w:shd w:val="clear" w:color="auto" w:fill="auto"/>
            <w:noWrap/>
            <w:hideMark/>
          </w:tcPr>
          <w:p w14:paraId="35C65C0A" w14:textId="77777777" w:rsidR="00CB43C4" w:rsidRPr="003871B3" w:rsidRDefault="00CB43C4" w:rsidP="00AD76DA">
            <w:pPr>
              <w:spacing w:line="240" w:lineRule="auto"/>
              <w:jc w:val="right"/>
              <w:rPr>
                <w:rFonts w:ascii="Calibri" w:eastAsia="Times New Roman" w:hAnsi="Calibri"/>
                <w:color w:val="auto"/>
                <w:lang w:eastAsia="cs-CZ"/>
              </w:rPr>
            </w:pPr>
            <w:r w:rsidRPr="003871B3">
              <w:rPr>
                <w:rFonts w:ascii="Calibri" w:eastAsia="Times New Roman" w:hAnsi="Calibri"/>
                <w:color w:val="auto"/>
                <w:lang w:eastAsia="cs-CZ"/>
              </w:rPr>
              <w:t>01.05.2019</w:t>
            </w:r>
          </w:p>
        </w:tc>
        <w:tc>
          <w:tcPr>
            <w:tcW w:w="1276" w:type="dxa"/>
            <w:tcBorders>
              <w:top w:val="nil"/>
              <w:left w:val="nil"/>
              <w:bottom w:val="single" w:sz="4" w:space="0" w:color="auto"/>
              <w:right w:val="single" w:sz="4" w:space="0" w:color="auto"/>
            </w:tcBorders>
            <w:shd w:val="clear" w:color="auto" w:fill="auto"/>
            <w:noWrap/>
            <w:hideMark/>
          </w:tcPr>
          <w:p w14:paraId="15C5BDFB" w14:textId="77777777" w:rsidR="00CB43C4" w:rsidRPr="003871B3" w:rsidRDefault="00CB43C4" w:rsidP="00AD76DA">
            <w:pPr>
              <w:spacing w:line="240" w:lineRule="auto"/>
              <w:jc w:val="right"/>
              <w:rPr>
                <w:rFonts w:ascii="Calibri" w:eastAsia="Times New Roman" w:hAnsi="Calibri"/>
                <w:color w:val="auto"/>
                <w:lang w:eastAsia="cs-CZ"/>
              </w:rPr>
            </w:pPr>
            <w:r w:rsidRPr="003871B3">
              <w:rPr>
                <w:rFonts w:ascii="Calibri" w:eastAsia="Times New Roman" w:hAnsi="Calibri"/>
                <w:color w:val="auto"/>
                <w:lang w:eastAsia="cs-CZ"/>
              </w:rPr>
              <w:t>31.07.2019</w:t>
            </w:r>
          </w:p>
        </w:tc>
        <w:tc>
          <w:tcPr>
            <w:tcW w:w="1134" w:type="dxa"/>
            <w:gridSpan w:val="2"/>
            <w:tcBorders>
              <w:top w:val="nil"/>
              <w:left w:val="nil"/>
              <w:bottom w:val="single" w:sz="4" w:space="0" w:color="auto"/>
              <w:right w:val="single" w:sz="4" w:space="0" w:color="auto"/>
            </w:tcBorders>
            <w:shd w:val="clear" w:color="auto" w:fill="auto"/>
            <w:noWrap/>
          </w:tcPr>
          <w:p w14:paraId="5E16118F" w14:textId="7924D0D9" w:rsidR="00CB43C4" w:rsidRPr="003871B3" w:rsidRDefault="00721DD6" w:rsidP="00721DD6">
            <w:pPr>
              <w:spacing w:line="240" w:lineRule="auto"/>
              <w:jc w:val="right"/>
              <w:rPr>
                <w:rFonts w:ascii="Calibri" w:eastAsia="Times New Roman" w:hAnsi="Calibri"/>
                <w:color w:val="auto"/>
                <w:lang w:eastAsia="cs-CZ"/>
              </w:rPr>
            </w:pPr>
            <w:r w:rsidRPr="00721DD6">
              <w:rPr>
                <w:rFonts w:ascii="Calibri" w:eastAsia="Times New Roman" w:hAnsi="Calibri"/>
                <w:color w:val="auto"/>
                <w:lang w:eastAsia="cs-CZ"/>
              </w:rPr>
              <w:t>2 652 100</w:t>
            </w:r>
          </w:p>
        </w:tc>
        <w:tc>
          <w:tcPr>
            <w:tcW w:w="1179" w:type="dxa"/>
            <w:gridSpan w:val="2"/>
            <w:tcBorders>
              <w:top w:val="nil"/>
              <w:left w:val="nil"/>
              <w:bottom w:val="single" w:sz="4" w:space="0" w:color="auto"/>
              <w:right w:val="single" w:sz="8" w:space="0" w:color="auto"/>
            </w:tcBorders>
            <w:shd w:val="clear" w:color="auto" w:fill="auto"/>
            <w:noWrap/>
          </w:tcPr>
          <w:p w14:paraId="0FAC90D1" w14:textId="5DBB6529" w:rsidR="00CB43C4" w:rsidRPr="003871B3" w:rsidRDefault="00721DD6" w:rsidP="00AD76DA">
            <w:pPr>
              <w:spacing w:line="240" w:lineRule="auto"/>
              <w:jc w:val="right"/>
              <w:rPr>
                <w:rFonts w:ascii="Calibri" w:eastAsia="Times New Roman" w:hAnsi="Calibri"/>
                <w:color w:val="auto"/>
                <w:lang w:eastAsia="cs-CZ"/>
              </w:rPr>
            </w:pPr>
            <w:r w:rsidRPr="00721DD6">
              <w:rPr>
                <w:rFonts w:ascii="Calibri" w:eastAsia="Times New Roman" w:hAnsi="Calibri"/>
                <w:color w:val="auto"/>
                <w:lang w:eastAsia="cs-CZ"/>
              </w:rPr>
              <w:t>3 209 041</w:t>
            </w:r>
          </w:p>
        </w:tc>
      </w:tr>
    </w:tbl>
    <w:p w14:paraId="2876F1D9" w14:textId="64DA2F2E" w:rsidR="00AD76DA" w:rsidRPr="00C22A86" w:rsidRDefault="00AD76DA" w:rsidP="000273DE">
      <w:pPr>
        <w:pStyle w:val="GSOdstavec"/>
        <w:rPr>
          <w:rFonts w:eastAsia="Times New Roman" w:cs="Arial"/>
          <w:color w:val="000000"/>
          <w:szCs w:val="22"/>
          <w:lang w:eastAsia="cs-CZ"/>
        </w:rPr>
      </w:pPr>
      <w:r w:rsidRPr="00C22A86">
        <w:rPr>
          <w:rFonts w:eastAsia="Times New Roman" w:cs="Arial"/>
          <w:color w:val="000000"/>
          <w:szCs w:val="22"/>
          <w:lang w:eastAsia="cs-CZ"/>
        </w:rPr>
        <w:t>Konkrétní termín nasazení ISZAM není v době přípravy dodatku znám. Předpokládá se předání dat v tomto období.</w:t>
      </w:r>
    </w:p>
    <w:p w14:paraId="389D0E39" w14:textId="77777777" w:rsidR="00AD76DA" w:rsidRPr="003871B3" w:rsidRDefault="00AD76DA" w:rsidP="000273DE">
      <w:pPr>
        <w:pStyle w:val="GSOdstavec"/>
      </w:pPr>
    </w:p>
    <w:p w14:paraId="444D688B" w14:textId="75721823" w:rsidR="00C11B8D" w:rsidRPr="003871B3" w:rsidRDefault="00C11B8D" w:rsidP="00C11B8D">
      <w:pPr>
        <w:pStyle w:val="GSNadpis2"/>
        <w:rPr>
          <w:szCs w:val="22"/>
        </w:rPr>
      </w:pPr>
      <w:bookmarkStart w:id="54" w:name="_Toc522884712"/>
      <w:r w:rsidRPr="003871B3">
        <w:rPr>
          <w:szCs w:val="22"/>
        </w:rPr>
        <w:t xml:space="preserve">Aktivity v oblasti statistik původního agendového systému </w:t>
      </w:r>
      <w:r w:rsidR="00BA508F" w:rsidRPr="003871B3">
        <w:rPr>
          <w:szCs w:val="22"/>
        </w:rPr>
        <w:t>OKpráce</w:t>
      </w:r>
      <w:r w:rsidRPr="003871B3">
        <w:rPr>
          <w:szCs w:val="22"/>
        </w:rPr>
        <w:t xml:space="preserve">, </w:t>
      </w:r>
      <w:r w:rsidR="00BA508F" w:rsidRPr="003871B3">
        <w:rPr>
          <w:szCs w:val="22"/>
        </w:rPr>
        <w:t>OKnouze</w:t>
      </w:r>
      <w:r w:rsidRPr="003871B3">
        <w:rPr>
          <w:szCs w:val="22"/>
        </w:rPr>
        <w:t xml:space="preserve">, </w:t>
      </w:r>
      <w:r w:rsidR="00BA508F" w:rsidRPr="003871B3">
        <w:rPr>
          <w:szCs w:val="22"/>
        </w:rPr>
        <w:t>OKcentrum</w:t>
      </w:r>
      <w:r w:rsidRPr="003871B3">
        <w:rPr>
          <w:szCs w:val="22"/>
        </w:rPr>
        <w:t xml:space="preserve"> a součinnost při vytváření nových reportů v MIS MPSV</w:t>
      </w:r>
      <w:bookmarkEnd w:id="53"/>
      <w:bookmarkEnd w:id="54"/>
    </w:p>
    <w:tbl>
      <w:tblPr>
        <w:tblW w:w="10437" w:type="dxa"/>
        <w:tblCellMar>
          <w:left w:w="70" w:type="dxa"/>
          <w:right w:w="70" w:type="dxa"/>
        </w:tblCellMar>
        <w:tblLook w:val="04A0" w:firstRow="1" w:lastRow="0" w:firstColumn="1" w:lastColumn="0" w:noHBand="0" w:noVBand="1"/>
      </w:tblPr>
      <w:tblGrid>
        <w:gridCol w:w="254"/>
        <w:gridCol w:w="939"/>
        <w:gridCol w:w="1843"/>
        <w:gridCol w:w="1359"/>
        <w:gridCol w:w="1192"/>
        <w:gridCol w:w="12"/>
        <w:gridCol w:w="1264"/>
        <w:gridCol w:w="12"/>
        <w:gridCol w:w="1205"/>
        <w:gridCol w:w="1134"/>
        <w:gridCol w:w="1223"/>
      </w:tblGrid>
      <w:tr w:rsidR="00AD76DA" w:rsidRPr="003871B3" w14:paraId="0C7721F4" w14:textId="77777777" w:rsidTr="00DC7032">
        <w:trPr>
          <w:gridAfter w:val="3"/>
          <w:wAfter w:w="3562" w:type="dxa"/>
          <w:trHeight w:val="324"/>
        </w:trPr>
        <w:tc>
          <w:tcPr>
            <w:tcW w:w="6875" w:type="dxa"/>
            <w:gridSpan w:val="8"/>
            <w:tcBorders>
              <w:top w:val="nil"/>
              <w:left w:val="nil"/>
              <w:bottom w:val="nil"/>
              <w:right w:val="nil"/>
            </w:tcBorders>
            <w:shd w:val="clear" w:color="auto" w:fill="auto"/>
            <w:noWrap/>
            <w:hideMark/>
          </w:tcPr>
          <w:p w14:paraId="399B0E0F" w14:textId="1D758D9B" w:rsidR="00AD76DA" w:rsidRPr="003871B3" w:rsidRDefault="00AD76DA" w:rsidP="00AD76DA">
            <w:pPr>
              <w:spacing w:line="240" w:lineRule="auto"/>
              <w:rPr>
                <w:rFonts w:ascii="Calibri" w:eastAsia="Times New Roman" w:hAnsi="Calibri"/>
                <w:b/>
                <w:bCs/>
                <w:color w:val="000000"/>
                <w:lang w:eastAsia="cs-CZ"/>
              </w:rPr>
            </w:pPr>
          </w:p>
        </w:tc>
      </w:tr>
      <w:tr w:rsidR="00DC7032" w:rsidRPr="003871B3" w14:paraId="6BEDE676" w14:textId="77777777" w:rsidTr="00DC7032">
        <w:trPr>
          <w:gridAfter w:val="1"/>
          <w:wAfter w:w="1223" w:type="dxa"/>
          <w:trHeight w:val="324"/>
        </w:trPr>
        <w:tc>
          <w:tcPr>
            <w:tcW w:w="254" w:type="dxa"/>
            <w:tcBorders>
              <w:top w:val="single" w:sz="8" w:space="0" w:color="auto"/>
              <w:left w:val="single" w:sz="8" w:space="0" w:color="auto"/>
              <w:bottom w:val="single" w:sz="8" w:space="0" w:color="auto"/>
              <w:right w:val="single" w:sz="4" w:space="0" w:color="auto"/>
            </w:tcBorders>
            <w:shd w:val="clear" w:color="000000" w:fill="D9D9D9"/>
            <w:noWrap/>
            <w:hideMark/>
          </w:tcPr>
          <w:p w14:paraId="515E5293" w14:textId="77777777" w:rsidR="00CB43C4" w:rsidRPr="003871B3" w:rsidRDefault="00CB43C4" w:rsidP="00AD76DA">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 </w:t>
            </w:r>
          </w:p>
        </w:tc>
        <w:tc>
          <w:tcPr>
            <w:tcW w:w="939" w:type="dxa"/>
            <w:tcBorders>
              <w:top w:val="single" w:sz="8" w:space="0" w:color="auto"/>
              <w:left w:val="nil"/>
              <w:bottom w:val="single" w:sz="8" w:space="0" w:color="auto"/>
              <w:right w:val="single" w:sz="4" w:space="0" w:color="auto"/>
            </w:tcBorders>
            <w:shd w:val="clear" w:color="000000" w:fill="D9D9D9"/>
            <w:noWrap/>
            <w:hideMark/>
          </w:tcPr>
          <w:p w14:paraId="2A92AF70"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Milník</w:t>
            </w:r>
          </w:p>
        </w:tc>
        <w:tc>
          <w:tcPr>
            <w:tcW w:w="1843" w:type="dxa"/>
            <w:tcBorders>
              <w:top w:val="single" w:sz="8" w:space="0" w:color="auto"/>
              <w:left w:val="single" w:sz="4" w:space="0" w:color="auto"/>
              <w:bottom w:val="single" w:sz="8" w:space="0" w:color="auto"/>
              <w:right w:val="nil"/>
            </w:tcBorders>
            <w:shd w:val="clear" w:color="000000" w:fill="D9D9D9"/>
            <w:noWrap/>
            <w:hideMark/>
          </w:tcPr>
          <w:p w14:paraId="586133F4"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Oblast řešení</w:t>
            </w:r>
          </w:p>
        </w:tc>
        <w:tc>
          <w:tcPr>
            <w:tcW w:w="1359" w:type="dxa"/>
            <w:tcBorders>
              <w:top w:val="single" w:sz="8" w:space="0" w:color="auto"/>
              <w:left w:val="nil"/>
              <w:bottom w:val="single" w:sz="8" w:space="0" w:color="auto"/>
              <w:right w:val="single" w:sz="4" w:space="0" w:color="auto"/>
            </w:tcBorders>
            <w:shd w:val="clear" w:color="000000" w:fill="D9D9D9"/>
            <w:noWrap/>
            <w:hideMark/>
          </w:tcPr>
          <w:p w14:paraId="2412F06F"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 </w:t>
            </w:r>
          </w:p>
        </w:tc>
        <w:tc>
          <w:tcPr>
            <w:tcW w:w="1192" w:type="dxa"/>
            <w:tcBorders>
              <w:top w:val="single" w:sz="8" w:space="0" w:color="auto"/>
              <w:left w:val="nil"/>
              <w:bottom w:val="single" w:sz="8" w:space="0" w:color="auto"/>
              <w:right w:val="single" w:sz="4" w:space="0" w:color="auto"/>
            </w:tcBorders>
            <w:shd w:val="clear" w:color="000000" w:fill="D9D9D9"/>
            <w:noWrap/>
            <w:hideMark/>
          </w:tcPr>
          <w:p w14:paraId="059E8F2B" w14:textId="77777777" w:rsidR="00CB43C4" w:rsidRPr="003871B3" w:rsidRDefault="00CB43C4" w:rsidP="00AD76DA">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Začátek</w:t>
            </w:r>
          </w:p>
        </w:tc>
        <w:tc>
          <w:tcPr>
            <w:tcW w:w="1276" w:type="dxa"/>
            <w:gridSpan w:val="2"/>
            <w:tcBorders>
              <w:top w:val="single" w:sz="8" w:space="0" w:color="auto"/>
              <w:left w:val="nil"/>
              <w:bottom w:val="single" w:sz="8" w:space="0" w:color="auto"/>
              <w:right w:val="single" w:sz="4" w:space="0" w:color="auto"/>
            </w:tcBorders>
            <w:shd w:val="clear" w:color="000000" w:fill="D9D9D9"/>
            <w:noWrap/>
            <w:hideMark/>
          </w:tcPr>
          <w:p w14:paraId="2EE72AFB" w14:textId="77777777" w:rsidR="00CB43C4" w:rsidRPr="003871B3" w:rsidRDefault="00CB43C4" w:rsidP="00AD76DA">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Konec</w:t>
            </w:r>
          </w:p>
        </w:tc>
        <w:tc>
          <w:tcPr>
            <w:tcW w:w="1217" w:type="dxa"/>
            <w:gridSpan w:val="2"/>
            <w:tcBorders>
              <w:top w:val="single" w:sz="8" w:space="0" w:color="auto"/>
              <w:left w:val="nil"/>
              <w:bottom w:val="single" w:sz="8" w:space="0" w:color="auto"/>
              <w:right w:val="single" w:sz="4" w:space="0" w:color="auto"/>
            </w:tcBorders>
            <w:shd w:val="clear" w:color="000000" w:fill="D9D9D9"/>
            <w:noWrap/>
            <w:hideMark/>
          </w:tcPr>
          <w:p w14:paraId="7568A829" w14:textId="77777777" w:rsidR="00CB43C4" w:rsidRPr="003871B3" w:rsidRDefault="00CB43C4" w:rsidP="00AD76DA">
            <w:pPr>
              <w:spacing w:line="240" w:lineRule="auto"/>
              <w:jc w:val="right"/>
              <w:rPr>
                <w:rFonts w:ascii="Calibri" w:eastAsia="Times New Roman" w:hAnsi="Calibri"/>
                <w:b/>
                <w:bCs/>
                <w:color w:val="000000"/>
                <w:lang w:eastAsia="cs-CZ"/>
              </w:rPr>
            </w:pPr>
            <w:r w:rsidRPr="003871B3">
              <w:rPr>
                <w:rFonts w:ascii="Calibri" w:eastAsia="Times New Roman" w:hAnsi="Calibri"/>
                <w:b/>
                <w:bCs/>
                <w:color w:val="000000"/>
                <w:lang w:eastAsia="cs-CZ"/>
              </w:rPr>
              <w:t>Cena bez DPH</w:t>
            </w:r>
          </w:p>
        </w:tc>
        <w:tc>
          <w:tcPr>
            <w:tcW w:w="1134" w:type="dxa"/>
            <w:tcBorders>
              <w:top w:val="single" w:sz="8" w:space="0" w:color="auto"/>
              <w:left w:val="nil"/>
              <w:bottom w:val="single" w:sz="8" w:space="0" w:color="auto"/>
              <w:right w:val="single" w:sz="8" w:space="0" w:color="auto"/>
            </w:tcBorders>
            <w:shd w:val="clear" w:color="000000" w:fill="D9D9D9"/>
            <w:noWrap/>
            <w:hideMark/>
          </w:tcPr>
          <w:p w14:paraId="4B0829F3" w14:textId="77777777" w:rsidR="00CB43C4" w:rsidRPr="003871B3" w:rsidRDefault="00CB43C4" w:rsidP="00AD76DA">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Cena s DPH</w:t>
            </w:r>
          </w:p>
        </w:tc>
      </w:tr>
      <w:tr w:rsidR="00DC7032" w:rsidRPr="003871B3" w14:paraId="3F760583" w14:textId="77777777" w:rsidTr="00DC7032">
        <w:trPr>
          <w:gridAfter w:val="1"/>
          <w:wAfter w:w="1223" w:type="dxa"/>
          <w:trHeight w:val="312"/>
        </w:trPr>
        <w:tc>
          <w:tcPr>
            <w:tcW w:w="254" w:type="dxa"/>
            <w:tcBorders>
              <w:top w:val="single" w:sz="8" w:space="0" w:color="auto"/>
              <w:left w:val="single" w:sz="8" w:space="0" w:color="auto"/>
              <w:bottom w:val="single" w:sz="4" w:space="0" w:color="auto"/>
              <w:right w:val="single" w:sz="4" w:space="0" w:color="auto"/>
            </w:tcBorders>
            <w:shd w:val="clear" w:color="000000" w:fill="D9D9D9"/>
            <w:noWrap/>
            <w:hideMark/>
          </w:tcPr>
          <w:p w14:paraId="20AF29D1" w14:textId="77777777" w:rsidR="00CB43C4" w:rsidRPr="003871B3" w:rsidRDefault="00CB43C4" w:rsidP="00AD76DA">
            <w:pPr>
              <w:spacing w:line="240" w:lineRule="auto"/>
              <w:jc w:val="center"/>
              <w:rPr>
                <w:rFonts w:ascii="Calibri" w:eastAsia="Times New Roman" w:hAnsi="Calibri"/>
                <w:b/>
                <w:bCs/>
                <w:lang w:eastAsia="cs-CZ"/>
              </w:rPr>
            </w:pPr>
            <w:r w:rsidRPr="003871B3">
              <w:rPr>
                <w:rFonts w:ascii="Calibri" w:eastAsia="Times New Roman" w:hAnsi="Calibri"/>
                <w:b/>
                <w:bCs/>
                <w:lang w:eastAsia="cs-CZ"/>
              </w:rPr>
              <w:t>S</w:t>
            </w:r>
          </w:p>
        </w:tc>
        <w:tc>
          <w:tcPr>
            <w:tcW w:w="939" w:type="dxa"/>
            <w:tcBorders>
              <w:top w:val="single" w:sz="8" w:space="0" w:color="auto"/>
              <w:left w:val="nil"/>
              <w:bottom w:val="single" w:sz="4" w:space="0" w:color="auto"/>
              <w:right w:val="nil"/>
            </w:tcBorders>
            <w:shd w:val="clear" w:color="auto" w:fill="auto"/>
            <w:noWrap/>
            <w:hideMark/>
          </w:tcPr>
          <w:p w14:paraId="7AE3EE98" w14:textId="77777777" w:rsidR="00CB43C4" w:rsidRPr="003871B3" w:rsidRDefault="00CB43C4" w:rsidP="00AD76DA">
            <w:pPr>
              <w:spacing w:line="240" w:lineRule="auto"/>
              <w:rPr>
                <w:rFonts w:ascii="Calibri" w:eastAsia="Times New Roman" w:hAnsi="Calibri"/>
                <w:b/>
                <w:bCs/>
                <w:lang w:eastAsia="cs-CZ"/>
              </w:rPr>
            </w:pPr>
            <w:r w:rsidRPr="003871B3">
              <w:rPr>
                <w:rFonts w:ascii="Calibri" w:eastAsia="Times New Roman" w:hAnsi="Calibri"/>
                <w:b/>
                <w:bCs/>
                <w:lang w:eastAsia="cs-CZ"/>
              </w:rPr>
              <w:t>5.2.7.4</w:t>
            </w:r>
          </w:p>
        </w:tc>
        <w:tc>
          <w:tcPr>
            <w:tcW w:w="1843" w:type="dxa"/>
            <w:tcBorders>
              <w:top w:val="single" w:sz="8" w:space="0" w:color="auto"/>
              <w:left w:val="single" w:sz="4" w:space="0" w:color="auto"/>
              <w:bottom w:val="nil"/>
              <w:right w:val="single" w:sz="4" w:space="0" w:color="auto"/>
            </w:tcBorders>
            <w:shd w:val="clear" w:color="auto" w:fill="auto"/>
            <w:hideMark/>
          </w:tcPr>
          <w:p w14:paraId="15453BDA" w14:textId="77777777" w:rsidR="00CB43C4" w:rsidRPr="003871B3" w:rsidRDefault="00CB43C4" w:rsidP="00AD76DA">
            <w:pPr>
              <w:spacing w:line="240" w:lineRule="auto"/>
              <w:rPr>
                <w:rFonts w:ascii="Calibri" w:eastAsia="Times New Roman" w:hAnsi="Calibri"/>
                <w:lang w:eastAsia="cs-CZ"/>
              </w:rPr>
            </w:pPr>
            <w:r w:rsidRPr="003871B3">
              <w:rPr>
                <w:rFonts w:ascii="Calibri" w:eastAsia="Times New Roman" w:hAnsi="Calibri"/>
                <w:lang w:eastAsia="cs-CZ"/>
              </w:rPr>
              <w:t>Příprava statistických dat</w:t>
            </w:r>
          </w:p>
        </w:tc>
        <w:tc>
          <w:tcPr>
            <w:tcW w:w="1359" w:type="dxa"/>
            <w:tcBorders>
              <w:top w:val="single" w:sz="8" w:space="0" w:color="auto"/>
              <w:left w:val="nil"/>
              <w:bottom w:val="single" w:sz="4" w:space="0" w:color="auto"/>
              <w:right w:val="single" w:sz="8" w:space="0" w:color="auto"/>
            </w:tcBorders>
            <w:shd w:val="clear" w:color="auto" w:fill="auto"/>
            <w:noWrap/>
            <w:hideMark/>
          </w:tcPr>
          <w:p w14:paraId="1C15CCC6" w14:textId="77777777" w:rsidR="00CB43C4" w:rsidRPr="003871B3" w:rsidRDefault="00CB43C4" w:rsidP="00AD76DA">
            <w:pPr>
              <w:spacing w:line="240" w:lineRule="auto"/>
              <w:rPr>
                <w:rFonts w:ascii="Calibri" w:eastAsia="Times New Roman" w:hAnsi="Calibri"/>
                <w:lang w:eastAsia="cs-CZ"/>
              </w:rPr>
            </w:pPr>
            <w:r w:rsidRPr="003871B3">
              <w:rPr>
                <w:rFonts w:ascii="Calibri" w:eastAsia="Times New Roman" w:hAnsi="Calibri"/>
                <w:lang w:eastAsia="cs-CZ"/>
              </w:rPr>
              <w:t>Fáze 4</w:t>
            </w:r>
          </w:p>
        </w:tc>
        <w:tc>
          <w:tcPr>
            <w:tcW w:w="1192" w:type="dxa"/>
            <w:tcBorders>
              <w:top w:val="single" w:sz="8" w:space="0" w:color="auto"/>
              <w:left w:val="single" w:sz="8" w:space="0" w:color="auto"/>
              <w:bottom w:val="single" w:sz="4" w:space="0" w:color="auto"/>
              <w:right w:val="single" w:sz="4" w:space="0" w:color="auto"/>
            </w:tcBorders>
            <w:shd w:val="clear" w:color="auto" w:fill="auto"/>
            <w:hideMark/>
          </w:tcPr>
          <w:p w14:paraId="0B5D92B6" w14:textId="77777777" w:rsidR="00CB43C4" w:rsidRPr="003871B3" w:rsidRDefault="00CB43C4" w:rsidP="00AD76DA">
            <w:pPr>
              <w:spacing w:line="240" w:lineRule="auto"/>
              <w:jc w:val="center"/>
              <w:rPr>
                <w:rFonts w:ascii="Calibri" w:eastAsia="Times New Roman" w:hAnsi="Calibri"/>
                <w:color w:val="auto"/>
                <w:lang w:eastAsia="cs-CZ"/>
              </w:rPr>
            </w:pPr>
            <w:r w:rsidRPr="003871B3">
              <w:rPr>
                <w:rFonts w:ascii="Calibri" w:eastAsia="Times New Roman" w:hAnsi="Calibri"/>
                <w:color w:val="auto"/>
                <w:lang w:eastAsia="cs-CZ"/>
              </w:rPr>
              <w:t>T - 2 M</w:t>
            </w:r>
          </w:p>
        </w:tc>
        <w:tc>
          <w:tcPr>
            <w:tcW w:w="1276" w:type="dxa"/>
            <w:gridSpan w:val="2"/>
            <w:tcBorders>
              <w:top w:val="single" w:sz="8" w:space="0" w:color="auto"/>
              <w:left w:val="nil"/>
              <w:bottom w:val="single" w:sz="4" w:space="0" w:color="auto"/>
              <w:right w:val="single" w:sz="4" w:space="0" w:color="auto"/>
            </w:tcBorders>
            <w:shd w:val="clear" w:color="auto" w:fill="auto"/>
            <w:hideMark/>
          </w:tcPr>
          <w:p w14:paraId="1FD20E3C" w14:textId="77777777" w:rsidR="00CB43C4" w:rsidRPr="003871B3" w:rsidRDefault="00CB43C4" w:rsidP="00AD76DA">
            <w:pPr>
              <w:spacing w:line="240" w:lineRule="auto"/>
              <w:jc w:val="center"/>
              <w:rPr>
                <w:rFonts w:ascii="Calibri" w:eastAsia="Times New Roman" w:hAnsi="Calibri"/>
                <w:color w:val="auto"/>
                <w:lang w:eastAsia="cs-CZ"/>
              </w:rPr>
            </w:pPr>
            <w:r w:rsidRPr="003871B3">
              <w:rPr>
                <w:rFonts w:ascii="Calibri" w:eastAsia="Times New Roman" w:hAnsi="Calibri"/>
                <w:color w:val="auto"/>
                <w:lang w:eastAsia="cs-CZ"/>
              </w:rPr>
              <w:t>T*</w:t>
            </w:r>
          </w:p>
        </w:tc>
        <w:tc>
          <w:tcPr>
            <w:tcW w:w="1217" w:type="dxa"/>
            <w:gridSpan w:val="2"/>
            <w:tcBorders>
              <w:top w:val="single" w:sz="8" w:space="0" w:color="auto"/>
              <w:left w:val="nil"/>
              <w:bottom w:val="single" w:sz="4" w:space="0" w:color="auto"/>
              <w:right w:val="single" w:sz="4" w:space="0" w:color="auto"/>
            </w:tcBorders>
            <w:shd w:val="clear" w:color="auto" w:fill="auto"/>
            <w:noWrap/>
          </w:tcPr>
          <w:p w14:paraId="5878DD86" w14:textId="66BA8860" w:rsidR="00CB43C4" w:rsidRPr="003871B3" w:rsidRDefault="00721DD6" w:rsidP="00721DD6">
            <w:pPr>
              <w:spacing w:line="240" w:lineRule="auto"/>
              <w:jc w:val="right"/>
              <w:rPr>
                <w:rFonts w:ascii="Calibri" w:eastAsia="Times New Roman" w:hAnsi="Calibri"/>
                <w:color w:val="auto"/>
                <w:lang w:eastAsia="cs-CZ"/>
              </w:rPr>
            </w:pPr>
            <w:r w:rsidRPr="00721DD6">
              <w:rPr>
                <w:rFonts w:ascii="Calibri" w:eastAsia="Times New Roman" w:hAnsi="Calibri"/>
                <w:color w:val="auto"/>
                <w:lang w:eastAsia="cs-CZ"/>
              </w:rPr>
              <w:t>535 320</w:t>
            </w:r>
          </w:p>
        </w:tc>
        <w:tc>
          <w:tcPr>
            <w:tcW w:w="1134" w:type="dxa"/>
            <w:tcBorders>
              <w:top w:val="single" w:sz="8" w:space="0" w:color="auto"/>
              <w:left w:val="nil"/>
              <w:bottom w:val="single" w:sz="4" w:space="0" w:color="auto"/>
              <w:right w:val="single" w:sz="8" w:space="0" w:color="auto"/>
            </w:tcBorders>
            <w:shd w:val="clear" w:color="auto" w:fill="auto"/>
            <w:noWrap/>
          </w:tcPr>
          <w:p w14:paraId="2FD753B1" w14:textId="215F793B" w:rsidR="00CB43C4" w:rsidRPr="003871B3" w:rsidRDefault="00721DD6" w:rsidP="00AD76DA">
            <w:pPr>
              <w:spacing w:line="240" w:lineRule="auto"/>
              <w:jc w:val="right"/>
              <w:rPr>
                <w:rFonts w:ascii="Calibri" w:eastAsia="Times New Roman" w:hAnsi="Calibri"/>
                <w:color w:val="auto"/>
                <w:lang w:eastAsia="cs-CZ"/>
              </w:rPr>
            </w:pPr>
            <w:r w:rsidRPr="00721DD6">
              <w:rPr>
                <w:rFonts w:ascii="Calibri" w:eastAsia="Times New Roman" w:hAnsi="Calibri"/>
                <w:color w:val="auto"/>
                <w:lang w:eastAsia="cs-CZ"/>
              </w:rPr>
              <w:t>647 737</w:t>
            </w:r>
          </w:p>
        </w:tc>
      </w:tr>
      <w:tr w:rsidR="00DC7032" w:rsidRPr="003871B3" w14:paraId="495C99BD" w14:textId="77777777" w:rsidTr="00DC7032">
        <w:trPr>
          <w:gridAfter w:val="1"/>
          <w:wAfter w:w="1223" w:type="dxa"/>
          <w:trHeight w:val="324"/>
        </w:trPr>
        <w:tc>
          <w:tcPr>
            <w:tcW w:w="254" w:type="dxa"/>
            <w:tcBorders>
              <w:top w:val="nil"/>
              <w:left w:val="single" w:sz="8" w:space="0" w:color="auto"/>
              <w:bottom w:val="single" w:sz="8" w:space="0" w:color="auto"/>
              <w:right w:val="single" w:sz="4" w:space="0" w:color="auto"/>
            </w:tcBorders>
            <w:shd w:val="clear" w:color="000000" w:fill="D9D9D9"/>
            <w:noWrap/>
            <w:hideMark/>
          </w:tcPr>
          <w:p w14:paraId="2DBE57E5" w14:textId="77777777" w:rsidR="00721DD6" w:rsidRPr="003871B3" w:rsidRDefault="00721DD6" w:rsidP="00721DD6">
            <w:pPr>
              <w:spacing w:line="240" w:lineRule="auto"/>
              <w:jc w:val="center"/>
              <w:rPr>
                <w:rFonts w:ascii="Calibri" w:eastAsia="Times New Roman" w:hAnsi="Calibri"/>
                <w:b/>
                <w:bCs/>
                <w:lang w:eastAsia="cs-CZ"/>
              </w:rPr>
            </w:pPr>
            <w:r w:rsidRPr="003871B3">
              <w:rPr>
                <w:rFonts w:ascii="Calibri" w:eastAsia="Times New Roman" w:hAnsi="Calibri"/>
                <w:b/>
                <w:bCs/>
                <w:lang w:eastAsia="cs-CZ"/>
              </w:rPr>
              <w:t>S</w:t>
            </w:r>
          </w:p>
        </w:tc>
        <w:tc>
          <w:tcPr>
            <w:tcW w:w="939" w:type="dxa"/>
            <w:tcBorders>
              <w:top w:val="nil"/>
              <w:left w:val="nil"/>
              <w:bottom w:val="single" w:sz="8" w:space="0" w:color="auto"/>
              <w:right w:val="nil"/>
            </w:tcBorders>
            <w:shd w:val="clear" w:color="auto" w:fill="auto"/>
            <w:noWrap/>
            <w:hideMark/>
          </w:tcPr>
          <w:p w14:paraId="7A3EB5D8" w14:textId="77777777" w:rsidR="00721DD6" w:rsidRPr="003871B3" w:rsidRDefault="00721DD6" w:rsidP="00721DD6">
            <w:pPr>
              <w:spacing w:line="240" w:lineRule="auto"/>
              <w:rPr>
                <w:rFonts w:ascii="Calibri" w:eastAsia="Times New Roman" w:hAnsi="Calibri"/>
                <w:b/>
                <w:bCs/>
                <w:lang w:eastAsia="cs-CZ"/>
              </w:rPr>
            </w:pPr>
            <w:r w:rsidRPr="003871B3">
              <w:rPr>
                <w:rFonts w:ascii="Calibri" w:eastAsia="Times New Roman" w:hAnsi="Calibri"/>
                <w:b/>
                <w:bCs/>
                <w:lang w:eastAsia="cs-CZ"/>
              </w:rPr>
              <w:t>5.2.7.5</w:t>
            </w:r>
          </w:p>
        </w:tc>
        <w:tc>
          <w:tcPr>
            <w:tcW w:w="1843" w:type="dxa"/>
            <w:tcBorders>
              <w:top w:val="nil"/>
              <w:left w:val="single" w:sz="4" w:space="0" w:color="auto"/>
              <w:bottom w:val="single" w:sz="8" w:space="0" w:color="auto"/>
              <w:right w:val="single" w:sz="4" w:space="0" w:color="auto"/>
            </w:tcBorders>
            <w:shd w:val="clear" w:color="auto" w:fill="auto"/>
            <w:hideMark/>
          </w:tcPr>
          <w:p w14:paraId="52D30E83" w14:textId="77777777" w:rsidR="00721DD6" w:rsidRPr="003871B3" w:rsidRDefault="00721DD6" w:rsidP="00721DD6">
            <w:pPr>
              <w:spacing w:line="240" w:lineRule="auto"/>
              <w:rPr>
                <w:rFonts w:ascii="Calibri" w:eastAsia="Times New Roman" w:hAnsi="Calibri"/>
                <w:lang w:eastAsia="cs-CZ"/>
              </w:rPr>
            </w:pPr>
            <w:r w:rsidRPr="003871B3">
              <w:rPr>
                <w:rFonts w:ascii="Calibri" w:eastAsia="Times New Roman" w:hAnsi="Calibri"/>
                <w:lang w:eastAsia="cs-CZ"/>
              </w:rPr>
              <w:t> </w:t>
            </w:r>
          </w:p>
        </w:tc>
        <w:tc>
          <w:tcPr>
            <w:tcW w:w="1359" w:type="dxa"/>
            <w:tcBorders>
              <w:top w:val="nil"/>
              <w:left w:val="nil"/>
              <w:bottom w:val="single" w:sz="8" w:space="0" w:color="auto"/>
              <w:right w:val="single" w:sz="8" w:space="0" w:color="auto"/>
            </w:tcBorders>
            <w:shd w:val="clear" w:color="auto" w:fill="auto"/>
            <w:noWrap/>
            <w:hideMark/>
          </w:tcPr>
          <w:p w14:paraId="05E098ED" w14:textId="77777777" w:rsidR="00721DD6" w:rsidRPr="003871B3" w:rsidRDefault="00721DD6" w:rsidP="00721DD6">
            <w:pPr>
              <w:spacing w:line="240" w:lineRule="auto"/>
              <w:rPr>
                <w:rFonts w:ascii="Calibri" w:eastAsia="Times New Roman" w:hAnsi="Calibri"/>
                <w:lang w:eastAsia="cs-CZ"/>
              </w:rPr>
            </w:pPr>
            <w:r w:rsidRPr="003871B3">
              <w:rPr>
                <w:rFonts w:ascii="Calibri" w:eastAsia="Times New Roman" w:hAnsi="Calibri"/>
                <w:lang w:eastAsia="cs-CZ"/>
              </w:rPr>
              <w:t>Dokončení</w:t>
            </w:r>
          </w:p>
        </w:tc>
        <w:tc>
          <w:tcPr>
            <w:tcW w:w="1192" w:type="dxa"/>
            <w:tcBorders>
              <w:top w:val="nil"/>
              <w:left w:val="single" w:sz="8" w:space="0" w:color="auto"/>
              <w:bottom w:val="single" w:sz="8" w:space="0" w:color="auto"/>
              <w:right w:val="single" w:sz="4" w:space="0" w:color="auto"/>
            </w:tcBorders>
            <w:shd w:val="clear" w:color="auto" w:fill="auto"/>
            <w:hideMark/>
          </w:tcPr>
          <w:p w14:paraId="14576DB4" w14:textId="77777777" w:rsidR="00721DD6" w:rsidRPr="003871B3" w:rsidRDefault="00721DD6" w:rsidP="00721DD6">
            <w:pPr>
              <w:spacing w:line="240" w:lineRule="auto"/>
              <w:jc w:val="center"/>
              <w:rPr>
                <w:rFonts w:ascii="Calibri" w:eastAsia="Times New Roman" w:hAnsi="Calibri"/>
                <w:color w:val="auto"/>
                <w:lang w:eastAsia="cs-CZ"/>
              </w:rPr>
            </w:pPr>
            <w:r w:rsidRPr="003871B3">
              <w:rPr>
                <w:rFonts w:ascii="Calibri" w:eastAsia="Times New Roman" w:hAnsi="Calibri"/>
                <w:color w:val="auto"/>
                <w:lang w:eastAsia="cs-CZ"/>
              </w:rPr>
              <w:t>T*</w:t>
            </w:r>
          </w:p>
        </w:tc>
        <w:tc>
          <w:tcPr>
            <w:tcW w:w="1276" w:type="dxa"/>
            <w:gridSpan w:val="2"/>
            <w:tcBorders>
              <w:top w:val="nil"/>
              <w:left w:val="nil"/>
              <w:bottom w:val="single" w:sz="8" w:space="0" w:color="auto"/>
              <w:right w:val="single" w:sz="4" w:space="0" w:color="auto"/>
            </w:tcBorders>
            <w:shd w:val="clear" w:color="auto" w:fill="auto"/>
            <w:hideMark/>
          </w:tcPr>
          <w:p w14:paraId="79184F4E" w14:textId="77777777" w:rsidR="00721DD6" w:rsidRPr="003871B3" w:rsidRDefault="00721DD6" w:rsidP="00721DD6">
            <w:pPr>
              <w:spacing w:line="240" w:lineRule="auto"/>
              <w:jc w:val="center"/>
              <w:rPr>
                <w:rFonts w:ascii="Calibri" w:eastAsia="Times New Roman" w:hAnsi="Calibri"/>
                <w:color w:val="auto"/>
                <w:lang w:eastAsia="cs-CZ"/>
              </w:rPr>
            </w:pPr>
            <w:r w:rsidRPr="003871B3">
              <w:rPr>
                <w:rFonts w:ascii="Calibri" w:eastAsia="Times New Roman" w:hAnsi="Calibri"/>
                <w:color w:val="auto"/>
                <w:lang w:eastAsia="cs-CZ"/>
              </w:rPr>
              <w:t>T + 1 M</w:t>
            </w:r>
          </w:p>
        </w:tc>
        <w:tc>
          <w:tcPr>
            <w:tcW w:w="1217" w:type="dxa"/>
            <w:gridSpan w:val="2"/>
            <w:tcBorders>
              <w:top w:val="nil"/>
              <w:left w:val="nil"/>
              <w:bottom w:val="single" w:sz="8" w:space="0" w:color="auto"/>
              <w:right w:val="single" w:sz="4" w:space="0" w:color="auto"/>
            </w:tcBorders>
            <w:shd w:val="clear" w:color="auto" w:fill="auto"/>
            <w:noWrap/>
          </w:tcPr>
          <w:p w14:paraId="34A75707" w14:textId="235F8AF1" w:rsidR="00721DD6" w:rsidRPr="003871B3" w:rsidRDefault="00721DD6" w:rsidP="00721DD6">
            <w:pPr>
              <w:spacing w:line="240" w:lineRule="auto"/>
              <w:jc w:val="right"/>
              <w:rPr>
                <w:rFonts w:ascii="Calibri" w:eastAsia="Times New Roman" w:hAnsi="Calibri"/>
                <w:color w:val="auto"/>
                <w:lang w:eastAsia="cs-CZ"/>
              </w:rPr>
            </w:pPr>
            <w:r w:rsidRPr="00721DD6">
              <w:rPr>
                <w:rFonts w:ascii="Calibri" w:eastAsia="Times New Roman" w:hAnsi="Calibri"/>
                <w:color w:val="auto"/>
                <w:lang w:eastAsia="cs-CZ"/>
              </w:rPr>
              <w:t>535 320</w:t>
            </w:r>
          </w:p>
        </w:tc>
        <w:tc>
          <w:tcPr>
            <w:tcW w:w="1134" w:type="dxa"/>
            <w:tcBorders>
              <w:top w:val="nil"/>
              <w:left w:val="nil"/>
              <w:bottom w:val="single" w:sz="8" w:space="0" w:color="auto"/>
              <w:right w:val="single" w:sz="8" w:space="0" w:color="auto"/>
            </w:tcBorders>
            <w:shd w:val="clear" w:color="auto" w:fill="auto"/>
            <w:noWrap/>
          </w:tcPr>
          <w:p w14:paraId="12C26C68" w14:textId="0F0C5385" w:rsidR="00721DD6" w:rsidRPr="003871B3" w:rsidRDefault="00721DD6" w:rsidP="00721DD6">
            <w:pPr>
              <w:spacing w:line="240" w:lineRule="auto"/>
              <w:jc w:val="right"/>
              <w:rPr>
                <w:rFonts w:ascii="Calibri" w:eastAsia="Times New Roman" w:hAnsi="Calibri"/>
                <w:color w:val="auto"/>
                <w:lang w:eastAsia="cs-CZ"/>
              </w:rPr>
            </w:pPr>
            <w:r w:rsidRPr="00721DD6">
              <w:rPr>
                <w:rFonts w:ascii="Calibri" w:eastAsia="Times New Roman" w:hAnsi="Calibri"/>
                <w:color w:val="auto"/>
                <w:lang w:eastAsia="cs-CZ"/>
              </w:rPr>
              <w:t>647 737</w:t>
            </w:r>
          </w:p>
        </w:tc>
      </w:tr>
      <w:tr w:rsidR="00721DD6" w:rsidRPr="003871B3" w14:paraId="24B3B6B9" w14:textId="77777777" w:rsidTr="00DC7032">
        <w:trPr>
          <w:trHeight w:val="324"/>
        </w:trPr>
        <w:tc>
          <w:tcPr>
            <w:tcW w:w="4395"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0082CE64" w14:textId="77777777" w:rsidR="00721DD6" w:rsidRPr="003871B3" w:rsidRDefault="00721DD6" w:rsidP="00721DD6">
            <w:pPr>
              <w:spacing w:line="240" w:lineRule="auto"/>
              <w:rPr>
                <w:rFonts w:ascii="Calibri" w:eastAsia="Times New Roman" w:hAnsi="Calibri"/>
                <w:color w:val="000000"/>
                <w:lang w:eastAsia="cs-CZ"/>
              </w:rPr>
            </w:pPr>
            <w:r w:rsidRPr="003871B3">
              <w:rPr>
                <w:rFonts w:ascii="Calibri" w:eastAsia="Times New Roman" w:hAnsi="Calibri"/>
                <w:color w:val="000000"/>
                <w:lang w:eastAsia="cs-CZ"/>
              </w:rPr>
              <w:t>* kde T je "termín spuštění produktivního režimu IS ZAM"</w:t>
            </w:r>
          </w:p>
        </w:tc>
        <w:tc>
          <w:tcPr>
            <w:tcW w:w="1204" w:type="dxa"/>
            <w:gridSpan w:val="2"/>
            <w:tcBorders>
              <w:top w:val="single" w:sz="8" w:space="0" w:color="auto"/>
              <w:left w:val="single" w:sz="8" w:space="0" w:color="auto"/>
              <w:bottom w:val="single" w:sz="8" w:space="0" w:color="auto"/>
              <w:right w:val="nil"/>
            </w:tcBorders>
            <w:shd w:val="clear" w:color="auto" w:fill="auto"/>
            <w:noWrap/>
            <w:vAlign w:val="bottom"/>
            <w:hideMark/>
          </w:tcPr>
          <w:p w14:paraId="353486EE" w14:textId="77777777" w:rsidR="00721DD6" w:rsidRPr="003871B3" w:rsidRDefault="00721DD6" w:rsidP="00721DD6">
            <w:pPr>
              <w:spacing w:line="240" w:lineRule="auto"/>
              <w:rPr>
                <w:rFonts w:ascii="Calibri" w:eastAsia="Times New Roman" w:hAnsi="Calibri"/>
                <w:color w:val="000000"/>
                <w:lang w:eastAsia="cs-CZ"/>
              </w:rPr>
            </w:pPr>
            <w:r w:rsidRPr="003871B3">
              <w:rPr>
                <w:rFonts w:ascii="Calibri" w:eastAsia="Times New Roman" w:hAnsi="Calibri"/>
                <w:color w:val="000000"/>
                <w:lang w:eastAsia="cs-CZ"/>
              </w:rPr>
              <w:t> </w:t>
            </w:r>
          </w:p>
        </w:tc>
        <w:tc>
          <w:tcPr>
            <w:tcW w:w="1276" w:type="dxa"/>
            <w:gridSpan w:val="2"/>
            <w:tcBorders>
              <w:top w:val="single" w:sz="8" w:space="0" w:color="auto"/>
              <w:left w:val="nil"/>
              <w:bottom w:val="single" w:sz="8" w:space="0" w:color="auto"/>
              <w:right w:val="nil"/>
            </w:tcBorders>
            <w:shd w:val="clear" w:color="auto" w:fill="auto"/>
            <w:noWrap/>
            <w:vAlign w:val="bottom"/>
            <w:hideMark/>
          </w:tcPr>
          <w:p w14:paraId="3B291F92" w14:textId="77777777" w:rsidR="00721DD6" w:rsidRPr="003871B3" w:rsidRDefault="00721DD6" w:rsidP="00721DD6">
            <w:pPr>
              <w:spacing w:line="240" w:lineRule="auto"/>
              <w:rPr>
                <w:rFonts w:ascii="Calibri" w:eastAsia="Times New Roman" w:hAnsi="Calibri"/>
                <w:color w:val="000000"/>
                <w:lang w:eastAsia="cs-CZ"/>
              </w:rPr>
            </w:pPr>
            <w:r w:rsidRPr="003871B3">
              <w:rPr>
                <w:rFonts w:ascii="Calibri" w:eastAsia="Times New Roman" w:hAnsi="Calibri"/>
                <w:color w:val="000000"/>
                <w:lang w:eastAsia="cs-CZ"/>
              </w:rPr>
              <w:t> </w:t>
            </w:r>
          </w:p>
        </w:tc>
        <w:tc>
          <w:tcPr>
            <w:tcW w:w="1205" w:type="dxa"/>
            <w:tcBorders>
              <w:top w:val="single" w:sz="8" w:space="0" w:color="auto"/>
              <w:left w:val="nil"/>
              <w:bottom w:val="single" w:sz="8" w:space="0" w:color="auto"/>
              <w:right w:val="nil"/>
            </w:tcBorders>
            <w:shd w:val="clear" w:color="auto" w:fill="auto"/>
            <w:noWrap/>
            <w:vAlign w:val="bottom"/>
            <w:hideMark/>
          </w:tcPr>
          <w:p w14:paraId="33ACF17B" w14:textId="77777777" w:rsidR="00721DD6" w:rsidRPr="003871B3" w:rsidRDefault="00721DD6" w:rsidP="00721DD6">
            <w:pPr>
              <w:spacing w:line="240" w:lineRule="auto"/>
              <w:jc w:val="right"/>
              <w:rPr>
                <w:rFonts w:ascii="Calibri" w:eastAsia="Times New Roman" w:hAnsi="Calibri"/>
                <w:color w:val="000000"/>
                <w:lang w:eastAsia="cs-CZ"/>
              </w:rPr>
            </w:pPr>
            <w:r w:rsidRPr="003871B3">
              <w:rPr>
                <w:rFonts w:ascii="Calibri" w:eastAsia="Times New Roman" w:hAnsi="Calibri"/>
                <w:color w:val="000000"/>
                <w:lang w:eastAsia="cs-CZ"/>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CB8B7C8" w14:textId="77777777" w:rsidR="00721DD6" w:rsidRPr="003871B3" w:rsidRDefault="00721DD6" w:rsidP="00721DD6">
            <w:pPr>
              <w:spacing w:line="240" w:lineRule="auto"/>
              <w:rPr>
                <w:rFonts w:ascii="Calibri" w:eastAsia="Times New Roman" w:hAnsi="Calibri"/>
                <w:color w:val="000000"/>
                <w:lang w:eastAsia="cs-CZ"/>
              </w:rPr>
            </w:pPr>
            <w:r w:rsidRPr="003871B3">
              <w:rPr>
                <w:rFonts w:ascii="Calibri" w:eastAsia="Times New Roman" w:hAnsi="Calibri"/>
                <w:color w:val="000000"/>
                <w:lang w:eastAsia="cs-CZ"/>
              </w:rPr>
              <w:t> </w:t>
            </w:r>
          </w:p>
        </w:tc>
        <w:tc>
          <w:tcPr>
            <w:tcW w:w="1223" w:type="dxa"/>
            <w:vAlign w:val="center"/>
            <w:hideMark/>
          </w:tcPr>
          <w:p w14:paraId="325FEA7E" w14:textId="77777777" w:rsidR="00721DD6" w:rsidRPr="003871B3" w:rsidRDefault="00721DD6" w:rsidP="00721DD6">
            <w:pPr>
              <w:spacing w:line="240" w:lineRule="auto"/>
              <w:rPr>
                <w:rFonts w:ascii="Times New Roman" w:eastAsia="Times New Roman" w:hAnsi="Times New Roman"/>
                <w:color w:val="auto"/>
                <w:sz w:val="20"/>
                <w:szCs w:val="20"/>
                <w:lang w:eastAsia="cs-CZ"/>
              </w:rPr>
            </w:pPr>
          </w:p>
        </w:tc>
      </w:tr>
    </w:tbl>
    <w:p w14:paraId="68F43F86" w14:textId="1568C4D8" w:rsidR="00AD76DA" w:rsidRPr="003871B3" w:rsidRDefault="00AD76DA" w:rsidP="00DE7839">
      <w:pPr>
        <w:pStyle w:val="GSOdstavec"/>
      </w:pPr>
    </w:p>
    <w:p w14:paraId="760A7979" w14:textId="4B71D523" w:rsidR="00C11B8D" w:rsidRPr="003871B3" w:rsidRDefault="00C11B8D" w:rsidP="00CA34D4">
      <w:pPr>
        <w:pStyle w:val="GSNadpis2"/>
        <w:rPr>
          <w:szCs w:val="22"/>
        </w:rPr>
      </w:pPr>
      <w:bookmarkStart w:id="55" w:name="_Toc522884713"/>
      <w:bookmarkStart w:id="56" w:name="_Toc468444797"/>
      <w:r w:rsidRPr="003871B3">
        <w:rPr>
          <w:szCs w:val="22"/>
        </w:rPr>
        <w:t>Provedení archivace dat IS Dusil, JVM a Ginis</w:t>
      </w:r>
      <w:bookmarkEnd w:id="55"/>
    </w:p>
    <w:tbl>
      <w:tblPr>
        <w:tblW w:w="9211" w:type="dxa"/>
        <w:tblCellMar>
          <w:left w:w="70" w:type="dxa"/>
          <w:right w:w="70" w:type="dxa"/>
        </w:tblCellMar>
        <w:tblLook w:val="04A0" w:firstRow="1" w:lastRow="0" w:firstColumn="1" w:lastColumn="0" w:noHBand="0" w:noVBand="1"/>
      </w:tblPr>
      <w:tblGrid>
        <w:gridCol w:w="307"/>
        <w:gridCol w:w="1012"/>
        <w:gridCol w:w="3086"/>
        <w:gridCol w:w="1022"/>
        <w:gridCol w:w="253"/>
        <w:gridCol w:w="912"/>
        <w:gridCol w:w="364"/>
        <w:gridCol w:w="1121"/>
        <w:gridCol w:w="1134"/>
      </w:tblGrid>
      <w:tr w:rsidR="00CB43C4" w:rsidRPr="003871B3" w14:paraId="57741095" w14:textId="77777777" w:rsidTr="00001C48">
        <w:trPr>
          <w:gridAfter w:val="2"/>
          <w:wAfter w:w="2255" w:type="dxa"/>
          <w:trHeight w:val="324"/>
        </w:trPr>
        <w:tc>
          <w:tcPr>
            <w:tcW w:w="5427" w:type="dxa"/>
            <w:gridSpan w:val="4"/>
            <w:tcBorders>
              <w:top w:val="nil"/>
              <w:left w:val="nil"/>
              <w:bottom w:val="nil"/>
              <w:right w:val="nil"/>
            </w:tcBorders>
            <w:shd w:val="clear" w:color="auto" w:fill="auto"/>
            <w:noWrap/>
          </w:tcPr>
          <w:p w14:paraId="296BA86C" w14:textId="023B7D61" w:rsidR="00CB43C4" w:rsidRPr="003871B3" w:rsidRDefault="00CB43C4" w:rsidP="00DC7032">
            <w:pPr>
              <w:keepNext/>
              <w:keepLines/>
              <w:spacing w:line="240" w:lineRule="auto"/>
              <w:rPr>
                <w:rFonts w:ascii="Calibri" w:eastAsia="Times New Roman" w:hAnsi="Calibri"/>
                <w:b/>
                <w:bCs/>
                <w:color w:val="000000"/>
                <w:lang w:eastAsia="cs-CZ"/>
              </w:rPr>
            </w:pPr>
            <w:bookmarkStart w:id="57" w:name="_Toc521948659"/>
            <w:bookmarkStart w:id="58" w:name="_Toc521948940"/>
            <w:bookmarkEnd w:id="57"/>
            <w:bookmarkEnd w:id="58"/>
          </w:p>
        </w:tc>
        <w:tc>
          <w:tcPr>
            <w:tcW w:w="1165" w:type="dxa"/>
            <w:gridSpan w:val="2"/>
            <w:tcBorders>
              <w:top w:val="nil"/>
              <w:left w:val="nil"/>
              <w:bottom w:val="nil"/>
              <w:right w:val="nil"/>
            </w:tcBorders>
            <w:shd w:val="clear" w:color="auto" w:fill="auto"/>
            <w:noWrap/>
            <w:vAlign w:val="bottom"/>
            <w:hideMark/>
          </w:tcPr>
          <w:p w14:paraId="22290ADB" w14:textId="77777777" w:rsidR="00CB43C4" w:rsidRPr="003871B3" w:rsidRDefault="00CB43C4" w:rsidP="00DC7032">
            <w:pPr>
              <w:keepNext/>
              <w:keepLines/>
              <w:spacing w:line="240" w:lineRule="auto"/>
              <w:rPr>
                <w:rFonts w:ascii="Calibri" w:eastAsia="Times New Roman" w:hAnsi="Calibri"/>
                <w:b/>
                <w:bCs/>
                <w:color w:val="000000"/>
                <w:lang w:eastAsia="cs-CZ"/>
              </w:rPr>
            </w:pPr>
          </w:p>
        </w:tc>
        <w:tc>
          <w:tcPr>
            <w:tcW w:w="364" w:type="dxa"/>
            <w:tcBorders>
              <w:top w:val="nil"/>
              <w:left w:val="nil"/>
              <w:bottom w:val="nil"/>
              <w:right w:val="nil"/>
            </w:tcBorders>
            <w:shd w:val="clear" w:color="auto" w:fill="auto"/>
            <w:noWrap/>
            <w:vAlign w:val="bottom"/>
            <w:hideMark/>
          </w:tcPr>
          <w:p w14:paraId="1B924250" w14:textId="77777777" w:rsidR="00CB43C4" w:rsidRPr="003871B3" w:rsidRDefault="00CB43C4" w:rsidP="00DC7032">
            <w:pPr>
              <w:keepNext/>
              <w:keepLines/>
              <w:spacing w:line="240" w:lineRule="auto"/>
              <w:rPr>
                <w:rFonts w:ascii="Times New Roman" w:eastAsia="Times New Roman" w:hAnsi="Times New Roman"/>
                <w:color w:val="auto"/>
                <w:sz w:val="20"/>
                <w:szCs w:val="20"/>
                <w:lang w:eastAsia="cs-CZ"/>
              </w:rPr>
            </w:pPr>
          </w:p>
        </w:tc>
      </w:tr>
      <w:tr w:rsidR="0041717F" w:rsidRPr="003871B3" w14:paraId="6F6289A7" w14:textId="77777777" w:rsidTr="00001C48">
        <w:trPr>
          <w:trHeight w:val="324"/>
        </w:trPr>
        <w:tc>
          <w:tcPr>
            <w:tcW w:w="307" w:type="dxa"/>
            <w:tcBorders>
              <w:top w:val="single" w:sz="8" w:space="0" w:color="auto"/>
              <w:left w:val="single" w:sz="8" w:space="0" w:color="auto"/>
              <w:bottom w:val="nil"/>
              <w:right w:val="single" w:sz="4" w:space="0" w:color="auto"/>
            </w:tcBorders>
            <w:shd w:val="clear" w:color="000000" w:fill="D9D9D9"/>
            <w:noWrap/>
            <w:hideMark/>
          </w:tcPr>
          <w:p w14:paraId="1AAD065D" w14:textId="77777777" w:rsidR="00571246" w:rsidRPr="003871B3" w:rsidRDefault="00571246" w:rsidP="00DC7032">
            <w:pPr>
              <w:keepNext/>
              <w:keepLines/>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 </w:t>
            </w:r>
          </w:p>
        </w:tc>
        <w:tc>
          <w:tcPr>
            <w:tcW w:w="1012" w:type="dxa"/>
            <w:tcBorders>
              <w:top w:val="single" w:sz="8" w:space="0" w:color="auto"/>
              <w:left w:val="nil"/>
              <w:bottom w:val="nil"/>
              <w:right w:val="single" w:sz="4" w:space="0" w:color="auto"/>
            </w:tcBorders>
            <w:shd w:val="clear" w:color="000000" w:fill="D9D9D9"/>
            <w:noWrap/>
            <w:hideMark/>
          </w:tcPr>
          <w:p w14:paraId="7AD9D647" w14:textId="77777777" w:rsidR="00571246" w:rsidRPr="003871B3" w:rsidRDefault="00571246" w:rsidP="00DC7032">
            <w:pPr>
              <w:keepNext/>
              <w:keepLines/>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Milník</w:t>
            </w:r>
          </w:p>
        </w:tc>
        <w:tc>
          <w:tcPr>
            <w:tcW w:w="3086" w:type="dxa"/>
            <w:tcBorders>
              <w:top w:val="single" w:sz="4" w:space="0" w:color="auto"/>
              <w:left w:val="nil"/>
              <w:bottom w:val="single" w:sz="4" w:space="0" w:color="auto"/>
              <w:right w:val="single" w:sz="4" w:space="0" w:color="auto"/>
            </w:tcBorders>
            <w:shd w:val="clear" w:color="000000" w:fill="D9D9D9"/>
            <w:noWrap/>
            <w:hideMark/>
          </w:tcPr>
          <w:p w14:paraId="11FE605A" w14:textId="77777777" w:rsidR="00571246" w:rsidRPr="003871B3" w:rsidRDefault="00571246" w:rsidP="00DC7032">
            <w:pPr>
              <w:keepNext/>
              <w:keepLines/>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Oblast řešení</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31F875D" w14:textId="77777777" w:rsidR="00571246" w:rsidRPr="003871B3" w:rsidRDefault="00571246" w:rsidP="00DC7032">
            <w:pPr>
              <w:keepNext/>
              <w:keepLines/>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Začátek</w:t>
            </w:r>
          </w:p>
        </w:tc>
        <w:tc>
          <w:tcPr>
            <w:tcW w:w="1276" w:type="dxa"/>
            <w:gridSpan w:val="2"/>
            <w:tcBorders>
              <w:top w:val="single" w:sz="4" w:space="0" w:color="auto"/>
              <w:left w:val="nil"/>
              <w:bottom w:val="single" w:sz="4" w:space="0" w:color="auto"/>
              <w:right w:val="single" w:sz="4" w:space="0" w:color="auto"/>
            </w:tcBorders>
            <w:shd w:val="clear" w:color="000000" w:fill="D9D9D9"/>
            <w:noWrap/>
            <w:hideMark/>
          </w:tcPr>
          <w:p w14:paraId="4B98E303" w14:textId="77777777" w:rsidR="00571246" w:rsidRPr="003871B3" w:rsidRDefault="00571246" w:rsidP="00DC7032">
            <w:pPr>
              <w:keepNext/>
              <w:keepLines/>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Konec</w:t>
            </w:r>
          </w:p>
        </w:tc>
        <w:tc>
          <w:tcPr>
            <w:tcW w:w="1121" w:type="dxa"/>
            <w:tcBorders>
              <w:top w:val="single" w:sz="4" w:space="0" w:color="auto"/>
              <w:left w:val="nil"/>
              <w:bottom w:val="single" w:sz="4" w:space="0" w:color="auto"/>
              <w:right w:val="single" w:sz="4" w:space="0" w:color="auto"/>
            </w:tcBorders>
            <w:shd w:val="clear" w:color="000000" w:fill="D9D9D9"/>
            <w:noWrap/>
            <w:hideMark/>
          </w:tcPr>
          <w:p w14:paraId="4349B6F7" w14:textId="77777777" w:rsidR="00571246" w:rsidRPr="003871B3" w:rsidRDefault="00571246" w:rsidP="00DC7032">
            <w:pPr>
              <w:keepNext/>
              <w:keepLines/>
              <w:spacing w:line="240" w:lineRule="auto"/>
              <w:jc w:val="right"/>
              <w:rPr>
                <w:rFonts w:ascii="Calibri" w:eastAsia="Times New Roman" w:hAnsi="Calibri"/>
                <w:b/>
                <w:bCs/>
                <w:color w:val="000000"/>
                <w:lang w:eastAsia="cs-CZ"/>
              </w:rPr>
            </w:pPr>
            <w:r w:rsidRPr="003871B3">
              <w:rPr>
                <w:rFonts w:ascii="Calibri" w:eastAsia="Times New Roman" w:hAnsi="Calibri"/>
                <w:b/>
                <w:bCs/>
                <w:color w:val="000000"/>
                <w:lang w:eastAsia="cs-CZ"/>
              </w:rPr>
              <w:t>Cena bez DPH</w:t>
            </w:r>
          </w:p>
        </w:tc>
        <w:tc>
          <w:tcPr>
            <w:tcW w:w="1134" w:type="dxa"/>
            <w:tcBorders>
              <w:top w:val="single" w:sz="4" w:space="0" w:color="auto"/>
              <w:left w:val="nil"/>
              <w:bottom w:val="single" w:sz="4" w:space="0" w:color="auto"/>
              <w:right w:val="single" w:sz="4" w:space="0" w:color="auto"/>
            </w:tcBorders>
            <w:shd w:val="clear" w:color="000000" w:fill="D9D9D9"/>
            <w:noWrap/>
            <w:hideMark/>
          </w:tcPr>
          <w:p w14:paraId="7DFD0981" w14:textId="77777777" w:rsidR="00571246" w:rsidRPr="003871B3" w:rsidRDefault="00571246" w:rsidP="00DC7032">
            <w:pPr>
              <w:keepNext/>
              <w:keepLines/>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Cena s DPH</w:t>
            </w:r>
          </w:p>
        </w:tc>
      </w:tr>
      <w:tr w:rsidR="003871B3" w:rsidRPr="003871B3" w14:paraId="57A6806E" w14:textId="77777777" w:rsidTr="00001C48">
        <w:trPr>
          <w:trHeight w:val="312"/>
        </w:trPr>
        <w:tc>
          <w:tcPr>
            <w:tcW w:w="307" w:type="dxa"/>
            <w:tcBorders>
              <w:top w:val="single" w:sz="4" w:space="0" w:color="auto"/>
              <w:left w:val="single" w:sz="8" w:space="0" w:color="auto"/>
              <w:bottom w:val="single" w:sz="4" w:space="0" w:color="auto"/>
              <w:right w:val="single" w:sz="4" w:space="0" w:color="auto"/>
            </w:tcBorders>
            <w:shd w:val="clear" w:color="000000" w:fill="D9D9D9"/>
            <w:noWrap/>
            <w:hideMark/>
          </w:tcPr>
          <w:p w14:paraId="3247CC2C" w14:textId="77777777" w:rsidR="00D62007" w:rsidRPr="003871B3" w:rsidRDefault="00D62007" w:rsidP="00DC7032">
            <w:pPr>
              <w:keepNext/>
              <w:keepLines/>
              <w:spacing w:line="240" w:lineRule="auto"/>
              <w:jc w:val="center"/>
              <w:rPr>
                <w:rFonts w:ascii="Calibri" w:eastAsia="Times New Roman" w:hAnsi="Calibri"/>
                <w:b/>
                <w:bCs/>
                <w:lang w:eastAsia="cs-CZ"/>
              </w:rPr>
            </w:pPr>
            <w:r w:rsidRPr="003871B3">
              <w:rPr>
                <w:rFonts w:ascii="Calibri" w:eastAsia="Times New Roman" w:hAnsi="Calibri"/>
                <w:b/>
                <w:bCs/>
                <w:lang w:eastAsia="cs-CZ"/>
              </w:rPr>
              <w:t>S</w:t>
            </w:r>
          </w:p>
        </w:tc>
        <w:tc>
          <w:tcPr>
            <w:tcW w:w="1012" w:type="dxa"/>
            <w:tcBorders>
              <w:top w:val="single" w:sz="4" w:space="0" w:color="auto"/>
              <w:left w:val="nil"/>
              <w:bottom w:val="single" w:sz="4" w:space="0" w:color="auto"/>
              <w:right w:val="single" w:sz="4" w:space="0" w:color="auto"/>
            </w:tcBorders>
            <w:shd w:val="clear" w:color="auto" w:fill="auto"/>
            <w:noWrap/>
            <w:hideMark/>
          </w:tcPr>
          <w:p w14:paraId="07707B3F" w14:textId="5180D3C4" w:rsidR="00D62007" w:rsidRPr="003871B3" w:rsidRDefault="00D62007" w:rsidP="00DC7032">
            <w:pPr>
              <w:keepNext/>
              <w:keepLines/>
              <w:spacing w:line="240" w:lineRule="auto"/>
              <w:rPr>
                <w:rFonts w:ascii="Calibri" w:eastAsia="Times New Roman" w:hAnsi="Calibri"/>
                <w:b/>
                <w:bCs/>
                <w:color w:val="262626"/>
                <w:lang w:eastAsia="cs-CZ"/>
              </w:rPr>
            </w:pPr>
            <w:r w:rsidRPr="003871B3">
              <w:rPr>
                <w:rFonts w:ascii="Calibri" w:eastAsia="Times New Roman" w:hAnsi="Calibri"/>
                <w:b/>
                <w:bCs/>
                <w:color w:val="262626"/>
                <w:lang w:eastAsia="cs-CZ"/>
              </w:rPr>
              <w:t>5.3.3.1</w:t>
            </w:r>
            <w:r w:rsidR="00E0052D">
              <w:rPr>
                <w:rFonts w:ascii="Calibri" w:eastAsia="Times New Roman" w:hAnsi="Calibri"/>
                <w:b/>
                <w:bCs/>
                <w:color w:val="262626"/>
                <w:lang w:eastAsia="cs-CZ"/>
              </w:rPr>
              <w:t>.</w:t>
            </w:r>
            <w:r w:rsidRPr="003871B3">
              <w:rPr>
                <w:rFonts w:ascii="Calibri" w:eastAsia="Times New Roman" w:hAnsi="Calibri"/>
                <w:b/>
                <w:bCs/>
                <w:color w:val="262626"/>
                <w:lang w:eastAsia="cs-CZ"/>
              </w:rPr>
              <w:t>a</w:t>
            </w:r>
          </w:p>
        </w:tc>
        <w:tc>
          <w:tcPr>
            <w:tcW w:w="3086" w:type="dxa"/>
            <w:tcBorders>
              <w:top w:val="single" w:sz="4" w:space="0" w:color="auto"/>
              <w:left w:val="nil"/>
              <w:bottom w:val="single" w:sz="4" w:space="0" w:color="auto"/>
              <w:right w:val="single" w:sz="4" w:space="0" w:color="auto"/>
            </w:tcBorders>
            <w:shd w:val="clear" w:color="auto" w:fill="auto"/>
            <w:hideMark/>
          </w:tcPr>
          <w:p w14:paraId="0134C967" w14:textId="77777777" w:rsidR="00D62007" w:rsidRPr="003871B3" w:rsidRDefault="00D62007" w:rsidP="00DC7032">
            <w:pPr>
              <w:keepNext/>
              <w:keepLines/>
              <w:spacing w:line="240" w:lineRule="auto"/>
              <w:rPr>
                <w:rFonts w:ascii="Calibri" w:eastAsia="Times New Roman" w:hAnsi="Calibri"/>
                <w:lang w:eastAsia="cs-CZ"/>
              </w:rPr>
            </w:pPr>
            <w:r w:rsidRPr="003871B3">
              <w:rPr>
                <w:rFonts w:ascii="Calibri" w:eastAsia="Times New Roman" w:hAnsi="Calibri"/>
                <w:lang w:eastAsia="cs-CZ"/>
              </w:rPr>
              <w:t>Dokončení archivace dat Ginis. (MPSV)</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14:paraId="611F19A8" w14:textId="77777777" w:rsidR="00D62007" w:rsidRPr="003871B3" w:rsidRDefault="00D62007" w:rsidP="00DC7032">
            <w:pPr>
              <w:keepNext/>
              <w:keepLines/>
              <w:spacing w:line="240" w:lineRule="auto"/>
              <w:jc w:val="right"/>
              <w:rPr>
                <w:rFonts w:ascii="Calibri" w:eastAsia="Times New Roman" w:hAnsi="Calibri"/>
                <w:lang w:eastAsia="cs-CZ"/>
              </w:rPr>
            </w:pPr>
            <w:r w:rsidRPr="003871B3">
              <w:rPr>
                <w:rFonts w:ascii="Calibri" w:eastAsia="Times New Roman" w:hAnsi="Calibri"/>
                <w:lang w:eastAsia="cs-CZ"/>
              </w:rPr>
              <w:t>01.01.2018</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14:paraId="01282671" w14:textId="77777777" w:rsidR="00D62007" w:rsidRPr="003871B3" w:rsidRDefault="00D62007" w:rsidP="00DC7032">
            <w:pPr>
              <w:keepNext/>
              <w:keepLines/>
              <w:spacing w:line="240" w:lineRule="auto"/>
              <w:jc w:val="right"/>
              <w:rPr>
                <w:rFonts w:ascii="Calibri" w:eastAsia="Times New Roman" w:hAnsi="Calibri"/>
                <w:lang w:eastAsia="cs-CZ"/>
              </w:rPr>
            </w:pPr>
            <w:r w:rsidRPr="003871B3">
              <w:rPr>
                <w:rFonts w:ascii="Calibri" w:eastAsia="Times New Roman" w:hAnsi="Calibri"/>
                <w:lang w:eastAsia="cs-CZ"/>
              </w:rPr>
              <w:t>31.12.2018</w:t>
            </w:r>
          </w:p>
        </w:tc>
        <w:tc>
          <w:tcPr>
            <w:tcW w:w="1121" w:type="dxa"/>
            <w:tcBorders>
              <w:top w:val="single" w:sz="4" w:space="0" w:color="auto"/>
              <w:left w:val="nil"/>
              <w:bottom w:val="single" w:sz="4" w:space="0" w:color="auto"/>
              <w:right w:val="single" w:sz="4" w:space="0" w:color="auto"/>
            </w:tcBorders>
            <w:shd w:val="clear" w:color="auto" w:fill="auto"/>
            <w:noWrap/>
          </w:tcPr>
          <w:p w14:paraId="7C5764E9" w14:textId="09D03764" w:rsidR="00D62007" w:rsidRPr="003871B3" w:rsidRDefault="00721DD6" w:rsidP="00DC7032">
            <w:pPr>
              <w:keepNext/>
              <w:keepLines/>
              <w:spacing w:line="240" w:lineRule="auto"/>
              <w:jc w:val="right"/>
              <w:rPr>
                <w:rFonts w:ascii="Calibri" w:eastAsia="Times New Roman" w:hAnsi="Calibri"/>
                <w:lang w:eastAsia="cs-CZ"/>
              </w:rPr>
            </w:pPr>
            <w:r w:rsidRPr="00721DD6">
              <w:rPr>
                <w:rFonts w:ascii="Calibri" w:eastAsia="Times New Roman" w:hAnsi="Calibri"/>
                <w:lang w:eastAsia="cs-CZ"/>
              </w:rPr>
              <w:t>1 145</w:t>
            </w:r>
            <w:r>
              <w:rPr>
                <w:rFonts w:ascii="Calibri" w:eastAsia="Times New Roman" w:hAnsi="Calibri"/>
                <w:lang w:eastAsia="cs-CZ"/>
              </w:rPr>
              <w:t> </w:t>
            </w:r>
            <w:r w:rsidRPr="00721DD6">
              <w:rPr>
                <w:rFonts w:ascii="Calibri" w:eastAsia="Times New Roman" w:hAnsi="Calibri"/>
                <w:lang w:eastAsia="cs-CZ"/>
              </w:rPr>
              <w:t>000</w:t>
            </w:r>
          </w:p>
        </w:tc>
        <w:tc>
          <w:tcPr>
            <w:tcW w:w="1134" w:type="dxa"/>
            <w:tcBorders>
              <w:top w:val="single" w:sz="4" w:space="0" w:color="auto"/>
              <w:left w:val="nil"/>
              <w:bottom w:val="single" w:sz="4" w:space="0" w:color="auto"/>
              <w:right w:val="single" w:sz="8" w:space="0" w:color="auto"/>
            </w:tcBorders>
            <w:shd w:val="clear" w:color="auto" w:fill="auto"/>
            <w:noWrap/>
          </w:tcPr>
          <w:p w14:paraId="3FC730C3" w14:textId="48631B2F" w:rsidR="00D62007" w:rsidRPr="003871B3" w:rsidRDefault="00721DD6" w:rsidP="00DC7032">
            <w:pPr>
              <w:keepNext/>
              <w:keepLines/>
              <w:spacing w:line="240" w:lineRule="auto"/>
              <w:jc w:val="right"/>
              <w:rPr>
                <w:rFonts w:ascii="Calibri" w:eastAsia="Times New Roman" w:hAnsi="Calibri"/>
                <w:lang w:eastAsia="cs-CZ"/>
              </w:rPr>
            </w:pPr>
            <w:r w:rsidRPr="00721DD6">
              <w:rPr>
                <w:rFonts w:ascii="Calibri" w:eastAsia="Times New Roman" w:hAnsi="Calibri"/>
                <w:lang w:eastAsia="cs-CZ"/>
              </w:rPr>
              <w:t>1 385 450</w:t>
            </w:r>
          </w:p>
        </w:tc>
      </w:tr>
      <w:tr w:rsidR="00721DD6" w:rsidRPr="003871B3" w14:paraId="31A0D5EC" w14:textId="77777777" w:rsidTr="00001C48">
        <w:trPr>
          <w:trHeight w:val="312"/>
        </w:trPr>
        <w:tc>
          <w:tcPr>
            <w:tcW w:w="307" w:type="dxa"/>
            <w:tcBorders>
              <w:top w:val="nil"/>
              <w:left w:val="single" w:sz="8" w:space="0" w:color="auto"/>
              <w:bottom w:val="single" w:sz="4" w:space="0" w:color="auto"/>
              <w:right w:val="single" w:sz="4" w:space="0" w:color="auto"/>
            </w:tcBorders>
            <w:shd w:val="clear" w:color="000000" w:fill="D9D9D9"/>
            <w:noWrap/>
            <w:hideMark/>
          </w:tcPr>
          <w:p w14:paraId="2999E2C4" w14:textId="77777777" w:rsidR="00721DD6" w:rsidRPr="003871B3" w:rsidRDefault="00721DD6" w:rsidP="00DC7032">
            <w:pPr>
              <w:keepNext/>
              <w:keepLines/>
              <w:spacing w:line="240" w:lineRule="auto"/>
              <w:jc w:val="center"/>
              <w:rPr>
                <w:rFonts w:ascii="Calibri" w:eastAsia="Times New Roman" w:hAnsi="Calibri"/>
                <w:b/>
                <w:bCs/>
                <w:lang w:eastAsia="cs-CZ"/>
              </w:rPr>
            </w:pPr>
            <w:r w:rsidRPr="003871B3">
              <w:rPr>
                <w:rFonts w:ascii="Calibri" w:eastAsia="Times New Roman" w:hAnsi="Calibri"/>
                <w:b/>
                <w:bCs/>
                <w:lang w:eastAsia="cs-CZ"/>
              </w:rPr>
              <w:t>S</w:t>
            </w:r>
          </w:p>
        </w:tc>
        <w:tc>
          <w:tcPr>
            <w:tcW w:w="1012" w:type="dxa"/>
            <w:tcBorders>
              <w:top w:val="nil"/>
              <w:left w:val="nil"/>
              <w:bottom w:val="single" w:sz="4" w:space="0" w:color="auto"/>
              <w:right w:val="single" w:sz="4" w:space="0" w:color="auto"/>
            </w:tcBorders>
            <w:shd w:val="clear" w:color="auto" w:fill="auto"/>
            <w:noWrap/>
            <w:hideMark/>
          </w:tcPr>
          <w:p w14:paraId="0F9D34C6" w14:textId="70A6659B" w:rsidR="00721DD6" w:rsidRPr="003871B3" w:rsidRDefault="00721DD6" w:rsidP="00DC7032">
            <w:pPr>
              <w:keepNext/>
              <w:keepLines/>
              <w:spacing w:line="240" w:lineRule="auto"/>
              <w:rPr>
                <w:rFonts w:ascii="Calibri" w:eastAsia="Times New Roman" w:hAnsi="Calibri"/>
                <w:b/>
                <w:bCs/>
                <w:color w:val="262626"/>
                <w:lang w:eastAsia="cs-CZ"/>
              </w:rPr>
            </w:pPr>
            <w:r w:rsidRPr="003871B3">
              <w:rPr>
                <w:rFonts w:ascii="Calibri" w:eastAsia="Times New Roman" w:hAnsi="Calibri"/>
                <w:b/>
                <w:bCs/>
                <w:color w:val="262626"/>
                <w:lang w:eastAsia="cs-CZ"/>
              </w:rPr>
              <w:t>5.3.3.</w:t>
            </w:r>
            <w:r>
              <w:rPr>
                <w:rFonts w:ascii="Calibri" w:eastAsia="Times New Roman" w:hAnsi="Calibri"/>
                <w:b/>
                <w:bCs/>
                <w:color w:val="262626"/>
                <w:lang w:eastAsia="cs-CZ"/>
              </w:rPr>
              <w:t>1</w:t>
            </w:r>
            <w:r w:rsidRPr="003871B3">
              <w:rPr>
                <w:rFonts w:ascii="Calibri" w:eastAsia="Times New Roman" w:hAnsi="Calibri"/>
                <w:b/>
                <w:bCs/>
                <w:color w:val="262626"/>
                <w:lang w:eastAsia="cs-CZ"/>
              </w:rPr>
              <w:t>.</w:t>
            </w:r>
            <w:r>
              <w:rPr>
                <w:rFonts w:ascii="Calibri" w:eastAsia="Times New Roman" w:hAnsi="Calibri"/>
                <w:b/>
                <w:bCs/>
                <w:color w:val="262626"/>
                <w:lang w:eastAsia="cs-CZ"/>
              </w:rPr>
              <w:t>b</w:t>
            </w:r>
          </w:p>
        </w:tc>
        <w:tc>
          <w:tcPr>
            <w:tcW w:w="3086" w:type="dxa"/>
            <w:tcBorders>
              <w:top w:val="single" w:sz="4" w:space="0" w:color="auto"/>
              <w:left w:val="nil"/>
              <w:bottom w:val="single" w:sz="4" w:space="0" w:color="auto"/>
              <w:right w:val="single" w:sz="4" w:space="0" w:color="auto"/>
            </w:tcBorders>
            <w:shd w:val="clear" w:color="auto" w:fill="auto"/>
            <w:hideMark/>
          </w:tcPr>
          <w:p w14:paraId="1CFE52EB" w14:textId="77777777" w:rsidR="00721DD6" w:rsidRPr="003871B3" w:rsidRDefault="00721DD6" w:rsidP="00DC7032">
            <w:pPr>
              <w:keepNext/>
              <w:keepLines/>
              <w:spacing w:line="240" w:lineRule="auto"/>
              <w:rPr>
                <w:rFonts w:ascii="Calibri" w:eastAsia="Times New Roman" w:hAnsi="Calibri"/>
                <w:lang w:eastAsia="cs-CZ"/>
              </w:rPr>
            </w:pPr>
            <w:r w:rsidRPr="003871B3">
              <w:rPr>
                <w:rFonts w:ascii="Calibri" w:eastAsia="Times New Roman" w:hAnsi="Calibri"/>
                <w:lang w:eastAsia="cs-CZ"/>
              </w:rPr>
              <w:t>Dokončení archivace dat Ginis. (ÚP)</w:t>
            </w:r>
          </w:p>
        </w:tc>
        <w:tc>
          <w:tcPr>
            <w:tcW w:w="1275" w:type="dxa"/>
            <w:gridSpan w:val="2"/>
            <w:tcBorders>
              <w:top w:val="nil"/>
              <w:left w:val="nil"/>
              <w:bottom w:val="single" w:sz="4" w:space="0" w:color="auto"/>
              <w:right w:val="single" w:sz="4" w:space="0" w:color="auto"/>
            </w:tcBorders>
            <w:shd w:val="clear" w:color="auto" w:fill="auto"/>
            <w:noWrap/>
            <w:hideMark/>
          </w:tcPr>
          <w:p w14:paraId="63BFC3AE" w14:textId="77777777" w:rsidR="00721DD6" w:rsidRPr="003871B3" w:rsidRDefault="00721DD6" w:rsidP="00DC7032">
            <w:pPr>
              <w:keepNext/>
              <w:keepLines/>
              <w:spacing w:line="240" w:lineRule="auto"/>
              <w:jc w:val="right"/>
              <w:rPr>
                <w:rFonts w:ascii="Calibri" w:eastAsia="Times New Roman" w:hAnsi="Calibri"/>
                <w:lang w:eastAsia="cs-CZ"/>
              </w:rPr>
            </w:pPr>
            <w:r w:rsidRPr="003871B3">
              <w:rPr>
                <w:rFonts w:ascii="Calibri" w:eastAsia="Times New Roman" w:hAnsi="Calibri"/>
                <w:lang w:eastAsia="cs-CZ"/>
              </w:rPr>
              <w:t>01.01.2019</w:t>
            </w:r>
          </w:p>
        </w:tc>
        <w:tc>
          <w:tcPr>
            <w:tcW w:w="1276" w:type="dxa"/>
            <w:gridSpan w:val="2"/>
            <w:tcBorders>
              <w:top w:val="nil"/>
              <w:left w:val="nil"/>
              <w:bottom w:val="single" w:sz="4" w:space="0" w:color="auto"/>
              <w:right w:val="single" w:sz="4" w:space="0" w:color="auto"/>
            </w:tcBorders>
            <w:shd w:val="clear" w:color="auto" w:fill="auto"/>
            <w:noWrap/>
            <w:hideMark/>
          </w:tcPr>
          <w:p w14:paraId="4EC2E0E6" w14:textId="77777777" w:rsidR="00721DD6" w:rsidRPr="003871B3" w:rsidRDefault="00721DD6" w:rsidP="00DC7032">
            <w:pPr>
              <w:keepNext/>
              <w:keepLines/>
              <w:spacing w:line="240" w:lineRule="auto"/>
              <w:jc w:val="right"/>
              <w:rPr>
                <w:rFonts w:ascii="Calibri" w:eastAsia="Times New Roman" w:hAnsi="Calibri"/>
                <w:lang w:eastAsia="cs-CZ"/>
              </w:rPr>
            </w:pPr>
            <w:r w:rsidRPr="003871B3">
              <w:rPr>
                <w:rFonts w:ascii="Calibri" w:eastAsia="Times New Roman" w:hAnsi="Calibri"/>
                <w:lang w:eastAsia="cs-CZ"/>
              </w:rPr>
              <w:t>28.02.2019</w:t>
            </w:r>
          </w:p>
        </w:tc>
        <w:tc>
          <w:tcPr>
            <w:tcW w:w="1121" w:type="dxa"/>
            <w:tcBorders>
              <w:top w:val="nil"/>
              <w:left w:val="nil"/>
              <w:bottom w:val="single" w:sz="4" w:space="0" w:color="auto"/>
              <w:right w:val="single" w:sz="4" w:space="0" w:color="auto"/>
            </w:tcBorders>
            <w:shd w:val="clear" w:color="auto" w:fill="auto"/>
            <w:noWrap/>
          </w:tcPr>
          <w:p w14:paraId="253AA69B" w14:textId="7964A083" w:rsidR="00721DD6" w:rsidRPr="003871B3" w:rsidRDefault="00721DD6" w:rsidP="00DC7032">
            <w:pPr>
              <w:keepNext/>
              <w:keepLines/>
              <w:spacing w:line="240" w:lineRule="auto"/>
              <w:jc w:val="right"/>
              <w:rPr>
                <w:rFonts w:ascii="Calibri" w:eastAsia="Times New Roman" w:hAnsi="Calibri"/>
                <w:lang w:eastAsia="cs-CZ"/>
              </w:rPr>
            </w:pPr>
            <w:r w:rsidRPr="00721DD6">
              <w:rPr>
                <w:rFonts w:ascii="Calibri" w:eastAsia="Times New Roman" w:hAnsi="Calibri"/>
                <w:lang w:eastAsia="cs-CZ"/>
              </w:rPr>
              <w:t>1 145</w:t>
            </w:r>
            <w:r>
              <w:rPr>
                <w:rFonts w:ascii="Calibri" w:eastAsia="Times New Roman" w:hAnsi="Calibri"/>
                <w:lang w:eastAsia="cs-CZ"/>
              </w:rPr>
              <w:t> </w:t>
            </w:r>
            <w:r w:rsidRPr="00721DD6">
              <w:rPr>
                <w:rFonts w:ascii="Calibri" w:eastAsia="Times New Roman" w:hAnsi="Calibri"/>
                <w:lang w:eastAsia="cs-CZ"/>
              </w:rPr>
              <w:t>000</w:t>
            </w:r>
          </w:p>
        </w:tc>
        <w:tc>
          <w:tcPr>
            <w:tcW w:w="1134" w:type="dxa"/>
            <w:tcBorders>
              <w:top w:val="nil"/>
              <w:left w:val="nil"/>
              <w:bottom w:val="single" w:sz="4" w:space="0" w:color="auto"/>
              <w:right w:val="single" w:sz="8" w:space="0" w:color="auto"/>
            </w:tcBorders>
            <w:shd w:val="clear" w:color="auto" w:fill="auto"/>
            <w:noWrap/>
          </w:tcPr>
          <w:p w14:paraId="561653FC" w14:textId="246EBFC5" w:rsidR="00721DD6" w:rsidRPr="003871B3" w:rsidRDefault="00721DD6" w:rsidP="00DC7032">
            <w:pPr>
              <w:keepNext/>
              <w:keepLines/>
              <w:spacing w:line="240" w:lineRule="auto"/>
              <w:jc w:val="right"/>
              <w:rPr>
                <w:rFonts w:ascii="Calibri" w:eastAsia="Times New Roman" w:hAnsi="Calibri"/>
                <w:lang w:eastAsia="cs-CZ"/>
              </w:rPr>
            </w:pPr>
            <w:r w:rsidRPr="00721DD6">
              <w:rPr>
                <w:rFonts w:ascii="Calibri" w:eastAsia="Times New Roman" w:hAnsi="Calibri"/>
                <w:lang w:eastAsia="cs-CZ"/>
              </w:rPr>
              <w:t>1 385 450</w:t>
            </w:r>
          </w:p>
        </w:tc>
      </w:tr>
    </w:tbl>
    <w:p w14:paraId="6D18B8FB" w14:textId="77777777" w:rsidR="00D62007" w:rsidRPr="00C22A86" w:rsidRDefault="00D62007" w:rsidP="00DC7032">
      <w:pPr>
        <w:pStyle w:val="GSOdstavec"/>
        <w:keepNext/>
        <w:keepLines/>
        <w:rPr>
          <w:rFonts w:eastAsia="Times New Roman" w:cs="Arial"/>
          <w:color w:val="000000"/>
          <w:szCs w:val="22"/>
          <w:lang w:eastAsia="cs-CZ"/>
        </w:rPr>
      </w:pPr>
      <w:r w:rsidRPr="00C22A86">
        <w:rPr>
          <w:rFonts w:eastAsia="Times New Roman" w:cs="Arial"/>
          <w:color w:val="000000"/>
          <w:szCs w:val="22"/>
          <w:lang w:eastAsia="cs-CZ"/>
        </w:rPr>
        <w:t>Původní milník 5.3.3.1 se dělí na dva nové milníky 5.3.3.1.a a 5.3.3.1.b</w:t>
      </w:r>
    </w:p>
    <w:p w14:paraId="28297D02" w14:textId="77777777" w:rsidR="00D62007" w:rsidRPr="00C22A86" w:rsidRDefault="00D62007" w:rsidP="005D6880">
      <w:pPr>
        <w:pStyle w:val="GSOdstavec"/>
        <w:rPr>
          <w:rFonts w:eastAsia="Times New Roman" w:cs="Arial"/>
          <w:color w:val="000000"/>
          <w:szCs w:val="22"/>
          <w:lang w:eastAsia="cs-CZ"/>
        </w:rPr>
      </w:pPr>
    </w:p>
    <w:p w14:paraId="40774E78" w14:textId="34D7B6C9" w:rsidR="00C11B8D" w:rsidRPr="003871B3" w:rsidRDefault="00C11B8D" w:rsidP="00F26BC1">
      <w:pPr>
        <w:pStyle w:val="GSNadpis2"/>
        <w:rPr>
          <w:szCs w:val="22"/>
        </w:rPr>
      </w:pPr>
      <w:bookmarkStart w:id="59" w:name="_Toc522884714"/>
      <w:r w:rsidRPr="003871B3">
        <w:rPr>
          <w:szCs w:val="22"/>
        </w:rPr>
        <w:t>Porovnání věcné a účetní agendy při migraci dat</w:t>
      </w:r>
      <w:bookmarkEnd w:id="59"/>
    </w:p>
    <w:p w14:paraId="528C09E5" w14:textId="47F31A57" w:rsidR="00CA2C17" w:rsidRPr="00C22A86" w:rsidRDefault="00FA7463" w:rsidP="00D62007">
      <w:pPr>
        <w:pStyle w:val="GSOdstavec"/>
        <w:rPr>
          <w:rFonts w:eastAsia="Times New Roman" w:cs="Arial"/>
          <w:color w:val="000000"/>
          <w:szCs w:val="22"/>
          <w:lang w:eastAsia="cs-CZ"/>
        </w:rPr>
      </w:pPr>
      <w:r w:rsidRPr="00C22A86">
        <w:rPr>
          <w:rFonts w:eastAsia="Times New Roman" w:cs="Arial"/>
          <w:color w:val="000000"/>
          <w:szCs w:val="22"/>
          <w:lang w:eastAsia="cs-CZ"/>
        </w:rPr>
        <w:t>Viz Příloha č.1 k Obchodní Smlouvě č. 09/2017.</w:t>
      </w:r>
    </w:p>
    <w:p w14:paraId="074545BB" w14:textId="77777777" w:rsidR="001F40BD" w:rsidRPr="003871B3" w:rsidRDefault="001F40BD" w:rsidP="00D62007">
      <w:pPr>
        <w:pStyle w:val="GSOdstavec"/>
      </w:pPr>
    </w:p>
    <w:p w14:paraId="0790C624" w14:textId="6DC3F85E" w:rsidR="00C11B8D" w:rsidRPr="003871B3" w:rsidRDefault="00C11B8D" w:rsidP="00C11B8D">
      <w:pPr>
        <w:pStyle w:val="GSNadpis2"/>
      </w:pPr>
      <w:bookmarkStart w:id="60" w:name="_Toc522884715"/>
      <w:r w:rsidRPr="003871B3">
        <w:t>Příprava dat pro migrace v oblasti IS D</w:t>
      </w:r>
      <w:r w:rsidR="00364E3C" w:rsidRPr="003871B3">
        <w:t>AV</w:t>
      </w:r>
      <w:bookmarkEnd w:id="56"/>
      <w:bookmarkEnd w:id="60"/>
    </w:p>
    <w:tbl>
      <w:tblPr>
        <w:tblpPr w:leftFromText="141" w:rightFromText="141" w:vertAnchor="text" w:horzAnchor="margin" w:tblpY="254"/>
        <w:tblW w:w="9488" w:type="dxa"/>
        <w:tblCellMar>
          <w:left w:w="70" w:type="dxa"/>
          <w:right w:w="70" w:type="dxa"/>
        </w:tblCellMar>
        <w:tblLook w:val="04A0" w:firstRow="1" w:lastRow="0" w:firstColumn="1" w:lastColumn="0" w:noHBand="0" w:noVBand="1"/>
      </w:tblPr>
      <w:tblGrid>
        <w:gridCol w:w="254"/>
        <w:gridCol w:w="819"/>
        <w:gridCol w:w="1538"/>
        <w:gridCol w:w="1915"/>
        <w:gridCol w:w="1134"/>
        <w:gridCol w:w="1235"/>
        <w:gridCol w:w="1317"/>
        <w:gridCol w:w="1276"/>
      </w:tblGrid>
      <w:tr w:rsidR="009F0E3D" w:rsidRPr="009F0E3D" w14:paraId="4CF19319" w14:textId="77777777" w:rsidTr="00001C48">
        <w:trPr>
          <w:trHeight w:val="324"/>
        </w:trPr>
        <w:tc>
          <w:tcPr>
            <w:tcW w:w="254" w:type="dxa"/>
            <w:tcBorders>
              <w:top w:val="single" w:sz="8" w:space="0" w:color="auto"/>
              <w:left w:val="single" w:sz="8" w:space="0" w:color="auto"/>
              <w:bottom w:val="single" w:sz="8" w:space="0" w:color="auto"/>
              <w:right w:val="single" w:sz="4" w:space="0" w:color="auto"/>
            </w:tcBorders>
            <w:shd w:val="clear" w:color="000000" w:fill="D9D9D9"/>
            <w:noWrap/>
            <w:hideMark/>
          </w:tcPr>
          <w:p w14:paraId="60BBE85A" w14:textId="77777777" w:rsidR="009F0E3D" w:rsidRPr="009F0E3D" w:rsidRDefault="009F0E3D" w:rsidP="009F0E3D">
            <w:pPr>
              <w:spacing w:line="240" w:lineRule="auto"/>
              <w:jc w:val="center"/>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 </w:t>
            </w:r>
          </w:p>
        </w:tc>
        <w:tc>
          <w:tcPr>
            <w:tcW w:w="819" w:type="dxa"/>
            <w:tcBorders>
              <w:top w:val="single" w:sz="8" w:space="0" w:color="auto"/>
              <w:left w:val="nil"/>
              <w:bottom w:val="single" w:sz="8" w:space="0" w:color="auto"/>
              <w:right w:val="single" w:sz="4" w:space="0" w:color="auto"/>
            </w:tcBorders>
            <w:shd w:val="clear" w:color="000000" w:fill="D9D9D9"/>
            <w:noWrap/>
            <w:hideMark/>
          </w:tcPr>
          <w:p w14:paraId="23CDA2BB" w14:textId="77777777" w:rsidR="009F0E3D" w:rsidRPr="009F0E3D" w:rsidRDefault="009F0E3D" w:rsidP="009F0E3D">
            <w:pPr>
              <w:spacing w:line="240" w:lineRule="auto"/>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Milník</w:t>
            </w:r>
          </w:p>
        </w:tc>
        <w:tc>
          <w:tcPr>
            <w:tcW w:w="1538" w:type="dxa"/>
            <w:tcBorders>
              <w:top w:val="single" w:sz="8" w:space="0" w:color="auto"/>
              <w:left w:val="single" w:sz="4" w:space="0" w:color="auto"/>
              <w:bottom w:val="single" w:sz="8" w:space="0" w:color="auto"/>
              <w:right w:val="nil"/>
            </w:tcBorders>
            <w:shd w:val="clear" w:color="000000" w:fill="D9D9D9"/>
            <w:noWrap/>
            <w:hideMark/>
          </w:tcPr>
          <w:p w14:paraId="22E8B834" w14:textId="77777777" w:rsidR="009F0E3D" w:rsidRPr="009F0E3D" w:rsidRDefault="009F0E3D" w:rsidP="009F0E3D">
            <w:pPr>
              <w:spacing w:line="240" w:lineRule="auto"/>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Oblast řešení</w:t>
            </w:r>
          </w:p>
        </w:tc>
        <w:tc>
          <w:tcPr>
            <w:tcW w:w="1915" w:type="dxa"/>
            <w:tcBorders>
              <w:top w:val="single" w:sz="8" w:space="0" w:color="auto"/>
              <w:left w:val="nil"/>
              <w:bottom w:val="single" w:sz="8" w:space="0" w:color="auto"/>
              <w:right w:val="single" w:sz="4" w:space="0" w:color="auto"/>
            </w:tcBorders>
            <w:shd w:val="clear" w:color="000000" w:fill="D9D9D9"/>
            <w:noWrap/>
            <w:hideMark/>
          </w:tcPr>
          <w:p w14:paraId="54EF5551" w14:textId="77777777" w:rsidR="009F0E3D" w:rsidRPr="009F0E3D" w:rsidRDefault="009F0E3D" w:rsidP="009F0E3D">
            <w:pPr>
              <w:spacing w:line="240" w:lineRule="auto"/>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 </w:t>
            </w:r>
          </w:p>
        </w:tc>
        <w:tc>
          <w:tcPr>
            <w:tcW w:w="1134" w:type="dxa"/>
            <w:tcBorders>
              <w:top w:val="single" w:sz="8" w:space="0" w:color="auto"/>
              <w:left w:val="nil"/>
              <w:bottom w:val="single" w:sz="8" w:space="0" w:color="auto"/>
              <w:right w:val="single" w:sz="4" w:space="0" w:color="auto"/>
            </w:tcBorders>
            <w:shd w:val="clear" w:color="000000" w:fill="D9D9D9"/>
            <w:noWrap/>
            <w:hideMark/>
          </w:tcPr>
          <w:p w14:paraId="7CA8E7A1" w14:textId="77777777" w:rsidR="009F0E3D" w:rsidRPr="009F0E3D" w:rsidRDefault="009F0E3D" w:rsidP="009F0E3D">
            <w:pPr>
              <w:spacing w:line="240" w:lineRule="auto"/>
              <w:jc w:val="center"/>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Začátek</w:t>
            </w:r>
          </w:p>
        </w:tc>
        <w:tc>
          <w:tcPr>
            <w:tcW w:w="1235" w:type="dxa"/>
            <w:tcBorders>
              <w:top w:val="single" w:sz="8" w:space="0" w:color="auto"/>
              <w:left w:val="nil"/>
              <w:bottom w:val="single" w:sz="8" w:space="0" w:color="auto"/>
              <w:right w:val="single" w:sz="4" w:space="0" w:color="auto"/>
            </w:tcBorders>
            <w:shd w:val="clear" w:color="000000" w:fill="D9D9D9"/>
            <w:noWrap/>
            <w:hideMark/>
          </w:tcPr>
          <w:p w14:paraId="76CAF835" w14:textId="77777777" w:rsidR="009F0E3D" w:rsidRPr="009F0E3D" w:rsidRDefault="009F0E3D" w:rsidP="009F0E3D">
            <w:pPr>
              <w:spacing w:line="240" w:lineRule="auto"/>
              <w:jc w:val="center"/>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Konec</w:t>
            </w:r>
          </w:p>
        </w:tc>
        <w:tc>
          <w:tcPr>
            <w:tcW w:w="1317" w:type="dxa"/>
            <w:tcBorders>
              <w:top w:val="single" w:sz="8" w:space="0" w:color="auto"/>
              <w:left w:val="nil"/>
              <w:bottom w:val="single" w:sz="8" w:space="0" w:color="auto"/>
              <w:right w:val="single" w:sz="4" w:space="0" w:color="auto"/>
            </w:tcBorders>
            <w:shd w:val="clear" w:color="000000" w:fill="D9D9D9"/>
            <w:noWrap/>
            <w:hideMark/>
          </w:tcPr>
          <w:p w14:paraId="63A0F8AC" w14:textId="77777777" w:rsidR="009F0E3D" w:rsidRPr="009F0E3D" w:rsidRDefault="009F0E3D" w:rsidP="009F0E3D">
            <w:pPr>
              <w:spacing w:line="240" w:lineRule="auto"/>
              <w:jc w:val="right"/>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Cena bez DPH</w:t>
            </w:r>
          </w:p>
        </w:tc>
        <w:tc>
          <w:tcPr>
            <w:tcW w:w="1276" w:type="dxa"/>
            <w:tcBorders>
              <w:top w:val="single" w:sz="8" w:space="0" w:color="auto"/>
              <w:left w:val="nil"/>
              <w:bottom w:val="single" w:sz="8" w:space="0" w:color="auto"/>
              <w:right w:val="single" w:sz="8" w:space="0" w:color="auto"/>
            </w:tcBorders>
            <w:shd w:val="clear" w:color="000000" w:fill="D9D9D9"/>
            <w:noWrap/>
            <w:hideMark/>
          </w:tcPr>
          <w:p w14:paraId="3170BC39" w14:textId="77777777" w:rsidR="009F0E3D" w:rsidRPr="009F0E3D" w:rsidRDefault="009F0E3D" w:rsidP="009F0E3D">
            <w:pPr>
              <w:spacing w:line="240" w:lineRule="auto"/>
              <w:rPr>
                <w:rFonts w:ascii="Calibri" w:eastAsia="Times New Roman" w:hAnsi="Calibri" w:cs="Calibri"/>
                <w:b/>
                <w:bCs/>
                <w:color w:val="000000"/>
                <w:lang w:eastAsia="cs-CZ"/>
              </w:rPr>
            </w:pPr>
            <w:r w:rsidRPr="009F0E3D">
              <w:rPr>
                <w:rFonts w:ascii="Calibri" w:eastAsia="Times New Roman" w:hAnsi="Calibri" w:cs="Calibri"/>
                <w:b/>
                <w:bCs/>
                <w:color w:val="000000"/>
                <w:lang w:eastAsia="cs-CZ"/>
              </w:rPr>
              <w:t>Cena s DPH</w:t>
            </w:r>
          </w:p>
        </w:tc>
      </w:tr>
      <w:tr w:rsidR="009F0E3D" w:rsidRPr="009F0E3D" w14:paraId="1B596FB0" w14:textId="77777777" w:rsidTr="00001C48">
        <w:trPr>
          <w:trHeight w:val="1704"/>
        </w:trPr>
        <w:tc>
          <w:tcPr>
            <w:tcW w:w="254" w:type="dxa"/>
            <w:tcBorders>
              <w:top w:val="nil"/>
              <w:left w:val="single" w:sz="8" w:space="0" w:color="auto"/>
              <w:bottom w:val="single" w:sz="8" w:space="0" w:color="auto"/>
              <w:right w:val="nil"/>
            </w:tcBorders>
            <w:shd w:val="clear" w:color="000000" w:fill="D9D9D9"/>
            <w:noWrap/>
            <w:hideMark/>
          </w:tcPr>
          <w:p w14:paraId="6AA50F5B" w14:textId="77777777" w:rsidR="009F0E3D" w:rsidRPr="009F0E3D" w:rsidRDefault="009F0E3D" w:rsidP="009F0E3D">
            <w:pPr>
              <w:spacing w:line="240" w:lineRule="auto"/>
              <w:jc w:val="center"/>
              <w:rPr>
                <w:rFonts w:ascii="Calibri" w:eastAsia="Times New Roman" w:hAnsi="Calibri" w:cs="Calibri"/>
                <w:b/>
                <w:bCs/>
                <w:lang w:eastAsia="cs-CZ"/>
              </w:rPr>
            </w:pPr>
            <w:r w:rsidRPr="009F0E3D">
              <w:rPr>
                <w:rFonts w:ascii="Calibri" w:eastAsia="Times New Roman" w:hAnsi="Calibri" w:cs="Calibri"/>
                <w:b/>
                <w:bCs/>
                <w:lang w:eastAsia="cs-CZ"/>
              </w:rPr>
              <w:t>S</w:t>
            </w:r>
          </w:p>
        </w:tc>
        <w:tc>
          <w:tcPr>
            <w:tcW w:w="819" w:type="dxa"/>
            <w:tcBorders>
              <w:top w:val="nil"/>
              <w:left w:val="single" w:sz="8" w:space="0" w:color="auto"/>
              <w:bottom w:val="single" w:sz="8" w:space="0" w:color="auto"/>
              <w:right w:val="nil"/>
            </w:tcBorders>
            <w:shd w:val="clear" w:color="auto" w:fill="auto"/>
            <w:noWrap/>
            <w:hideMark/>
          </w:tcPr>
          <w:p w14:paraId="594AF7C4" w14:textId="2215B8ED" w:rsidR="009F0E3D" w:rsidRPr="009F0E3D" w:rsidRDefault="009F0E3D" w:rsidP="009F0E3D">
            <w:pPr>
              <w:spacing w:line="240" w:lineRule="auto"/>
              <w:rPr>
                <w:rFonts w:ascii="Calibri" w:eastAsia="Times New Roman" w:hAnsi="Calibri" w:cs="Calibri"/>
                <w:b/>
                <w:bCs/>
                <w:lang w:eastAsia="cs-CZ"/>
              </w:rPr>
            </w:pPr>
          </w:p>
        </w:tc>
        <w:tc>
          <w:tcPr>
            <w:tcW w:w="345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6462C82B" w14:textId="77777777" w:rsidR="001A1D9E" w:rsidRPr="0010362C" w:rsidRDefault="009F0E3D" w:rsidP="001A1D9E">
            <w:pPr>
              <w:spacing w:before="60" w:line="240" w:lineRule="auto"/>
              <w:rPr>
                <w:rFonts w:ascii="Calibri" w:eastAsia="Times New Roman" w:hAnsi="Calibri" w:cs="Calibri"/>
                <w:lang w:eastAsia="cs-CZ"/>
              </w:rPr>
            </w:pPr>
            <w:r w:rsidRPr="0010362C">
              <w:rPr>
                <w:rFonts w:ascii="Calibri" w:eastAsia="Times New Roman" w:hAnsi="Calibri" w:cs="Calibri"/>
                <w:lang w:eastAsia="cs-CZ"/>
              </w:rPr>
              <w:t>Architektonický dohled nad migrací - Fáze dohledu 3 až 7</w:t>
            </w:r>
          </w:p>
          <w:p w14:paraId="24A522C4" w14:textId="77777777" w:rsidR="001A1D9E" w:rsidRPr="0010362C" w:rsidRDefault="009F0E3D" w:rsidP="001A1D9E">
            <w:pPr>
              <w:spacing w:before="60" w:line="240" w:lineRule="auto"/>
              <w:rPr>
                <w:rFonts w:ascii="Calibri" w:eastAsia="Times New Roman" w:hAnsi="Calibri" w:cs="Calibri"/>
                <w:lang w:eastAsia="cs-CZ"/>
              </w:rPr>
            </w:pPr>
            <w:r w:rsidRPr="0010362C">
              <w:rPr>
                <w:rFonts w:ascii="Calibri" w:eastAsia="Times New Roman" w:hAnsi="Calibri" w:cs="Calibri"/>
                <w:lang w:eastAsia="cs-CZ"/>
              </w:rPr>
              <w:t>Předání dat před migrací</w:t>
            </w:r>
          </w:p>
          <w:p w14:paraId="197B03C8" w14:textId="77777777" w:rsidR="001A1D9E" w:rsidRPr="0010362C" w:rsidRDefault="009F0E3D" w:rsidP="001A1D9E">
            <w:pPr>
              <w:spacing w:before="60" w:line="240" w:lineRule="auto"/>
              <w:rPr>
                <w:rFonts w:ascii="Calibri" w:eastAsia="Times New Roman" w:hAnsi="Calibri" w:cs="Calibri"/>
                <w:lang w:eastAsia="cs-CZ"/>
              </w:rPr>
            </w:pPr>
            <w:r w:rsidRPr="0010362C">
              <w:rPr>
                <w:rFonts w:ascii="Calibri" w:eastAsia="Times New Roman" w:hAnsi="Calibri" w:cs="Calibri"/>
                <w:lang w:eastAsia="cs-CZ"/>
              </w:rPr>
              <w:t>Analýza+Implementace DA Fáze 2 až 5</w:t>
            </w:r>
          </w:p>
          <w:p w14:paraId="2C0FEEA6" w14:textId="606ACF90" w:rsidR="009F0E3D" w:rsidRPr="0010362C" w:rsidRDefault="009F0E3D" w:rsidP="001A1D9E">
            <w:pPr>
              <w:spacing w:before="60" w:line="240" w:lineRule="auto"/>
              <w:rPr>
                <w:rFonts w:ascii="Calibri" w:eastAsia="Times New Roman" w:hAnsi="Calibri" w:cs="Calibri"/>
                <w:lang w:eastAsia="cs-CZ"/>
              </w:rPr>
            </w:pPr>
            <w:r w:rsidRPr="0010362C">
              <w:rPr>
                <w:rFonts w:ascii="Calibri" w:eastAsia="Times New Roman" w:hAnsi="Calibri" w:cs="Calibri"/>
                <w:lang w:eastAsia="cs-CZ"/>
              </w:rPr>
              <w:t>Naplnění dat do datového archivu</w:t>
            </w:r>
          </w:p>
        </w:tc>
        <w:tc>
          <w:tcPr>
            <w:tcW w:w="1134" w:type="dxa"/>
            <w:tcBorders>
              <w:top w:val="nil"/>
              <w:left w:val="single" w:sz="8" w:space="0" w:color="auto"/>
              <w:bottom w:val="single" w:sz="8" w:space="0" w:color="auto"/>
              <w:right w:val="single" w:sz="4" w:space="0" w:color="auto"/>
            </w:tcBorders>
            <w:shd w:val="clear" w:color="auto" w:fill="auto"/>
            <w:noWrap/>
            <w:hideMark/>
          </w:tcPr>
          <w:p w14:paraId="7A4324FA"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 </w:t>
            </w:r>
          </w:p>
        </w:tc>
        <w:tc>
          <w:tcPr>
            <w:tcW w:w="1235" w:type="dxa"/>
            <w:tcBorders>
              <w:top w:val="nil"/>
              <w:left w:val="nil"/>
              <w:bottom w:val="single" w:sz="8" w:space="0" w:color="auto"/>
              <w:right w:val="single" w:sz="4" w:space="0" w:color="auto"/>
            </w:tcBorders>
            <w:shd w:val="clear" w:color="auto" w:fill="auto"/>
            <w:noWrap/>
            <w:hideMark/>
          </w:tcPr>
          <w:p w14:paraId="7CEE8061"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T +  12M*</w:t>
            </w:r>
          </w:p>
        </w:tc>
        <w:tc>
          <w:tcPr>
            <w:tcW w:w="1317" w:type="dxa"/>
            <w:tcBorders>
              <w:top w:val="nil"/>
              <w:left w:val="nil"/>
              <w:bottom w:val="single" w:sz="8" w:space="0" w:color="auto"/>
              <w:right w:val="single" w:sz="4" w:space="0" w:color="auto"/>
            </w:tcBorders>
            <w:shd w:val="clear" w:color="auto" w:fill="auto"/>
            <w:noWrap/>
            <w:hideMark/>
          </w:tcPr>
          <w:p w14:paraId="64C0094A"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26 145 840</w:t>
            </w:r>
          </w:p>
        </w:tc>
        <w:tc>
          <w:tcPr>
            <w:tcW w:w="1276" w:type="dxa"/>
            <w:tcBorders>
              <w:top w:val="nil"/>
              <w:left w:val="nil"/>
              <w:bottom w:val="single" w:sz="8" w:space="0" w:color="auto"/>
              <w:right w:val="single" w:sz="8" w:space="0" w:color="auto"/>
            </w:tcBorders>
            <w:shd w:val="clear" w:color="auto" w:fill="auto"/>
            <w:noWrap/>
            <w:hideMark/>
          </w:tcPr>
          <w:p w14:paraId="3631460F"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31 636 466</w:t>
            </w:r>
          </w:p>
        </w:tc>
      </w:tr>
      <w:tr w:rsidR="00BC3A91" w:rsidRPr="009F0E3D" w14:paraId="5362BA0E" w14:textId="77777777" w:rsidTr="00BC3A91">
        <w:trPr>
          <w:trHeight w:val="948"/>
        </w:trPr>
        <w:tc>
          <w:tcPr>
            <w:tcW w:w="254" w:type="dxa"/>
            <w:tcBorders>
              <w:top w:val="nil"/>
              <w:left w:val="single" w:sz="8" w:space="0" w:color="auto"/>
              <w:bottom w:val="nil"/>
              <w:right w:val="nil"/>
            </w:tcBorders>
            <w:shd w:val="clear" w:color="000000" w:fill="D9D9D9"/>
            <w:noWrap/>
            <w:hideMark/>
          </w:tcPr>
          <w:p w14:paraId="511E7C4B" w14:textId="77777777" w:rsidR="009F0E3D" w:rsidRPr="009F0E3D" w:rsidRDefault="009F0E3D" w:rsidP="009F0E3D">
            <w:pPr>
              <w:spacing w:line="240" w:lineRule="auto"/>
              <w:jc w:val="center"/>
              <w:rPr>
                <w:rFonts w:ascii="Calibri" w:eastAsia="Times New Roman" w:hAnsi="Calibri" w:cs="Calibri"/>
                <w:b/>
                <w:bCs/>
                <w:lang w:eastAsia="cs-CZ"/>
              </w:rPr>
            </w:pPr>
            <w:r w:rsidRPr="009F0E3D">
              <w:rPr>
                <w:rFonts w:ascii="Calibri" w:eastAsia="Times New Roman" w:hAnsi="Calibri" w:cs="Calibri"/>
                <w:b/>
                <w:bCs/>
                <w:lang w:eastAsia="cs-CZ"/>
              </w:rPr>
              <w:t>S</w:t>
            </w:r>
          </w:p>
        </w:tc>
        <w:tc>
          <w:tcPr>
            <w:tcW w:w="819" w:type="dxa"/>
            <w:tcBorders>
              <w:top w:val="single" w:sz="8" w:space="0" w:color="auto"/>
              <w:left w:val="single" w:sz="8" w:space="0" w:color="auto"/>
              <w:bottom w:val="single" w:sz="8" w:space="0" w:color="auto"/>
              <w:right w:val="nil"/>
            </w:tcBorders>
            <w:shd w:val="clear" w:color="auto" w:fill="auto"/>
            <w:noWrap/>
            <w:hideMark/>
          </w:tcPr>
          <w:p w14:paraId="19931C6B" w14:textId="77777777" w:rsidR="009F0E3D" w:rsidRPr="009F0E3D" w:rsidRDefault="009F0E3D" w:rsidP="009F0E3D">
            <w:pPr>
              <w:spacing w:line="240" w:lineRule="auto"/>
              <w:rPr>
                <w:rFonts w:ascii="Calibri" w:eastAsia="Times New Roman" w:hAnsi="Calibri" w:cs="Calibri"/>
                <w:b/>
                <w:bCs/>
                <w:lang w:eastAsia="cs-CZ"/>
              </w:rPr>
            </w:pPr>
            <w:r w:rsidRPr="009F0E3D">
              <w:rPr>
                <w:rFonts w:ascii="Calibri" w:eastAsia="Times New Roman" w:hAnsi="Calibri" w:cs="Calibri"/>
                <w:b/>
                <w:bCs/>
                <w:lang w:eastAsia="cs-CZ"/>
              </w:rPr>
              <w:t>5.5.4.2</w:t>
            </w:r>
          </w:p>
        </w:tc>
        <w:tc>
          <w:tcPr>
            <w:tcW w:w="1538" w:type="dxa"/>
            <w:tcBorders>
              <w:top w:val="nil"/>
              <w:left w:val="single" w:sz="8" w:space="0" w:color="auto"/>
              <w:bottom w:val="single" w:sz="8" w:space="0" w:color="auto"/>
              <w:right w:val="single" w:sz="8" w:space="0" w:color="auto"/>
            </w:tcBorders>
            <w:shd w:val="clear" w:color="auto" w:fill="auto"/>
            <w:hideMark/>
          </w:tcPr>
          <w:p w14:paraId="3BB6002D" w14:textId="77777777" w:rsidR="009F0E3D" w:rsidRPr="0010362C" w:rsidRDefault="009F0E3D" w:rsidP="009F0E3D">
            <w:pPr>
              <w:spacing w:line="240" w:lineRule="auto"/>
              <w:rPr>
                <w:rFonts w:ascii="Calibri" w:eastAsia="Times New Roman" w:hAnsi="Calibri" w:cs="Calibri"/>
                <w:lang w:eastAsia="cs-CZ"/>
              </w:rPr>
            </w:pPr>
            <w:r w:rsidRPr="0010362C">
              <w:rPr>
                <w:rFonts w:ascii="Calibri" w:eastAsia="Times New Roman" w:hAnsi="Calibri" w:cs="Calibri"/>
                <w:lang w:eastAsia="cs-CZ"/>
              </w:rPr>
              <w:t>Přípravy dat pro migraci spisů z aplikace Okcentrum</w:t>
            </w:r>
          </w:p>
        </w:tc>
        <w:tc>
          <w:tcPr>
            <w:tcW w:w="1915" w:type="dxa"/>
            <w:tcBorders>
              <w:top w:val="single" w:sz="8" w:space="0" w:color="auto"/>
              <w:left w:val="nil"/>
              <w:bottom w:val="single" w:sz="4" w:space="0" w:color="auto"/>
              <w:right w:val="single" w:sz="8" w:space="0" w:color="auto"/>
            </w:tcBorders>
            <w:shd w:val="clear" w:color="auto" w:fill="auto"/>
            <w:hideMark/>
          </w:tcPr>
          <w:p w14:paraId="503186E1" w14:textId="77777777" w:rsidR="009F0E3D" w:rsidRPr="009F0E3D" w:rsidRDefault="009F0E3D" w:rsidP="009F0E3D">
            <w:pPr>
              <w:spacing w:line="240" w:lineRule="auto"/>
              <w:rPr>
                <w:rFonts w:ascii="Calibri" w:eastAsia="Times New Roman" w:hAnsi="Calibri" w:cs="Calibri"/>
                <w:lang w:eastAsia="cs-CZ"/>
              </w:rPr>
            </w:pPr>
            <w:r w:rsidRPr="009F0E3D">
              <w:rPr>
                <w:rFonts w:ascii="Calibri" w:eastAsia="Times New Roman" w:hAnsi="Calibri" w:cs="Calibri"/>
                <w:lang w:eastAsia="cs-CZ"/>
              </w:rPr>
              <w:t>Iniciální načtení do ESS/DMS</w:t>
            </w:r>
          </w:p>
        </w:tc>
        <w:tc>
          <w:tcPr>
            <w:tcW w:w="1134" w:type="dxa"/>
            <w:tcBorders>
              <w:top w:val="single" w:sz="8" w:space="0" w:color="auto"/>
              <w:left w:val="single" w:sz="8" w:space="0" w:color="auto"/>
              <w:bottom w:val="single" w:sz="4" w:space="0" w:color="auto"/>
              <w:right w:val="single" w:sz="4" w:space="0" w:color="auto"/>
            </w:tcBorders>
            <w:shd w:val="clear" w:color="auto" w:fill="auto"/>
            <w:hideMark/>
          </w:tcPr>
          <w:p w14:paraId="171038FD" w14:textId="77777777" w:rsidR="009F0E3D" w:rsidRPr="009F0E3D" w:rsidRDefault="009F0E3D" w:rsidP="009F0E3D">
            <w:pPr>
              <w:spacing w:line="240" w:lineRule="auto"/>
              <w:jc w:val="center"/>
              <w:rPr>
                <w:rFonts w:ascii="Calibri" w:eastAsia="Times New Roman" w:hAnsi="Calibri" w:cs="Calibri"/>
                <w:lang w:eastAsia="cs-CZ"/>
              </w:rPr>
            </w:pPr>
            <w:r w:rsidRPr="009F0E3D">
              <w:rPr>
                <w:rFonts w:ascii="Calibri" w:eastAsia="Times New Roman" w:hAnsi="Calibri" w:cs="Calibri"/>
                <w:lang w:eastAsia="cs-CZ"/>
              </w:rPr>
              <w:t> </w:t>
            </w:r>
          </w:p>
        </w:tc>
        <w:tc>
          <w:tcPr>
            <w:tcW w:w="1235" w:type="dxa"/>
            <w:tcBorders>
              <w:top w:val="single" w:sz="8" w:space="0" w:color="auto"/>
              <w:left w:val="nil"/>
              <w:bottom w:val="single" w:sz="4" w:space="0" w:color="auto"/>
              <w:right w:val="single" w:sz="4" w:space="0" w:color="auto"/>
            </w:tcBorders>
            <w:shd w:val="clear" w:color="auto" w:fill="auto"/>
            <w:hideMark/>
          </w:tcPr>
          <w:p w14:paraId="6466EDD1" w14:textId="77777777" w:rsidR="009F0E3D" w:rsidRPr="009F0E3D" w:rsidRDefault="009F0E3D" w:rsidP="009F0E3D">
            <w:pPr>
              <w:spacing w:line="240" w:lineRule="auto"/>
              <w:jc w:val="center"/>
              <w:rPr>
                <w:rFonts w:ascii="Calibri" w:eastAsia="Times New Roman" w:hAnsi="Calibri" w:cs="Calibri"/>
                <w:color w:val="auto"/>
                <w:lang w:eastAsia="cs-CZ"/>
              </w:rPr>
            </w:pPr>
            <w:r w:rsidRPr="009F0E3D">
              <w:rPr>
                <w:rFonts w:ascii="Calibri" w:eastAsia="Times New Roman" w:hAnsi="Calibri" w:cs="Calibri"/>
                <w:color w:val="auto"/>
                <w:lang w:eastAsia="cs-CZ"/>
              </w:rPr>
              <w:t>31.12.2018</w:t>
            </w:r>
          </w:p>
        </w:tc>
        <w:tc>
          <w:tcPr>
            <w:tcW w:w="1317" w:type="dxa"/>
            <w:tcBorders>
              <w:top w:val="single" w:sz="8" w:space="0" w:color="auto"/>
              <w:left w:val="nil"/>
              <w:bottom w:val="single" w:sz="4" w:space="0" w:color="auto"/>
              <w:right w:val="single" w:sz="4" w:space="0" w:color="auto"/>
            </w:tcBorders>
            <w:shd w:val="clear" w:color="auto" w:fill="auto"/>
            <w:noWrap/>
            <w:hideMark/>
          </w:tcPr>
          <w:p w14:paraId="5BBE55B2"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1 643 300</w:t>
            </w:r>
          </w:p>
        </w:tc>
        <w:tc>
          <w:tcPr>
            <w:tcW w:w="1276" w:type="dxa"/>
            <w:tcBorders>
              <w:top w:val="single" w:sz="8" w:space="0" w:color="auto"/>
              <w:left w:val="nil"/>
              <w:bottom w:val="single" w:sz="4" w:space="0" w:color="auto"/>
              <w:right w:val="single" w:sz="8" w:space="0" w:color="auto"/>
            </w:tcBorders>
            <w:shd w:val="clear" w:color="auto" w:fill="auto"/>
            <w:noWrap/>
            <w:hideMark/>
          </w:tcPr>
          <w:p w14:paraId="2FEA87A6" w14:textId="77777777" w:rsidR="009F0E3D" w:rsidRPr="009F0E3D" w:rsidRDefault="009F0E3D" w:rsidP="009F0E3D">
            <w:pPr>
              <w:spacing w:line="240" w:lineRule="auto"/>
              <w:jc w:val="right"/>
              <w:rPr>
                <w:rFonts w:ascii="Calibri" w:eastAsia="Times New Roman" w:hAnsi="Calibri" w:cs="Calibri"/>
                <w:lang w:eastAsia="cs-CZ"/>
              </w:rPr>
            </w:pPr>
            <w:r w:rsidRPr="009F0E3D">
              <w:rPr>
                <w:rFonts w:ascii="Calibri" w:eastAsia="Times New Roman" w:hAnsi="Calibri" w:cs="Calibri"/>
                <w:lang w:eastAsia="cs-CZ"/>
              </w:rPr>
              <w:t>1 988 393</w:t>
            </w:r>
          </w:p>
        </w:tc>
      </w:tr>
      <w:tr w:rsidR="00BC3A91" w:rsidRPr="009F0E3D" w14:paraId="674C30C0" w14:textId="77777777" w:rsidTr="00BC3A91">
        <w:trPr>
          <w:trHeight w:val="2196"/>
        </w:trPr>
        <w:tc>
          <w:tcPr>
            <w:tcW w:w="254" w:type="dxa"/>
            <w:tcBorders>
              <w:top w:val="nil"/>
              <w:left w:val="single" w:sz="8" w:space="0" w:color="auto"/>
              <w:bottom w:val="nil"/>
              <w:right w:val="nil"/>
            </w:tcBorders>
            <w:shd w:val="clear" w:color="000000" w:fill="D9D9D9"/>
            <w:noWrap/>
            <w:hideMark/>
          </w:tcPr>
          <w:p w14:paraId="0D888142" w14:textId="77777777" w:rsidR="009F0E3D" w:rsidRPr="009F0E3D" w:rsidRDefault="009F0E3D" w:rsidP="009F0E3D">
            <w:pPr>
              <w:spacing w:line="240" w:lineRule="auto"/>
              <w:jc w:val="center"/>
              <w:rPr>
                <w:rFonts w:ascii="Calibri" w:eastAsia="Times New Roman" w:hAnsi="Calibri" w:cs="Calibri"/>
                <w:b/>
                <w:bCs/>
                <w:lang w:eastAsia="cs-CZ"/>
              </w:rPr>
            </w:pPr>
            <w:r w:rsidRPr="009F0E3D">
              <w:rPr>
                <w:rFonts w:ascii="Calibri" w:eastAsia="Times New Roman" w:hAnsi="Calibri" w:cs="Calibri"/>
                <w:b/>
                <w:bCs/>
                <w:lang w:eastAsia="cs-CZ"/>
              </w:rPr>
              <w:t>S</w:t>
            </w:r>
          </w:p>
        </w:tc>
        <w:tc>
          <w:tcPr>
            <w:tcW w:w="819" w:type="dxa"/>
            <w:tcBorders>
              <w:top w:val="nil"/>
              <w:left w:val="single" w:sz="8" w:space="0" w:color="auto"/>
              <w:bottom w:val="single" w:sz="8" w:space="0" w:color="auto"/>
              <w:right w:val="nil"/>
            </w:tcBorders>
            <w:shd w:val="clear" w:color="auto" w:fill="auto"/>
            <w:noWrap/>
            <w:hideMark/>
          </w:tcPr>
          <w:p w14:paraId="48D3701B" w14:textId="77777777" w:rsidR="009F0E3D" w:rsidRPr="009F0E3D" w:rsidRDefault="009F0E3D" w:rsidP="009F0E3D">
            <w:pPr>
              <w:spacing w:line="240" w:lineRule="auto"/>
              <w:rPr>
                <w:rFonts w:ascii="Calibri" w:eastAsia="Times New Roman" w:hAnsi="Calibri" w:cs="Calibri"/>
                <w:b/>
                <w:bCs/>
                <w:lang w:eastAsia="cs-CZ"/>
              </w:rPr>
            </w:pPr>
            <w:r w:rsidRPr="009F0E3D">
              <w:rPr>
                <w:rFonts w:ascii="Calibri" w:eastAsia="Times New Roman" w:hAnsi="Calibri" w:cs="Calibri"/>
                <w:b/>
                <w:bCs/>
                <w:lang w:eastAsia="cs-CZ"/>
              </w:rPr>
              <w:t>5.5.5.1</w:t>
            </w:r>
          </w:p>
        </w:tc>
        <w:tc>
          <w:tcPr>
            <w:tcW w:w="1538" w:type="dxa"/>
            <w:tcBorders>
              <w:top w:val="nil"/>
              <w:left w:val="single" w:sz="8" w:space="0" w:color="auto"/>
              <w:bottom w:val="single" w:sz="8" w:space="0" w:color="auto"/>
              <w:right w:val="single" w:sz="8" w:space="0" w:color="auto"/>
            </w:tcBorders>
            <w:shd w:val="clear" w:color="auto" w:fill="auto"/>
            <w:hideMark/>
          </w:tcPr>
          <w:p w14:paraId="72809F50" w14:textId="77777777" w:rsidR="009F0E3D" w:rsidRPr="0010362C" w:rsidRDefault="009F0E3D" w:rsidP="009F0E3D">
            <w:pPr>
              <w:spacing w:line="240" w:lineRule="auto"/>
              <w:rPr>
                <w:rFonts w:ascii="Calibri" w:eastAsia="Times New Roman" w:hAnsi="Calibri" w:cs="Calibri"/>
                <w:lang w:eastAsia="cs-CZ"/>
              </w:rPr>
            </w:pPr>
            <w:r w:rsidRPr="0010362C">
              <w:rPr>
                <w:rFonts w:ascii="Calibri" w:eastAsia="Times New Roman" w:hAnsi="Calibri" w:cs="Calibri"/>
                <w:lang w:eastAsia="cs-CZ"/>
              </w:rPr>
              <w:t>Přípravy dat pro migraci spisů z aplikací OKnouze a OKslužby do spisové služby</w:t>
            </w:r>
          </w:p>
        </w:tc>
        <w:tc>
          <w:tcPr>
            <w:tcW w:w="1915" w:type="dxa"/>
            <w:tcBorders>
              <w:top w:val="nil"/>
              <w:left w:val="nil"/>
              <w:bottom w:val="single" w:sz="4" w:space="0" w:color="auto"/>
              <w:right w:val="single" w:sz="8" w:space="0" w:color="auto"/>
            </w:tcBorders>
            <w:shd w:val="clear" w:color="auto" w:fill="auto"/>
            <w:hideMark/>
          </w:tcPr>
          <w:p w14:paraId="4B6CA24B" w14:textId="77777777" w:rsidR="009F0E3D" w:rsidRPr="009F0E3D" w:rsidRDefault="009F0E3D" w:rsidP="009F0E3D">
            <w:pPr>
              <w:spacing w:line="240" w:lineRule="auto"/>
              <w:rPr>
                <w:rFonts w:ascii="Calibri" w:eastAsia="Times New Roman" w:hAnsi="Calibri" w:cs="Calibri"/>
                <w:lang w:eastAsia="cs-CZ"/>
              </w:rPr>
            </w:pPr>
            <w:r w:rsidRPr="009F0E3D">
              <w:rPr>
                <w:rFonts w:ascii="Calibri" w:eastAsia="Times New Roman" w:hAnsi="Calibri" w:cs="Calibri"/>
                <w:lang w:eastAsia="cs-CZ"/>
              </w:rPr>
              <w:t>Analýza, implementace a testování načítání do ESS/DMS</w:t>
            </w:r>
          </w:p>
        </w:tc>
        <w:tc>
          <w:tcPr>
            <w:tcW w:w="1134" w:type="dxa"/>
            <w:tcBorders>
              <w:top w:val="nil"/>
              <w:left w:val="single" w:sz="8" w:space="0" w:color="auto"/>
              <w:bottom w:val="single" w:sz="4" w:space="0" w:color="auto"/>
              <w:right w:val="single" w:sz="4" w:space="0" w:color="auto"/>
            </w:tcBorders>
            <w:shd w:val="clear" w:color="auto" w:fill="auto"/>
            <w:hideMark/>
          </w:tcPr>
          <w:p w14:paraId="219AF62F" w14:textId="77777777" w:rsidR="009F0E3D" w:rsidRPr="009F0E3D" w:rsidRDefault="009F0E3D" w:rsidP="009F0E3D">
            <w:pPr>
              <w:spacing w:line="240" w:lineRule="auto"/>
              <w:jc w:val="center"/>
              <w:rPr>
                <w:rFonts w:ascii="Calibri" w:eastAsia="Times New Roman" w:hAnsi="Calibri" w:cs="Calibri"/>
                <w:color w:val="auto"/>
                <w:lang w:eastAsia="cs-CZ"/>
              </w:rPr>
            </w:pPr>
            <w:r w:rsidRPr="009F0E3D">
              <w:rPr>
                <w:rFonts w:ascii="Calibri" w:eastAsia="Times New Roman" w:hAnsi="Calibri" w:cs="Calibri"/>
                <w:color w:val="auto"/>
                <w:lang w:eastAsia="cs-CZ"/>
              </w:rPr>
              <w:t> </w:t>
            </w:r>
          </w:p>
        </w:tc>
        <w:tc>
          <w:tcPr>
            <w:tcW w:w="1235" w:type="dxa"/>
            <w:tcBorders>
              <w:top w:val="nil"/>
              <w:left w:val="nil"/>
              <w:bottom w:val="single" w:sz="4" w:space="0" w:color="auto"/>
              <w:right w:val="single" w:sz="4" w:space="0" w:color="auto"/>
            </w:tcBorders>
            <w:shd w:val="clear" w:color="auto" w:fill="auto"/>
            <w:hideMark/>
          </w:tcPr>
          <w:p w14:paraId="50E321DF" w14:textId="77777777" w:rsidR="009F0E3D" w:rsidRPr="009F0E3D" w:rsidRDefault="009F0E3D" w:rsidP="009F0E3D">
            <w:pPr>
              <w:spacing w:line="240" w:lineRule="auto"/>
              <w:jc w:val="center"/>
              <w:rPr>
                <w:rFonts w:ascii="Calibri" w:eastAsia="Times New Roman" w:hAnsi="Calibri" w:cs="Calibri"/>
                <w:color w:val="auto"/>
                <w:lang w:eastAsia="cs-CZ"/>
              </w:rPr>
            </w:pPr>
            <w:r w:rsidRPr="009F0E3D">
              <w:rPr>
                <w:rFonts w:ascii="Calibri" w:eastAsia="Times New Roman" w:hAnsi="Calibri" w:cs="Calibri"/>
                <w:color w:val="auto"/>
                <w:lang w:eastAsia="cs-CZ"/>
              </w:rPr>
              <w:t>30.09.2018</w:t>
            </w:r>
          </w:p>
        </w:tc>
        <w:tc>
          <w:tcPr>
            <w:tcW w:w="1317" w:type="dxa"/>
            <w:tcBorders>
              <w:top w:val="nil"/>
              <w:left w:val="nil"/>
              <w:bottom w:val="single" w:sz="4" w:space="0" w:color="auto"/>
              <w:right w:val="single" w:sz="4" w:space="0" w:color="auto"/>
            </w:tcBorders>
            <w:shd w:val="clear" w:color="auto" w:fill="auto"/>
            <w:noWrap/>
            <w:hideMark/>
          </w:tcPr>
          <w:p w14:paraId="349735B7"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3 286 800</w:t>
            </w:r>
          </w:p>
        </w:tc>
        <w:tc>
          <w:tcPr>
            <w:tcW w:w="1276" w:type="dxa"/>
            <w:tcBorders>
              <w:top w:val="nil"/>
              <w:left w:val="nil"/>
              <w:bottom w:val="single" w:sz="4" w:space="0" w:color="auto"/>
              <w:right w:val="single" w:sz="8" w:space="0" w:color="auto"/>
            </w:tcBorders>
            <w:shd w:val="clear" w:color="auto" w:fill="auto"/>
            <w:noWrap/>
            <w:hideMark/>
          </w:tcPr>
          <w:p w14:paraId="27F46ED2" w14:textId="77777777" w:rsidR="009F0E3D" w:rsidRPr="009F0E3D" w:rsidRDefault="009F0E3D" w:rsidP="009F0E3D">
            <w:pPr>
              <w:spacing w:line="240" w:lineRule="auto"/>
              <w:jc w:val="right"/>
              <w:rPr>
                <w:rFonts w:ascii="Calibri" w:eastAsia="Times New Roman" w:hAnsi="Calibri" w:cs="Calibri"/>
                <w:lang w:eastAsia="cs-CZ"/>
              </w:rPr>
            </w:pPr>
            <w:r w:rsidRPr="009F0E3D">
              <w:rPr>
                <w:rFonts w:ascii="Calibri" w:eastAsia="Times New Roman" w:hAnsi="Calibri" w:cs="Calibri"/>
                <w:lang w:eastAsia="cs-CZ"/>
              </w:rPr>
              <w:t>3 977 028</w:t>
            </w:r>
          </w:p>
        </w:tc>
      </w:tr>
      <w:tr w:rsidR="00BC3A91" w:rsidRPr="009F0E3D" w14:paraId="3B8FB09E" w14:textId="77777777" w:rsidTr="00BC3A91">
        <w:trPr>
          <w:trHeight w:val="948"/>
        </w:trPr>
        <w:tc>
          <w:tcPr>
            <w:tcW w:w="254" w:type="dxa"/>
            <w:tcBorders>
              <w:top w:val="nil"/>
              <w:left w:val="single" w:sz="8" w:space="0" w:color="auto"/>
              <w:bottom w:val="single" w:sz="8" w:space="0" w:color="auto"/>
              <w:right w:val="nil"/>
            </w:tcBorders>
            <w:shd w:val="clear" w:color="000000" w:fill="D9D9D9"/>
            <w:noWrap/>
            <w:hideMark/>
          </w:tcPr>
          <w:p w14:paraId="70F71402" w14:textId="77777777" w:rsidR="009F0E3D" w:rsidRPr="009F0E3D" w:rsidRDefault="009F0E3D" w:rsidP="009F0E3D">
            <w:pPr>
              <w:spacing w:line="240" w:lineRule="auto"/>
              <w:jc w:val="center"/>
              <w:rPr>
                <w:rFonts w:ascii="Calibri" w:eastAsia="Times New Roman" w:hAnsi="Calibri" w:cs="Calibri"/>
                <w:b/>
                <w:bCs/>
                <w:lang w:eastAsia="cs-CZ"/>
              </w:rPr>
            </w:pPr>
            <w:r w:rsidRPr="009F0E3D">
              <w:rPr>
                <w:rFonts w:ascii="Calibri" w:eastAsia="Times New Roman" w:hAnsi="Calibri" w:cs="Calibri"/>
                <w:b/>
                <w:bCs/>
                <w:lang w:eastAsia="cs-CZ"/>
              </w:rPr>
              <w:t>S</w:t>
            </w:r>
          </w:p>
        </w:tc>
        <w:tc>
          <w:tcPr>
            <w:tcW w:w="819" w:type="dxa"/>
            <w:tcBorders>
              <w:top w:val="nil"/>
              <w:left w:val="single" w:sz="8" w:space="0" w:color="auto"/>
              <w:bottom w:val="single" w:sz="8" w:space="0" w:color="auto"/>
              <w:right w:val="nil"/>
            </w:tcBorders>
            <w:shd w:val="clear" w:color="auto" w:fill="auto"/>
            <w:noWrap/>
            <w:hideMark/>
          </w:tcPr>
          <w:p w14:paraId="51C77DE5" w14:textId="77777777" w:rsidR="009F0E3D" w:rsidRPr="009F0E3D" w:rsidRDefault="009F0E3D" w:rsidP="009F0E3D">
            <w:pPr>
              <w:spacing w:line="240" w:lineRule="auto"/>
              <w:rPr>
                <w:rFonts w:ascii="Calibri" w:eastAsia="Times New Roman" w:hAnsi="Calibri" w:cs="Calibri"/>
                <w:b/>
                <w:bCs/>
                <w:lang w:eastAsia="cs-CZ"/>
              </w:rPr>
            </w:pPr>
            <w:r w:rsidRPr="009F0E3D">
              <w:rPr>
                <w:rFonts w:ascii="Calibri" w:eastAsia="Times New Roman" w:hAnsi="Calibri" w:cs="Calibri"/>
                <w:b/>
                <w:bCs/>
                <w:lang w:eastAsia="cs-CZ"/>
              </w:rPr>
              <w:t>5.5.5.2</w:t>
            </w:r>
          </w:p>
        </w:tc>
        <w:tc>
          <w:tcPr>
            <w:tcW w:w="1538" w:type="dxa"/>
            <w:tcBorders>
              <w:top w:val="nil"/>
              <w:left w:val="single" w:sz="8" w:space="0" w:color="auto"/>
              <w:bottom w:val="single" w:sz="8" w:space="0" w:color="auto"/>
              <w:right w:val="single" w:sz="8" w:space="0" w:color="auto"/>
            </w:tcBorders>
            <w:shd w:val="clear" w:color="auto" w:fill="auto"/>
            <w:hideMark/>
          </w:tcPr>
          <w:p w14:paraId="6D35AD0E" w14:textId="77777777" w:rsidR="009F0E3D" w:rsidRPr="009F0E3D" w:rsidRDefault="009F0E3D" w:rsidP="009F0E3D">
            <w:pPr>
              <w:spacing w:line="240" w:lineRule="auto"/>
              <w:rPr>
                <w:rFonts w:ascii="Calibri" w:eastAsia="Times New Roman" w:hAnsi="Calibri" w:cs="Calibri"/>
                <w:lang w:eastAsia="cs-CZ"/>
              </w:rPr>
            </w:pPr>
            <w:r w:rsidRPr="009F0E3D">
              <w:rPr>
                <w:rFonts w:ascii="Calibri" w:eastAsia="Times New Roman" w:hAnsi="Calibri" w:cs="Calibri"/>
                <w:lang w:eastAsia="cs-CZ"/>
              </w:rPr>
              <w:t> </w:t>
            </w:r>
          </w:p>
        </w:tc>
        <w:tc>
          <w:tcPr>
            <w:tcW w:w="1915" w:type="dxa"/>
            <w:tcBorders>
              <w:top w:val="nil"/>
              <w:left w:val="nil"/>
              <w:bottom w:val="single" w:sz="8" w:space="0" w:color="auto"/>
              <w:right w:val="single" w:sz="8" w:space="0" w:color="auto"/>
            </w:tcBorders>
            <w:shd w:val="clear" w:color="auto" w:fill="auto"/>
            <w:hideMark/>
          </w:tcPr>
          <w:p w14:paraId="3F3CDD62" w14:textId="77777777" w:rsidR="009F0E3D" w:rsidRPr="009F0E3D" w:rsidRDefault="009F0E3D" w:rsidP="009F0E3D">
            <w:pPr>
              <w:spacing w:line="240" w:lineRule="auto"/>
              <w:rPr>
                <w:rFonts w:ascii="Calibri" w:eastAsia="Times New Roman" w:hAnsi="Calibri" w:cs="Calibri"/>
                <w:lang w:eastAsia="cs-CZ"/>
              </w:rPr>
            </w:pPr>
            <w:r w:rsidRPr="009F0E3D">
              <w:rPr>
                <w:rFonts w:ascii="Calibri" w:eastAsia="Times New Roman" w:hAnsi="Calibri" w:cs="Calibri"/>
                <w:lang w:eastAsia="cs-CZ"/>
              </w:rPr>
              <w:t>Iniciální načtení do ESS/DMS</w:t>
            </w:r>
          </w:p>
        </w:tc>
        <w:tc>
          <w:tcPr>
            <w:tcW w:w="1134" w:type="dxa"/>
            <w:tcBorders>
              <w:top w:val="nil"/>
              <w:left w:val="single" w:sz="8" w:space="0" w:color="auto"/>
              <w:bottom w:val="single" w:sz="8" w:space="0" w:color="auto"/>
              <w:right w:val="single" w:sz="4" w:space="0" w:color="auto"/>
            </w:tcBorders>
            <w:shd w:val="clear" w:color="auto" w:fill="auto"/>
            <w:hideMark/>
          </w:tcPr>
          <w:p w14:paraId="1D05D6A4" w14:textId="77777777" w:rsidR="009F0E3D" w:rsidRPr="009F0E3D" w:rsidRDefault="009F0E3D" w:rsidP="009F0E3D">
            <w:pPr>
              <w:spacing w:line="240" w:lineRule="auto"/>
              <w:jc w:val="center"/>
              <w:rPr>
                <w:rFonts w:ascii="Calibri" w:eastAsia="Times New Roman" w:hAnsi="Calibri" w:cs="Calibri"/>
                <w:lang w:eastAsia="cs-CZ"/>
              </w:rPr>
            </w:pPr>
            <w:r w:rsidRPr="009F0E3D">
              <w:rPr>
                <w:rFonts w:ascii="Calibri" w:eastAsia="Times New Roman" w:hAnsi="Calibri" w:cs="Calibri"/>
                <w:lang w:eastAsia="cs-CZ"/>
              </w:rPr>
              <w:t> </w:t>
            </w:r>
          </w:p>
        </w:tc>
        <w:tc>
          <w:tcPr>
            <w:tcW w:w="1235" w:type="dxa"/>
            <w:tcBorders>
              <w:top w:val="nil"/>
              <w:left w:val="nil"/>
              <w:bottom w:val="single" w:sz="8" w:space="0" w:color="auto"/>
              <w:right w:val="single" w:sz="4" w:space="0" w:color="auto"/>
            </w:tcBorders>
            <w:shd w:val="clear" w:color="auto" w:fill="auto"/>
            <w:hideMark/>
          </w:tcPr>
          <w:p w14:paraId="0408037C" w14:textId="77777777" w:rsidR="009F0E3D" w:rsidRPr="009F0E3D" w:rsidRDefault="009F0E3D" w:rsidP="009F0E3D">
            <w:pPr>
              <w:spacing w:line="240" w:lineRule="auto"/>
              <w:jc w:val="center"/>
              <w:rPr>
                <w:rFonts w:ascii="Calibri" w:eastAsia="Times New Roman" w:hAnsi="Calibri" w:cs="Calibri"/>
                <w:color w:val="auto"/>
                <w:lang w:eastAsia="cs-CZ"/>
              </w:rPr>
            </w:pPr>
            <w:r w:rsidRPr="009F0E3D">
              <w:rPr>
                <w:rFonts w:ascii="Calibri" w:eastAsia="Times New Roman" w:hAnsi="Calibri" w:cs="Calibri"/>
                <w:color w:val="auto"/>
                <w:lang w:eastAsia="cs-CZ"/>
              </w:rPr>
              <w:t>31.12.2018</w:t>
            </w:r>
          </w:p>
        </w:tc>
        <w:tc>
          <w:tcPr>
            <w:tcW w:w="1317" w:type="dxa"/>
            <w:tcBorders>
              <w:top w:val="nil"/>
              <w:left w:val="nil"/>
              <w:bottom w:val="single" w:sz="8" w:space="0" w:color="auto"/>
              <w:right w:val="single" w:sz="4" w:space="0" w:color="auto"/>
            </w:tcBorders>
            <w:shd w:val="clear" w:color="auto" w:fill="auto"/>
            <w:noWrap/>
            <w:hideMark/>
          </w:tcPr>
          <w:p w14:paraId="427A5E79" w14:textId="77777777" w:rsidR="009F0E3D" w:rsidRPr="009F0E3D" w:rsidRDefault="009F0E3D" w:rsidP="009F0E3D">
            <w:pPr>
              <w:spacing w:line="240" w:lineRule="auto"/>
              <w:jc w:val="right"/>
              <w:rPr>
                <w:rFonts w:ascii="Calibri" w:eastAsia="Times New Roman" w:hAnsi="Calibri" w:cs="Calibri"/>
                <w:color w:val="auto"/>
                <w:lang w:eastAsia="cs-CZ"/>
              </w:rPr>
            </w:pPr>
            <w:r w:rsidRPr="009F0E3D">
              <w:rPr>
                <w:rFonts w:ascii="Calibri" w:eastAsia="Times New Roman" w:hAnsi="Calibri" w:cs="Calibri"/>
                <w:color w:val="auto"/>
                <w:lang w:eastAsia="cs-CZ"/>
              </w:rPr>
              <w:t>1 643 300</w:t>
            </w:r>
          </w:p>
        </w:tc>
        <w:tc>
          <w:tcPr>
            <w:tcW w:w="1276" w:type="dxa"/>
            <w:tcBorders>
              <w:top w:val="nil"/>
              <w:left w:val="nil"/>
              <w:bottom w:val="single" w:sz="8" w:space="0" w:color="auto"/>
              <w:right w:val="single" w:sz="8" w:space="0" w:color="auto"/>
            </w:tcBorders>
            <w:shd w:val="clear" w:color="auto" w:fill="auto"/>
            <w:noWrap/>
            <w:hideMark/>
          </w:tcPr>
          <w:p w14:paraId="6B872B29" w14:textId="77777777" w:rsidR="009F0E3D" w:rsidRPr="009F0E3D" w:rsidRDefault="009F0E3D" w:rsidP="009F0E3D">
            <w:pPr>
              <w:spacing w:line="240" w:lineRule="auto"/>
              <w:jc w:val="right"/>
              <w:rPr>
                <w:rFonts w:ascii="Calibri" w:eastAsia="Times New Roman" w:hAnsi="Calibri" w:cs="Calibri"/>
                <w:lang w:eastAsia="cs-CZ"/>
              </w:rPr>
            </w:pPr>
            <w:r w:rsidRPr="009F0E3D">
              <w:rPr>
                <w:rFonts w:ascii="Calibri" w:eastAsia="Times New Roman" w:hAnsi="Calibri" w:cs="Calibri"/>
                <w:lang w:eastAsia="cs-CZ"/>
              </w:rPr>
              <w:t>1 988 393</w:t>
            </w:r>
          </w:p>
        </w:tc>
      </w:tr>
      <w:tr w:rsidR="009F0E3D" w:rsidRPr="009F0E3D" w14:paraId="6081996F" w14:textId="77777777" w:rsidTr="00DC7032">
        <w:trPr>
          <w:trHeight w:val="689"/>
        </w:trPr>
        <w:tc>
          <w:tcPr>
            <w:tcW w:w="9488" w:type="dxa"/>
            <w:gridSpan w:val="8"/>
            <w:tcBorders>
              <w:top w:val="single" w:sz="8" w:space="0" w:color="auto"/>
              <w:left w:val="single" w:sz="8" w:space="0" w:color="auto"/>
              <w:bottom w:val="single" w:sz="8" w:space="0" w:color="auto"/>
              <w:right w:val="single" w:sz="8" w:space="0" w:color="auto"/>
            </w:tcBorders>
            <w:shd w:val="clear" w:color="auto" w:fill="auto"/>
            <w:noWrap/>
            <w:hideMark/>
          </w:tcPr>
          <w:p w14:paraId="3639BFD8" w14:textId="22D39C6B" w:rsidR="009F0E3D" w:rsidRPr="009F0E3D" w:rsidRDefault="009F0E3D" w:rsidP="009F0E3D">
            <w:pPr>
              <w:spacing w:line="240" w:lineRule="auto"/>
              <w:rPr>
                <w:rFonts w:ascii="Calibri" w:eastAsia="Times New Roman" w:hAnsi="Calibri" w:cs="Calibri"/>
                <w:color w:val="000000"/>
                <w:lang w:eastAsia="cs-CZ"/>
              </w:rPr>
            </w:pPr>
            <w:r w:rsidRPr="009F0E3D">
              <w:rPr>
                <w:rFonts w:ascii="Calibri" w:eastAsia="Times New Roman" w:hAnsi="Calibri" w:cs="Calibri"/>
                <w:color w:val="000000"/>
                <w:lang w:eastAsia="cs-CZ"/>
              </w:rPr>
              <w:t xml:space="preserve">* kde T je termín předání detailních požadavků na migrace od projektu IS DAV po jeho </w:t>
            </w:r>
            <w:r w:rsidR="0018528E" w:rsidRPr="009F0E3D">
              <w:rPr>
                <w:rFonts w:ascii="Calibri" w:eastAsia="Times New Roman" w:hAnsi="Calibri" w:cs="Calibri"/>
                <w:color w:val="000000"/>
                <w:lang w:eastAsia="cs-CZ"/>
              </w:rPr>
              <w:t>zahájení</w:t>
            </w:r>
            <w:r w:rsidRPr="009F0E3D">
              <w:rPr>
                <w:rFonts w:ascii="Calibri" w:eastAsia="Times New Roman" w:hAnsi="Calibri" w:cs="Calibri"/>
                <w:color w:val="000000"/>
                <w:lang w:eastAsia="cs-CZ"/>
              </w:rPr>
              <w:t>. Obsah milníků bude poté aktualizován dle těchto požadavků.  </w:t>
            </w:r>
          </w:p>
        </w:tc>
      </w:tr>
    </w:tbl>
    <w:p w14:paraId="3D05A25A" w14:textId="1D32F9C2" w:rsidR="00FC06F4" w:rsidRDefault="00FC06F4" w:rsidP="00F26BC1">
      <w:pPr>
        <w:pStyle w:val="GSOdstavec"/>
        <w:rPr>
          <w:rFonts w:eastAsia="Times New Roman" w:cs="Arial"/>
          <w:color w:val="000000"/>
          <w:szCs w:val="22"/>
          <w:lang w:eastAsia="cs-CZ"/>
        </w:rPr>
      </w:pPr>
      <w:r w:rsidRPr="00C22A86">
        <w:rPr>
          <w:rFonts w:eastAsia="Times New Roman" w:cs="Arial"/>
          <w:color w:val="000000"/>
          <w:szCs w:val="22"/>
          <w:lang w:eastAsia="cs-CZ"/>
        </w:rPr>
        <w:t>Viz Příloha č.1 k Obchodní Smlouvě č. 09/2017</w:t>
      </w:r>
      <w:r w:rsidR="008B5A4B">
        <w:rPr>
          <w:rFonts w:eastAsia="Times New Roman" w:cs="Arial"/>
          <w:color w:val="000000"/>
          <w:szCs w:val="22"/>
          <w:lang w:eastAsia="cs-CZ"/>
        </w:rPr>
        <w:t>.</w:t>
      </w:r>
    </w:p>
    <w:p w14:paraId="7486922F" w14:textId="4EB058C0" w:rsidR="00090581" w:rsidRPr="003871B3" w:rsidRDefault="00A7403E" w:rsidP="00C11B8D">
      <w:pPr>
        <w:pStyle w:val="GSNadpis2"/>
      </w:pPr>
      <w:bookmarkStart w:id="61" w:name="_Ref522274772"/>
      <w:bookmarkStart w:id="62" w:name="_Toc522884716"/>
      <w:r w:rsidRPr="003871B3">
        <w:t>Další k</w:t>
      </w:r>
      <w:r w:rsidR="00C11B8D" w:rsidRPr="003871B3">
        <w:t xml:space="preserve">onzultační </w:t>
      </w:r>
      <w:r w:rsidRPr="003871B3">
        <w:t>služby</w:t>
      </w:r>
      <w:r w:rsidR="00C11B8D" w:rsidRPr="003871B3">
        <w:t xml:space="preserve"> při migracích</w:t>
      </w:r>
      <w:bookmarkEnd w:id="61"/>
      <w:bookmarkEnd w:id="62"/>
    </w:p>
    <w:tbl>
      <w:tblPr>
        <w:tblW w:w="10217" w:type="dxa"/>
        <w:tblCellMar>
          <w:left w:w="70" w:type="dxa"/>
          <w:right w:w="70" w:type="dxa"/>
        </w:tblCellMar>
        <w:tblLook w:val="04A0" w:firstRow="1" w:lastRow="0" w:firstColumn="1" w:lastColumn="0" w:noHBand="0" w:noVBand="1"/>
      </w:tblPr>
      <w:tblGrid>
        <w:gridCol w:w="349"/>
        <w:gridCol w:w="927"/>
        <w:gridCol w:w="3160"/>
        <w:gridCol w:w="220"/>
        <w:gridCol w:w="1015"/>
        <w:gridCol w:w="1027"/>
        <w:gridCol w:w="248"/>
        <w:gridCol w:w="1028"/>
        <w:gridCol w:w="75"/>
        <w:gridCol w:w="1414"/>
        <w:gridCol w:w="594"/>
        <w:gridCol w:w="160"/>
      </w:tblGrid>
      <w:tr w:rsidR="00210A72" w:rsidRPr="003871B3" w14:paraId="751CAC6C" w14:textId="77777777" w:rsidTr="00DC7032">
        <w:trPr>
          <w:trHeight w:val="324"/>
        </w:trPr>
        <w:tc>
          <w:tcPr>
            <w:tcW w:w="4436" w:type="dxa"/>
            <w:gridSpan w:val="3"/>
            <w:tcBorders>
              <w:top w:val="nil"/>
              <w:left w:val="nil"/>
              <w:bottom w:val="nil"/>
              <w:right w:val="nil"/>
            </w:tcBorders>
            <w:shd w:val="clear" w:color="auto" w:fill="auto"/>
            <w:noWrap/>
            <w:hideMark/>
          </w:tcPr>
          <w:p w14:paraId="53E59F64" w14:textId="6B9992FD" w:rsidR="00210A72" w:rsidRPr="003871B3" w:rsidRDefault="00210A72" w:rsidP="00210A72">
            <w:pPr>
              <w:spacing w:line="240" w:lineRule="auto"/>
              <w:rPr>
                <w:rFonts w:ascii="Calibri" w:eastAsia="Times New Roman" w:hAnsi="Calibri"/>
                <w:b/>
                <w:bCs/>
                <w:color w:val="000000"/>
                <w:lang w:eastAsia="cs-CZ"/>
              </w:rPr>
            </w:pPr>
          </w:p>
        </w:tc>
        <w:tc>
          <w:tcPr>
            <w:tcW w:w="220" w:type="dxa"/>
            <w:tcBorders>
              <w:top w:val="nil"/>
              <w:left w:val="nil"/>
              <w:bottom w:val="nil"/>
              <w:right w:val="nil"/>
            </w:tcBorders>
            <w:shd w:val="clear" w:color="auto" w:fill="auto"/>
            <w:noWrap/>
            <w:vAlign w:val="bottom"/>
            <w:hideMark/>
          </w:tcPr>
          <w:p w14:paraId="2B20ABE7" w14:textId="77777777" w:rsidR="00210A72" w:rsidRPr="003871B3" w:rsidRDefault="00210A72" w:rsidP="00210A72">
            <w:pPr>
              <w:spacing w:line="240" w:lineRule="auto"/>
              <w:rPr>
                <w:rFonts w:ascii="Calibri" w:eastAsia="Times New Roman" w:hAnsi="Calibri"/>
                <w:b/>
                <w:bCs/>
                <w:color w:val="000000"/>
                <w:lang w:eastAsia="cs-CZ"/>
              </w:rPr>
            </w:pPr>
          </w:p>
        </w:tc>
        <w:tc>
          <w:tcPr>
            <w:tcW w:w="2042" w:type="dxa"/>
            <w:gridSpan w:val="2"/>
            <w:tcBorders>
              <w:top w:val="nil"/>
              <w:left w:val="nil"/>
              <w:bottom w:val="single" w:sz="4" w:space="0" w:color="auto"/>
              <w:right w:val="nil"/>
            </w:tcBorders>
            <w:shd w:val="clear" w:color="auto" w:fill="auto"/>
            <w:noWrap/>
            <w:vAlign w:val="bottom"/>
            <w:hideMark/>
          </w:tcPr>
          <w:p w14:paraId="1F6F77F7" w14:textId="77777777" w:rsidR="00210A72" w:rsidRPr="003871B3" w:rsidRDefault="00210A72" w:rsidP="00210A72">
            <w:pPr>
              <w:spacing w:line="240" w:lineRule="auto"/>
              <w:rPr>
                <w:rFonts w:ascii="Times New Roman" w:eastAsia="Times New Roman" w:hAnsi="Times New Roman"/>
                <w:color w:val="auto"/>
                <w:sz w:val="20"/>
                <w:szCs w:val="20"/>
                <w:lang w:eastAsia="cs-CZ"/>
              </w:rPr>
            </w:pPr>
          </w:p>
        </w:tc>
        <w:tc>
          <w:tcPr>
            <w:tcW w:w="1276" w:type="dxa"/>
            <w:gridSpan w:val="2"/>
            <w:tcBorders>
              <w:top w:val="nil"/>
              <w:left w:val="nil"/>
              <w:bottom w:val="single" w:sz="4" w:space="0" w:color="auto"/>
              <w:right w:val="nil"/>
            </w:tcBorders>
            <w:shd w:val="clear" w:color="auto" w:fill="auto"/>
            <w:noWrap/>
            <w:vAlign w:val="bottom"/>
            <w:hideMark/>
          </w:tcPr>
          <w:p w14:paraId="1259F74E" w14:textId="77777777" w:rsidR="00210A72" w:rsidRPr="003871B3" w:rsidRDefault="00210A72" w:rsidP="00210A72">
            <w:pPr>
              <w:spacing w:line="240" w:lineRule="auto"/>
              <w:rPr>
                <w:rFonts w:ascii="Times New Roman" w:eastAsia="Times New Roman" w:hAnsi="Times New Roman"/>
                <w:color w:val="auto"/>
                <w:sz w:val="20"/>
                <w:szCs w:val="20"/>
                <w:lang w:eastAsia="cs-CZ"/>
              </w:rPr>
            </w:pPr>
          </w:p>
        </w:tc>
        <w:tc>
          <w:tcPr>
            <w:tcW w:w="2083" w:type="dxa"/>
            <w:gridSpan w:val="3"/>
            <w:tcBorders>
              <w:top w:val="nil"/>
              <w:left w:val="nil"/>
              <w:bottom w:val="single" w:sz="4" w:space="0" w:color="auto"/>
              <w:right w:val="nil"/>
            </w:tcBorders>
            <w:shd w:val="clear" w:color="auto" w:fill="auto"/>
            <w:noWrap/>
            <w:vAlign w:val="bottom"/>
            <w:hideMark/>
          </w:tcPr>
          <w:p w14:paraId="20712422" w14:textId="77777777" w:rsidR="00210A72" w:rsidRPr="003871B3" w:rsidRDefault="00210A72" w:rsidP="00210A72">
            <w:pPr>
              <w:spacing w:line="240" w:lineRule="auto"/>
              <w:rPr>
                <w:rFonts w:ascii="Times New Roman" w:eastAsia="Times New Roman" w:hAnsi="Times New Roman"/>
                <w:color w:val="auto"/>
                <w:sz w:val="20"/>
                <w:szCs w:val="20"/>
                <w:lang w:eastAsia="cs-CZ"/>
              </w:rPr>
            </w:pPr>
          </w:p>
        </w:tc>
        <w:tc>
          <w:tcPr>
            <w:tcW w:w="160" w:type="dxa"/>
            <w:tcBorders>
              <w:top w:val="nil"/>
              <w:left w:val="nil"/>
              <w:bottom w:val="single" w:sz="4" w:space="0" w:color="auto"/>
              <w:right w:val="nil"/>
            </w:tcBorders>
            <w:shd w:val="clear" w:color="auto" w:fill="auto"/>
            <w:noWrap/>
            <w:vAlign w:val="bottom"/>
            <w:hideMark/>
          </w:tcPr>
          <w:p w14:paraId="2F83FA0E" w14:textId="77777777" w:rsidR="00210A72" w:rsidRPr="003871B3" w:rsidRDefault="00210A72" w:rsidP="00210A72">
            <w:pPr>
              <w:spacing w:line="240" w:lineRule="auto"/>
              <w:jc w:val="right"/>
              <w:rPr>
                <w:rFonts w:ascii="Times New Roman" w:eastAsia="Times New Roman" w:hAnsi="Times New Roman"/>
                <w:color w:val="auto"/>
                <w:sz w:val="20"/>
                <w:szCs w:val="20"/>
                <w:lang w:eastAsia="cs-CZ"/>
              </w:rPr>
            </w:pPr>
          </w:p>
        </w:tc>
      </w:tr>
      <w:tr w:rsidR="00DC7032" w:rsidRPr="003871B3" w14:paraId="4A9CFBA0" w14:textId="77777777" w:rsidTr="00DC7032">
        <w:trPr>
          <w:gridAfter w:val="2"/>
          <w:wAfter w:w="754" w:type="dxa"/>
          <w:trHeight w:val="324"/>
        </w:trPr>
        <w:tc>
          <w:tcPr>
            <w:tcW w:w="349" w:type="dxa"/>
            <w:tcBorders>
              <w:top w:val="single" w:sz="8" w:space="0" w:color="auto"/>
              <w:left w:val="single" w:sz="8" w:space="0" w:color="auto"/>
              <w:bottom w:val="single" w:sz="4" w:space="0" w:color="auto"/>
              <w:right w:val="single" w:sz="4" w:space="0" w:color="auto"/>
            </w:tcBorders>
            <w:shd w:val="clear" w:color="000000" w:fill="D9D9D9"/>
            <w:noWrap/>
            <w:hideMark/>
          </w:tcPr>
          <w:p w14:paraId="680F940F" w14:textId="77777777" w:rsidR="0041717F" w:rsidRPr="003871B3" w:rsidRDefault="0041717F" w:rsidP="00210A72">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 </w:t>
            </w:r>
          </w:p>
        </w:tc>
        <w:tc>
          <w:tcPr>
            <w:tcW w:w="927" w:type="dxa"/>
            <w:tcBorders>
              <w:top w:val="single" w:sz="8" w:space="0" w:color="auto"/>
              <w:left w:val="nil"/>
              <w:bottom w:val="single" w:sz="4" w:space="0" w:color="auto"/>
              <w:right w:val="single" w:sz="4" w:space="0" w:color="auto"/>
            </w:tcBorders>
            <w:shd w:val="clear" w:color="000000" w:fill="D9D9D9"/>
            <w:noWrap/>
            <w:hideMark/>
          </w:tcPr>
          <w:p w14:paraId="38AFE1C9" w14:textId="77777777" w:rsidR="0041717F" w:rsidRPr="003871B3" w:rsidRDefault="0041717F" w:rsidP="00210A72">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Milník</w:t>
            </w:r>
          </w:p>
        </w:tc>
        <w:tc>
          <w:tcPr>
            <w:tcW w:w="3160" w:type="dxa"/>
            <w:tcBorders>
              <w:top w:val="single" w:sz="4" w:space="0" w:color="auto"/>
              <w:left w:val="nil"/>
              <w:bottom w:val="single" w:sz="4" w:space="0" w:color="auto"/>
              <w:right w:val="single" w:sz="4" w:space="0" w:color="auto"/>
            </w:tcBorders>
            <w:shd w:val="clear" w:color="000000" w:fill="D9D9D9"/>
            <w:noWrap/>
            <w:hideMark/>
          </w:tcPr>
          <w:p w14:paraId="4E75A9CB" w14:textId="77777777" w:rsidR="0041717F" w:rsidRPr="003871B3" w:rsidRDefault="0041717F" w:rsidP="00210A72">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Oblast řešení</w:t>
            </w:r>
          </w:p>
        </w:tc>
        <w:tc>
          <w:tcPr>
            <w:tcW w:w="123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85F2A35" w14:textId="77777777" w:rsidR="0041717F" w:rsidRPr="003871B3" w:rsidRDefault="0041717F" w:rsidP="00210A72">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Začátek</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5E33840" w14:textId="77777777" w:rsidR="0041717F" w:rsidRPr="003871B3" w:rsidRDefault="0041717F" w:rsidP="00210A72">
            <w:pPr>
              <w:spacing w:line="240" w:lineRule="auto"/>
              <w:jc w:val="center"/>
              <w:rPr>
                <w:rFonts w:ascii="Calibri" w:eastAsia="Times New Roman" w:hAnsi="Calibri"/>
                <w:b/>
                <w:bCs/>
                <w:color w:val="000000"/>
                <w:lang w:eastAsia="cs-CZ"/>
              </w:rPr>
            </w:pPr>
            <w:r w:rsidRPr="003871B3">
              <w:rPr>
                <w:rFonts w:ascii="Calibri" w:eastAsia="Times New Roman" w:hAnsi="Calibri"/>
                <w:b/>
                <w:bCs/>
                <w:color w:val="000000"/>
                <w:lang w:eastAsia="cs-CZ"/>
              </w:rPr>
              <w:t>Konec</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8F1D8FA" w14:textId="77777777" w:rsidR="0041717F" w:rsidRPr="003871B3" w:rsidRDefault="0041717F" w:rsidP="00210A72">
            <w:pPr>
              <w:spacing w:line="240" w:lineRule="auto"/>
              <w:jc w:val="right"/>
              <w:rPr>
                <w:rFonts w:ascii="Calibri" w:eastAsia="Times New Roman" w:hAnsi="Calibri"/>
                <w:b/>
                <w:bCs/>
                <w:color w:val="000000"/>
                <w:lang w:eastAsia="cs-CZ"/>
              </w:rPr>
            </w:pPr>
            <w:r w:rsidRPr="003871B3">
              <w:rPr>
                <w:rFonts w:ascii="Calibri" w:eastAsia="Times New Roman" w:hAnsi="Calibri"/>
                <w:b/>
                <w:bCs/>
                <w:color w:val="000000"/>
                <w:lang w:eastAsia="cs-CZ"/>
              </w:rPr>
              <w:t>Cena bez DPH</w:t>
            </w:r>
          </w:p>
        </w:tc>
        <w:tc>
          <w:tcPr>
            <w:tcW w:w="1414" w:type="dxa"/>
            <w:tcBorders>
              <w:top w:val="single" w:sz="4" w:space="0" w:color="auto"/>
              <w:left w:val="nil"/>
              <w:bottom w:val="single" w:sz="4" w:space="0" w:color="auto"/>
              <w:right w:val="single" w:sz="4" w:space="0" w:color="auto"/>
            </w:tcBorders>
            <w:shd w:val="clear" w:color="000000" w:fill="D9D9D9"/>
            <w:noWrap/>
            <w:hideMark/>
          </w:tcPr>
          <w:p w14:paraId="611DADAF" w14:textId="77777777" w:rsidR="0041717F" w:rsidRPr="003871B3" w:rsidRDefault="0041717F" w:rsidP="00210A72">
            <w:pPr>
              <w:spacing w:line="240" w:lineRule="auto"/>
              <w:rPr>
                <w:rFonts w:ascii="Calibri" w:eastAsia="Times New Roman" w:hAnsi="Calibri"/>
                <w:b/>
                <w:bCs/>
                <w:color w:val="000000"/>
                <w:lang w:eastAsia="cs-CZ"/>
              </w:rPr>
            </w:pPr>
            <w:r w:rsidRPr="003871B3">
              <w:rPr>
                <w:rFonts w:ascii="Calibri" w:eastAsia="Times New Roman" w:hAnsi="Calibri"/>
                <w:b/>
                <w:bCs/>
                <w:color w:val="000000"/>
                <w:lang w:eastAsia="cs-CZ"/>
              </w:rPr>
              <w:t>Cena s DPH</w:t>
            </w:r>
          </w:p>
        </w:tc>
      </w:tr>
      <w:tr w:rsidR="003962D2" w:rsidRPr="003871B3" w14:paraId="1AB91C0D" w14:textId="77777777" w:rsidTr="00DC7032">
        <w:trPr>
          <w:gridAfter w:val="2"/>
          <w:wAfter w:w="754" w:type="dxa"/>
          <w:trHeight w:val="312"/>
        </w:trPr>
        <w:tc>
          <w:tcPr>
            <w:tcW w:w="349" w:type="dxa"/>
            <w:tcBorders>
              <w:top w:val="single" w:sz="8" w:space="0" w:color="auto"/>
              <w:left w:val="single" w:sz="8" w:space="0" w:color="auto"/>
              <w:bottom w:val="single" w:sz="4" w:space="0" w:color="auto"/>
              <w:right w:val="single" w:sz="4" w:space="0" w:color="auto"/>
            </w:tcBorders>
            <w:shd w:val="clear" w:color="000000" w:fill="D9D9D9"/>
            <w:noWrap/>
            <w:hideMark/>
          </w:tcPr>
          <w:p w14:paraId="036DF5EE" w14:textId="77777777" w:rsidR="00210A72" w:rsidRPr="003871B3" w:rsidRDefault="00210A72" w:rsidP="00210A72">
            <w:pPr>
              <w:spacing w:line="240" w:lineRule="auto"/>
              <w:jc w:val="center"/>
              <w:rPr>
                <w:rFonts w:ascii="Calibri" w:eastAsia="Times New Roman" w:hAnsi="Calibri"/>
                <w:b/>
                <w:bCs/>
                <w:lang w:eastAsia="cs-CZ"/>
              </w:rPr>
            </w:pPr>
            <w:r w:rsidRPr="003871B3">
              <w:rPr>
                <w:rFonts w:ascii="Calibri" w:eastAsia="Times New Roman" w:hAnsi="Calibri"/>
                <w:b/>
                <w:bCs/>
                <w:lang w:eastAsia="cs-CZ"/>
              </w:rPr>
              <w:t>D</w:t>
            </w:r>
          </w:p>
        </w:tc>
        <w:tc>
          <w:tcPr>
            <w:tcW w:w="927" w:type="dxa"/>
            <w:tcBorders>
              <w:top w:val="single" w:sz="8" w:space="0" w:color="auto"/>
              <w:left w:val="nil"/>
              <w:bottom w:val="single" w:sz="4" w:space="0" w:color="auto"/>
              <w:right w:val="single" w:sz="4" w:space="0" w:color="auto"/>
            </w:tcBorders>
            <w:shd w:val="clear" w:color="auto" w:fill="auto"/>
            <w:noWrap/>
            <w:hideMark/>
          </w:tcPr>
          <w:p w14:paraId="2C8065E8" w14:textId="77777777" w:rsidR="00210A72" w:rsidRPr="003871B3" w:rsidRDefault="00210A72" w:rsidP="00210A72">
            <w:pPr>
              <w:spacing w:line="240" w:lineRule="auto"/>
              <w:rPr>
                <w:rFonts w:ascii="Calibri" w:eastAsia="Times New Roman" w:hAnsi="Calibri"/>
                <w:color w:val="000000"/>
                <w:lang w:eastAsia="cs-CZ"/>
              </w:rPr>
            </w:pPr>
            <w:r w:rsidRPr="003871B3">
              <w:rPr>
                <w:rFonts w:ascii="Calibri" w:eastAsia="Times New Roman" w:hAnsi="Calibri"/>
                <w:color w:val="000000"/>
                <w:lang w:eastAsia="cs-CZ"/>
              </w:rPr>
              <w:t>5.6.2.</w:t>
            </w:r>
          </w:p>
        </w:tc>
        <w:tc>
          <w:tcPr>
            <w:tcW w:w="3160" w:type="dxa"/>
            <w:tcBorders>
              <w:top w:val="single" w:sz="8" w:space="0" w:color="auto"/>
              <w:left w:val="nil"/>
              <w:bottom w:val="single" w:sz="4" w:space="0" w:color="auto"/>
              <w:right w:val="single" w:sz="4" w:space="0" w:color="auto"/>
            </w:tcBorders>
            <w:shd w:val="clear" w:color="auto" w:fill="auto"/>
            <w:noWrap/>
            <w:vAlign w:val="center"/>
            <w:hideMark/>
          </w:tcPr>
          <w:p w14:paraId="54D242D5" w14:textId="77777777" w:rsidR="00210A72" w:rsidRPr="003871B3" w:rsidRDefault="00210A72" w:rsidP="00210A72">
            <w:pPr>
              <w:spacing w:line="240" w:lineRule="auto"/>
              <w:rPr>
                <w:rFonts w:ascii="Calibri" w:eastAsia="Times New Roman" w:hAnsi="Calibri"/>
                <w:lang w:eastAsia="cs-CZ"/>
              </w:rPr>
            </w:pPr>
            <w:r w:rsidRPr="003871B3">
              <w:rPr>
                <w:rFonts w:ascii="Calibri" w:eastAsia="Times New Roman" w:hAnsi="Calibri"/>
                <w:lang w:eastAsia="cs-CZ"/>
              </w:rPr>
              <w:t>Konzultační práce při migracích</w:t>
            </w:r>
          </w:p>
        </w:tc>
        <w:tc>
          <w:tcPr>
            <w:tcW w:w="1235" w:type="dxa"/>
            <w:gridSpan w:val="2"/>
            <w:tcBorders>
              <w:top w:val="single" w:sz="8" w:space="0" w:color="auto"/>
              <w:left w:val="nil"/>
              <w:bottom w:val="single" w:sz="4" w:space="0" w:color="auto"/>
              <w:right w:val="single" w:sz="4" w:space="0" w:color="auto"/>
            </w:tcBorders>
            <w:shd w:val="clear" w:color="auto" w:fill="auto"/>
            <w:noWrap/>
            <w:hideMark/>
          </w:tcPr>
          <w:p w14:paraId="215ABF25" w14:textId="77777777" w:rsidR="00210A72" w:rsidRPr="003871B3" w:rsidRDefault="00210A72" w:rsidP="00210A72">
            <w:pPr>
              <w:spacing w:line="240" w:lineRule="auto"/>
              <w:jc w:val="right"/>
              <w:rPr>
                <w:rFonts w:ascii="Calibri" w:eastAsia="Times New Roman" w:hAnsi="Calibri"/>
                <w:lang w:eastAsia="cs-CZ"/>
              </w:rPr>
            </w:pPr>
            <w:r w:rsidRPr="003871B3">
              <w:rPr>
                <w:rFonts w:ascii="Calibri" w:eastAsia="Times New Roman" w:hAnsi="Calibri"/>
                <w:lang w:eastAsia="cs-CZ"/>
              </w:rPr>
              <w:t>01.09.2018</w:t>
            </w:r>
          </w:p>
        </w:tc>
        <w:tc>
          <w:tcPr>
            <w:tcW w:w="1275" w:type="dxa"/>
            <w:gridSpan w:val="2"/>
            <w:tcBorders>
              <w:top w:val="single" w:sz="8" w:space="0" w:color="auto"/>
              <w:left w:val="nil"/>
              <w:bottom w:val="single" w:sz="4" w:space="0" w:color="auto"/>
              <w:right w:val="single" w:sz="4" w:space="0" w:color="auto"/>
            </w:tcBorders>
            <w:shd w:val="clear" w:color="auto" w:fill="auto"/>
            <w:noWrap/>
            <w:hideMark/>
          </w:tcPr>
          <w:p w14:paraId="3163B925" w14:textId="29E92877" w:rsidR="00210A72" w:rsidRPr="003871B3" w:rsidRDefault="00EB11E4" w:rsidP="00210A72">
            <w:pPr>
              <w:spacing w:line="240" w:lineRule="auto"/>
              <w:jc w:val="right"/>
              <w:rPr>
                <w:rFonts w:ascii="Calibri" w:eastAsia="Times New Roman" w:hAnsi="Calibri"/>
                <w:lang w:eastAsia="cs-CZ"/>
              </w:rPr>
            </w:pPr>
            <w:r w:rsidRPr="003871B3">
              <w:rPr>
                <w:rFonts w:ascii="Calibri" w:eastAsia="Times New Roman" w:hAnsi="Calibri"/>
                <w:lang w:eastAsia="cs-CZ"/>
              </w:rPr>
              <w:t>31.01.2019</w:t>
            </w:r>
          </w:p>
        </w:tc>
        <w:tc>
          <w:tcPr>
            <w:tcW w:w="1103" w:type="dxa"/>
            <w:gridSpan w:val="2"/>
            <w:tcBorders>
              <w:top w:val="single" w:sz="8" w:space="0" w:color="auto"/>
              <w:left w:val="nil"/>
              <w:bottom w:val="single" w:sz="4" w:space="0" w:color="auto"/>
              <w:right w:val="single" w:sz="4" w:space="0" w:color="auto"/>
            </w:tcBorders>
            <w:shd w:val="clear" w:color="auto" w:fill="auto"/>
            <w:noWrap/>
          </w:tcPr>
          <w:p w14:paraId="59C29DF3" w14:textId="5F9D971B" w:rsidR="00210A72" w:rsidRPr="003871B3" w:rsidRDefault="00EB11E4" w:rsidP="0012499F">
            <w:pPr>
              <w:spacing w:line="240" w:lineRule="auto"/>
              <w:jc w:val="right"/>
              <w:rPr>
                <w:rFonts w:ascii="Calibri" w:eastAsia="Times New Roman" w:hAnsi="Calibri"/>
                <w:lang w:eastAsia="cs-CZ"/>
              </w:rPr>
            </w:pPr>
            <w:r>
              <w:rPr>
                <w:rFonts w:ascii="Calibri" w:eastAsia="Times New Roman" w:hAnsi="Calibri"/>
                <w:lang w:eastAsia="cs-CZ"/>
              </w:rPr>
              <w:t>5 645 000</w:t>
            </w:r>
          </w:p>
        </w:tc>
        <w:tc>
          <w:tcPr>
            <w:tcW w:w="1414" w:type="dxa"/>
            <w:tcBorders>
              <w:top w:val="single" w:sz="8" w:space="0" w:color="auto"/>
              <w:left w:val="nil"/>
              <w:bottom w:val="single" w:sz="4" w:space="0" w:color="auto"/>
              <w:right w:val="single" w:sz="8" w:space="0" w:color="auto"/>
            </w:tcBorders>
            <w:shd w:val="clear" w:color="auto" w:fill="auto"/>
            <w:noWrap/>
          </w:tcPr>
          <w:p w14:paraId="1A32677E" w14:textId="47672F68" w:rsidR="00210A72" w:rsidRPr="003871B3" w:rsidRDefault="00EB11E4" w:rsidP="00210A72">
            <w:pPr>
              <w:spacing w:line="240" w:lineRule="auto"/>
              <w:jc w:val="right"/>
              <w:rPr>
                <w:rFonts w:ascii="Calibri" w:eastAsia="Times New Roman" w:hAnsi="Calibri"/>
                <w:lang w:eastAsia="cs-CZ"/>
              </w:rPr>
            </w:pPr>
            <w:r>
              <w:rPr>
                <w:rFonts w:ascii="Calibri" w:eastAsia="Times New Roman" w:hAnsi="Calibri"/>
                <w:lang w:eastAsia="cs-CZ"/>
              </w:rPr>
              <w:t>6 830 450</w:t>
            </w:r>
          </w:p>
        </w:tc>
      </w:tr>
    </w:tbl>
    <w:p w14:paraId="6D9FFE2C" w14:textId="47A4563A" w:rsidR="00EB11E4" w:rsidRPr="00220FCC" w:rsidRDefault="00341C67" w:rsidP="00EB11E4">
      <w:pPr>
        <w:pStyle w:val="GSOdstavec"/>
      </w:pPr>
      <w:r>
        <w:t>Fakturace bude průběžná,</w:t>
      </w:r>
      <w:r w:rsidR="008B5A4B">
        <w:t xml:space="preserve"> dle odvedené práce, viz. Příloha č.1 k Obchodní Smlouvě č. 09/2017.</w:t>
      </w:r>
    </w:p>
    <w:p w14:paraId="5F2CF825" w14:textId="77777777" w:rsidR="00210A72" w:rsidRPr="003871B3" w:rsidRDefault="00210A72" w:rsidP="0078772D">
      <w:pPr>
        <w:pStyle w:val="GSOdstavec"/>
        <w:rPr>
          <w:highlight w:val="cyan"/>
        </w:rPr>
      </w:pPr>
    </w:p>
    <w:p w14:paraId="6B6D379A" w14:textId="77777777" w:rsidR="00220FCC" w:rsidRDefault="00220FCC">
      <w:pPr>
        <w:rPr>
          <w:rFonts w:ascii="Arial" w:eastAsiaTheme="majorEastAsia" w:hAnsi="Arial" w:cs="Arial"/>
          <w:bCs/>
          <w:sz w:val="28"/>
          <w:szCs w:val="28"/>
        </w:rPr>
      </w:pPr>
      <w:bookmarkStart w:id="63" w:name="_Ref521914358"/>
      <w:bookmarkStart w:id="64" w:name="_Toc462035546"/>
      <w:r>
        <w:br w:type="page"/>
      </w:r>
    </w:p>
    <w:p w14:paraId="7356B9F8" w14:textId="2072B3EC" w:rsidR="00C25206" w:rsidRDefault="00C25206" w:rsidP="00C25206">
      <w:pPr>
        <w:pStyle w:val="GSNadpis2"/>
      </w:pPr>
      <w:bookmarkStart w:id="65" w:name="_Toc522884717"/>
      <w:r w:rsidRPr="003871B3">
        <w:t>Další činnosti LIS pro IS</w:t>
      </w:r>
      <w:r w:rsidR="00210A72" w:rsidRPr="003871B3">
        <w:t> </w:t>
      </w:r>
      <w:r w:rsidRPr="003871B3">
        <w:t>ZAM</w:t>
      </w:r>
      <w:bookmarkEnd w:id="63"/>
      <w:bookmarkEnd w:id="65"/>
    </w:p>
    <w:tbl>
      <w:tblPr>
        <w:tblW w:w="9453" w:type="dxa"/>
        <w:tblLayout w:type="fixed"/>
        <w:tblCellMar>
          <w:left w:w="70" w:type="dxa"/>
          <w:right w:w="70" w:type="dxa"/>
        </w:tblCellMar>
        <w:tblLook w:val="04A0" w:firstRow="1" w:lastRow="0" w:firstColumn="1" w:lastColumn="0" w:noHBand="0" w:noVBand="1"/>
      </w:tblPr>
      <w:tblGrid>
        <w:gridCol w:w="342"/>
        <w:gridCol w:w="919"/>
        <w:gridCol w:w="2557"/>
        <w:gridCol w:w="418"/>
        <w:gridCol w:w="7"/>
        <w:gridCol w:w="1417"/>
        <w:gridCol w:w="1257"/>
        <w:gridCol w:w="1295"/>
        <w:gridCol w:w="1241"/>
      </w:tblGrid>
      <w:tr w:rsidR="00A160F4" w:rsidRPr="00220FCC" w14:paraId="5200FBB3" w14:textId="77777777" w:rsidTr="00A160F4">
        <w:trPr>
          <w:trHeight w:val="325"/>
        </w:trPr>
        <w:tc>
          <w:tcPr>
            <w:tcW w:w="342" w:type="dxa"/>
            <w:tcBorders>
              <w:top w:val="single" w:sz="8" w:space="0" w:color="auto"/>
              <w:left w:val="single" w:sz="8" w:space="0" w:color="auto"/>
              <w:bottom w:val="nil"/>
              <w:right w:val="single" w:sz="4" w:space="0" w:color="auto"/>
            </w:tcBorders>
            <w:shd w:val="clear" w:color="000000" w:fill="D9D9D9"/>
            <w:noWrap/>
            <w:hideMark/>
          </w:tcPr>
          <w:p w14:paraId="4D652C12"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 </w:t>
            </w:r>
          </w:p>
        </w:tc>
        <w:tc>
          <w:tcPr>
            <w:tcW w:w="919" w:type="dxa"/>
            <w:tcBorders>
              <w:top w:val="single" w:sz="8" w:space="0" w:color="auto"/>
              <w:left w:val="nil"/>
              <w:bottom w:val="nil"/>
              <w:right w:val="single" w:sz="4" w:space="0" w:color="auto"/>
            </w:tcBorders>
            <w:shd w:val="clear" w:color="000000" w:fill="D9D9D9"/>
            <w:noWrap/>
            <w:hideMark/>
          </w:tcPr>
          <w:p w14:paraId="3D589D6F" w14:textId="77777777" w:rsidR="00A160F4" w:rsidRPr="00220FCC" w:rsidRDefault="00A160F4" w:rsidP="001A1D9E">
            <w:pPr>
              <w:spacing w:line="240" w:lineRule="auto"/>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Milník</w:t>
            </w:r>
          </w:p>
        </w:tc>
        <w:tc>
          <w:tcPr>
            <w:tcW w:w="2557" w:type="dxa"/>
            <w:tcBorders>
              <w:top w:val="single" w:sz="8" w:space="0" w:color="auto"/>
              <w:left w:val="nil"/>
              <w:bottom w:val="single" w:sz="8" w:space="0" w:color="auto"/>
              <w:right w:val="nil"/>
            </w:tcBorders>
            <w:shd w:val="clear" w:color="000000" w:fill="D9D9D9"/>
            <w:noWrap/>
            <w:hideMark/>
          </w:tcPr>
          <w:p w14:paraId="0B9C7E93" w14:textId="77777777" w:rsidR="00A160F4" w:rsidRPr="00220FCC" w:rsidRDefault="00A160F4" w:rsidP="001A1D9E">
            <w:pPr>
              <w:spacing w:line="240" w:lineRule="auto"/>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Oblast řešení</w:t>
            </w:r>
          </w:p>
        </w:tc>
        <w:tc>
          <w:tcPr>
            <w:tcW w:w="425" w:type="dxa"/>
            <w:gridSpan w:val="2"/>
            <w:tcBorders>
              <w:top w:val="single" w:sz="8" w:space="0" w:color="auto"/>
              <w:left w:val="nil"/>
              <w:bottom w:val="single" w:sz="8" w:space="0" w:color="auto"/>
              <w:right w:val="single" w:sz="4" w:space="0" w:color="auto"/>
            </w:tcBorders>
            <w:shd w:val="clear" w:color="000000" w:fill="D9D9D9"/>
            <w:noWrap/>
            <w:hideMark/>
          </w:tcPr>
          <w:p w14:paraId="0DB07950" w14:textId="5892BC28" w:rsidR="00A160F4" w:rsidRPr="00220FCC" w:rsidRDefault="00A160F4" w:rsidP="001A1D9E">
            <w:pPr>
              <w:spacing w:line="240" w:lineRule="auto"/>
              <w:rPr>
                <w:rFonts w:ascii="Calibri" w:eastAsia="Times New Roman" w:hAnsi="Calibri" w:cs="Calibri"/>
                <w:b/>
                <w:bCs/>
                <w:color w:val="000000"/>
                <w:lang w:eastAsia="cs-CZ"/>
              </w:rPr>
            </w:pPr>
          </w:p>
        </w:tc>
        <w:tc>
          <w:tcPr>
            <w:tcW w:w="1417" w:type="dxa"/>
            <w:tcBorders>
              <w:top w:val="single" w:sz="8" w:space="0" w:color="auto"/>
              <w:left w:val="nil"/>
              <w:bottom w:val="nil"/>
              <w:right w:val="single" w:sz="4" w:space="0" w:color="auto"/>
            </w:tcBorders>
            <w:shd w:val="clear" w:color="000000" w:fill="D9D9D9"/>
            <w:noWrap/>
            <w:hideMark/>
          </w:tcPr>
          <w:p w14:paraId="462AB679"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Začátek</w:t>
            </w:r>
          </w:p>
        </w:tc>
        <w:tc>
          <w:tcPr>
            <w:tcW w:w="1257" w:type="dxa"/>
            <w:tcBorders>
              <w:top w:val="single" w:sz="8" w:space="0" w:color="auto"/>
              <w:left w:val="nil"/>
              <w:bottom w:val="nil"/>
              <w:right w:val="single" w:sz="4" w:space="0" w:color="auto"/>
            </w:tcBorders>
            <w:shd w:val="clear" w:color="000000" w:fill="D9D9D9"/>
            <w:noWrap/>
            <w:hideMark/>
          </w:tcPr>
          <w:p w14:paraId="6FA71393"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Konec</w:t>
            </w:r>
          </w:p>
        </w:tc>
        <w:tc>
          <w:tcPr>
            <w:tcW w:w="1295" w:type="dxa"/>
            <w:tcBorders>
              <w:top w:val="single" w:sz="8" w:space="0" w:color="auto"/>
              <w:left w:val="nil"/>
              <w:bottom w:val="nil"/>
              <w:right w:val="single" w:sz="4" w:space="0" w:color="auto"/>
            </w:tcBorders>
            <w:shd w:val="clear" w:color="000000" w:fill="D9D9D9"/>
            <w:noWrap/>
            <w:hideMark/>
          </w:tcPr>
          <w:p w14:paraId="77A6E383" w14:textId="77777777" w:rsidR="00A160F4" w:rsidRPr="00220FCC" w:rsidRDefault="00A160F4" w:rsidP="001A1D9E">
            <w:pPr>
              <w:spacing w:line="240" w:lineRule="auto"/>
              <w:jc w:val="right"/>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Cena bez DPH</w:t>
            </w:r>
          </w:p>
        </w:tc>
        <w:tc>
          <w:tcPr>
            <w:tcW w:w="1241" w:type="dxa"/>
            <w:tcBorders>
              <w:top w:val="single" w:sz="8" w:space="0" w:color="auto"/>
              <w:left w:val="nil"/>
              <w:bottom w:val="nil"/>
              <w:right w:val="single" w:sz="8" w:space="0" w:color="auto"/>
            </w:tcBorders>
            <w:shd w:val="clear" w:color="000000" w:fill="D9D9D9"/>
            <w:noWrap/>
            <w:hideMark/>
          </w:tcPr>
          <w:p w14:paraId="58731532" w14:textId="77777777" w:rsidR="00A160F4" w:rsidRPr="00220FCC" w:rsidRDefault="00A160F4" w:rsidP="001A1D9E">
            <w:pPr>
              <w:spacing w:line="240" w:lineRule="auto"/>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Cena s DPH</w:t>
            </w:r>
          </w:p>
        </w:tc>
      </w:tr>
      <w:tr w:rsidR="00A160F4" w:rsidRPr="00220FCC" w14:paraId="7375D70D" w14:textId="77777777" w:rsidTr="001A1D9E">
        <w:trPr>
          <w:trHeight w:val="313"/>
        </w:trPr>
        <w:tc>
          <w:tcPr>
            <w:tcW w:w="342" w:type="dxa"/>
            <w:tcBorders>
              <w:top w:val="single" w:sz="8" w:space="0" w:color="auto"/>
              <w:left w:val="single" w:sz="8" w:space="0" w:color="auto"/>
              <w:bottom w:val="single" w:sz="4" w:space="0" w:color="auto"/>
              <w:right w:val="nil"/>
            </w:tcBorders>
            <w:shd w:val="clear" w:color="auto" w:fill="auto"/>
            <w:noWrap/>
            <w:hideMark/>
          </w:tcPr>
          <w:p w14:paraId="0AC4E862"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single" w:sz="8" w:space="0" w:color="auto"/>
              <w:left w:val="single" w:sz="8" w:space="0" w:color="auto"/>
              <w:bottom w:val="single" w:sz="4" w:space="0" w:color="auto"/>
              <w:right w:val="single" w:sz="4" w:space="0" w:color="auto"/>
            </w:tcBorders>
            <w:shd w:val="clear" w:color="auto" w:fill="auto"/>
            <w:noWrap/>
            <w:hideMark/>
          </w:tcPr>
          <w:p w14:paraId="3F13AFB9"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w:t>
            </w:r>
          </w:p>
        </w:tc>
        <w:tc>
          <w:tcPr>
            <w:tcW w:w="2975" w:type="dxa"/>
            <w:gridSpan w:val="2"/>
            <w:tcBorders>
              <w:top w:val="single" w:sz="8" w:space="0" w:color="auto"/>
              <w:left w:val="nil"/>
              <w:bottom w:val="single" w:sz="4" w:space="0" w:color="auto"/>
              <w:right w:val="single" w:sz="8" w:space="0" w:color="000000"/>
            </w:tcBorders>
            <w:shd w:val="clear" w:color="auto" w:fill="auto"/>
            <w:hideMark/>
          </w:tcPr>
          <w:p w14:paraId="714927EB"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Průběžné činnosti</w:t>
            </w:r>
          </w:p>
        </w:tc>
        <w:tc>
          <w:tcPr>
            <w:tcW w:w="1424"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1E8D48C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01.08.2018</w:t>
            </w:r>
          </w:p>
        </w:tc>
        <w:tc>
          <w:tcPr>
            <w:tcW w:w="1257" w:type="dxa"/>
            <w:tcBorders>
              <w:top w:val="single" w:sz="8" w:space="0" w:color="auto"/>
              <w:left w:val="nil"/>
              <w:bottom w:val="single" w:sz="4" w:space="0" w:color="auto"/>
              <w:right w:val="single" w:sz="8" w:space="0" w:color="auto"/>
            </w:tcBorders>
            <w:shd w:val="clear" w:color="auto" w:fill="auto"/>
            <w:noWrap/>
            <w:hideMark/>
          </w:tcPr>
          <w:p w14:paraId="2D2E9FA4"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31.03.2019</w:t>
            </w:r>
          </w:p>
        </w:tc>
        <w:tc>
          <w:tcPr>
            <w:tcW w:w="1295" w:type="dxa"/>
            <w:tcBorders>
              <w:top w:val="single" w:sz="8" w:space="0" w:color="auto"/>
              <w:left w:val="nil"/>
              <w:bottom w:val="single" w:sz="4" w:space="0" w:color="auto"/>
              <w:right w:val="nil"/>
            </w:tcBorders>
            <w:shd w:val="clear" w:color="auto" w:fill="auto"/>
            <w:noWrap/>
            <w:hideMark/>
          </w:tcPr>
          <w:p w14:paraId="70AF0EC6"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10 766 000</w:t>
            </w:r>
          </w:p>
        </w:tc>
        <w:tc>
          <w:tcPr>
            <w:tcW w:w="1241" w:type="dxa"/>
            <w:tcBorders>
              <w:top w:val="single" w:sz="8" w:space="0" w:color="auto"/>
              <w:left w:val="single" w:sz="4" w:space="0" w:color="auto"/>
              <w:bottom w:val="single" w:sz="4" w:space="0" w:color="auto"/>
              <w:right w:val="single" w:sz="8" w:space="0" w:color="auto"/>
            </w:tcBorders>
            <w:shd w:val="clear" w:color="auto" w:fill="auto"/>
            <w:noWrap/>
            <w:hideMark/>
          </w:tcPr>
          <w:p w14:paraId="06D6A49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13 026 860</w:t>
            </w:r>
          </w:p>
        </w:tc>
      </w:tr>
      <w:tr w:rsidR="00A160F4" w:rsidRPr="00220FCC" w14:paraId="7695D1F7" w14:textId="77777777" w:rsidTr="001A1D9E">
        <w:trPr>
          <w:trHeight w:val="723"/>
        </w:trPr>
        <w:tc>
          <w:tcPr>
            <w:tcW w:w="342" w:type="dxa"/>
            <w:tcBorders>
              <w:top w:val="nil"/>
              <w:left w:val="single" w:sz="8" w:space="0" w:color="auto"/>
              <w:bottom w:val="single" w:sz="4" w:space="0" w:color="auto"/>
              <w:right w:val="nil"/>
            </w:tcBorders>
            <w:shd w:val="clear" w:color="auto" w:fill="auto"/>
            <w:noWrap/>
            <w:hideMark/>
          </w:tcPr>
          <w:p w14:paraId="0AC7FA86"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34E29044"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5.7.2</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72C55345"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Přizpůsobení stávajícího zpracování dat aktuálnímu stavu</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171884B7"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01.08.2018</w:t>
            </w:r>
          </w:p>
        </w:tc>
        <w:tc>
          <w:tcPr>
            <w:tcW w:w="1257" w:type="dxa"/>
            <w:tcBorders>
              <w:top w:val="nil"/>
              <w:left w:val="nil"/>
              <w:bottom w:val="single" w:sz="4" w:space="0" w:color="auto"/>
              <w:right w:val="single" w:sz="8" w:space="0" w:color="auto"/>
            </w:tcBorders>
            <w:shd w:val="clear" w:color="auto" w:fill="auto"/>
            <w:noWrap/>
            <w:hideMark/>
          </w:tcPr>
          <w:p w14:paraId="22A823B1"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30.09.2018</w:t>
            </w:r>
          </w:p>
        </w:tc>
        <w:tc>
          <w:tcPr>
            <w:tcW w:w="1295" w:type="dxa"/>
            <w:tcBorders>
              <w:top w:val="nil"/>
              <w:left w:val="nil"/>
              <w:bottom w:val="single" w:sz="4" w:space="0" w:color="auto"/>
              <w:right w:val="nil"/>
            </w:tcBorders>
            <w:shd w:val="clear" w:color="auto" w:fill="auto"/>
            <w:noWrap/>
            <w:hideMark/>
          </w:tcPr>
          <w:p w14:paraId="276E1485"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727 000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4515F647"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879 670</w:t>
            </w:r>
          </w:p>
        </w:tc>
      </w:tr>
      <w:tr w:rsidR="00A160F4" w:rsidRPr="00220FCC" w14:paraId="6997CC72"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6CA4D834"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0B073D41"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5.7.3.</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2FC58B8E"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Vytvoření GAP analýzy</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48878F1E"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01.08.2018</w:t>
            </w:r>
          </w:p>
        </w:tc>
        <w:tc>
          <w:tcPr>
            <w:tcW w:w="1257" w:type="dxa"/>
            <w:tcBorders>
              <w:top w:val="nil"/>
              <w:left w:val="nil"/>
              <w:bottom w:val="single" w:sz="4" w:space="0" w:color="auto"/>
              <w:right w:val="single" w:sz="8" w:space="0" w:color="auto"/>
            </w:tcBorders>
            <w:shd w:val="clear" w:color="auto" w:fill="auto"/>
            <w:noWrap/>
            <w:hideMark/>
          </w:tcPr>
          <w:p w14:paraId="138A4526"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30.09.2018</w:t>
            </w:r>
          </w:p>
        </w:tc>
        <w:tc>
          <w:tcPr>
            <w:tcW w:w="1295" w:type="dxa"/>
            <w:tcBorders>
              <w:top w:val="nil"/>
              <w:left w:val="nil"/>
              <w:bottom w:val="single" w:sz="4" w:space="0" w:color="auto"/>
              <w:right w:val="nil"/>
            </w:tcBorders>
            <w:shd w:val="clear" w:color="auto" w:fill="auto"/>
            <w:noWrap/>
            <w:hideMark/>
          </w:tcPr>
          <w:p w14:paraId="3A8B6EB7"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1 746 000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122326E5"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2 112 660</w:t>
            </w:r>
          </w:p>
        </w:tc>
      </w:tr>
      <w:tr w:rsidR="00A160F4" w:rsidRPr="00220FCC" w14:paraId="7BADF873" w14:textId="77777777" w:rsidTr="001A1D9E">
        <w:trPr>
          <w:trHeight w:val="723"/>
        </w:trPr>
        <w:tc>
          <w:tcPr>
            <w:tcW w:w="342" w:type="dxa"/>
            <w:tcBorders>
              <w:top w:val="nil"/>
              <w:left w:val="single" w:sz="8" w:space="0" w:color="auto"/>
              <w:bottom w:val="single" w:sz="4" w:space="0" w:color="auto"/>
              <w:right w:val="nil"/>
            </w:tcBorders>
            <w:shd w:val="clear" w:color="auto" w:fill="auto"/>
            <w:noWrap/>
            <w:hideMark/>
          </w:tcPr>
          <w:p w14:paraId="7F8B2686"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1851DF37"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5.7.4</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17ECF043"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Analýza a návrh řešení rozdělení živá a archivní dat</w:t>
            </w:r>
            <w:r>
              <w:rPr>
                <w:rFonts w:ascii="Calibri" w:eastAsia="Times New Roman" w:hAnsi="Calibri" w:cs="Calibri"/>
                <w:lang w:eastAsia="cs-CZ"/>
              </w:rPr>
              <w:t>a</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77CA056A"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1C3EB3D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31.12.2018</w:t>
            </w:r>
          </w:p>
        </w:tc>
        <w:tc>
          <w:tcPr>
            <w:tcW w:w="1295" w:type="dxa"/>
            <w:tcBorders>
              <w:top w:val="nil"/>
              <w:left w:val="nil"/>
              <w:bottom w:val="single" w:sz="4" w:space="0" w:color="auto"/>
              <w:right w:val="nil"/>
            </w:tcBorders>
            <w:shd w:val="clear" w:color="auto" w:fill="auto"/>
            <w:noWrap/>
            <w:hideMark/>
          </w:tcPr>
          <w:p w14:paraId="2C86DE9B"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873 000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4D16B86C"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1 056 330</w:t>
            </w:r>
          </w:p>
        </w:tc>
      </w:tr>
      <w:tr w:rsidR="00A160F4" w:rsidRPr="00220FCC" w14:paraId="09509104" w14:textId="77777777" w:rsidTr="001A1D9E">
        <w:trPr>
          <w:trHeight w:val="615"/>
        </w:trPr>
        <w:tc>
          <w:tcPr>
            <w:tcW w:w="342" w:type="dxa"/>
            <w:tcBorders>
              <w:top w:val="nil"/>
              <w:left w:val="single" w:sz="8" w:space="0" w:color="auto"/>
              <w:bottom w:val="single" w:sz="4" w:space="0" w:color="auto"/>
              <w:right w:val="nil"/>
            </w:tcBorders>
            <w:shd w:val="clear" w:color="auto" w:fill="auto"/>
            <w:noWrap/>
            <w:hideMark/>
          </w:tcPr>
          <w:p w14:paraId="5C213F39"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028359D5"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5.7.5</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0419F7FB"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Analýza a návrh řešení vedení dokumentace dle nové metodiky MPSV</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734B031E"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1FC389CE"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31.10.2018</w:t>
            </w:r>
          </w:p>
        </w:tc>
        <w:tc>
          <w:tcPr>
            <w:tcW w:w="1295" w:type="dxa"/>
            <w:tcBorders>
              <w:top w:val="nil"/>
              <w:left w:val="nil"/>
              <w:bottom w:val="single" w:sz="4" w:space="0" w:color="auto"/>
              <w:right w:val="nil"/>
            </w:tcBorders>
            <w:shd w:val="clear" w:color="auto" w:fill="auto"/>
            <w:noWrap/>
            <w:hideMark/>
          </w:tcPr>
          <w:p w14:paraId="2B8A6E64"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291 000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78B9C1E6"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352 110</w:t>
            </w:r>
          </w:p>
        </w:tc>
      </w:tr>
      <w:tr w:rsidR="00A160F4" w:rsidRPr="00220FCC" w14:paraId="0C316DDF"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72D7EEB0"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60ECC488"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5.7.6</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763C7323"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Vytvoření dokumentace vazby obrazovek zdrojových aplikací na L0 data</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081A0ED6"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6AB7EAC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31.01.2019</w:t>
            </w:r>
          </w:p>
        </w:tc>
        <w:tc>
          <w:tcPr>
            <w:tcW w:w="1295" w:type="dxa"/>
            <w:tcBorders>
              <w:top w:val="nil"/>
              <w:left w:val="nil"/>
              <w:bottom w:val="single" w:sz="4" w:space="0" w:color="auto"/>
              <w:right w:val="nil"/>
            </w:tcBorders>
            <w:shd w:val="clear" w:color="auto" w:fill="auto"/>
            <w:noWrap/>
            <w:hideMark/>
          </w:tcPr>
          <w:p w14:paraId="2CB7AA1E"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2 182 000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1D060D1A"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2 640 220</w:t>
            </w:r>
          </w:p>
        </w:tc>
      </w:tr>
      <w:tr w:rsidR="00A160F4" w:rsidRPr="00220FCC" w14:paraId="449AFC2D"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5F50CC2B"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39B56464"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5.7.7</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7ED910D6"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Rozšíření kontrol načítaných dat do L0</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6867F101"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76959897"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30.11.2018</w:t>
            </w:r>
          </w:p>
        </w:tc>
        <w:tc>
          <w:tcPr>
            <w:tcW w:w="1295" w:type="dxa"/>
            <w:tcBorders>
              <w:top w:val="nil"/>
              <w:left w:val="nil"/>
              <w:bottom w:val="single" w:sz="4" w:space="0" w:color="auto"/>
              <w:right w:val="nil"/>
            </w:tcBorders>
            <w:shd w:val="clear" w:color="auto" w:fill="auto"/>
            <w:noWrap/>
            <w:hideMark/>
          </w:tcPr>
          <w:p w14:paraId="640BC1E7"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582 000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321AAE3C"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704 220</w:t>
            </w:r>
          </w:p>
        </w:tc>
      </w:tr>
      <w:tr w:rsidR="00A160F4" w:rsidRPr="00220FCC" w14:paraId="352DC482" w14:textId="77777777" w:rsidTr="001A1D9E">
        <w:trPr>
          <w:trHeight w:val="723"/>
        </w:trPr>
        <w:tc>
          <w:tcPr>
            <w:tcW w:w="342" w:type="dxa"/>
            <w:tcBorders>
              <w:top w:val="nil"/>
              <w:left w:val="single" w:sz="8" w:space="0" w:color="auto"/>
              <w:bottom w:val="single" w:sz="4" w:space="0" w:color="auto"/>
              <w:right w:val="nil"/>
            </w:tcBorders>
            <w:shd w:val="clear" w:color="auto" w:fill="auto"/>
            <w:noWrap/>
            <w:hideMark/>
          </w:tcPr>
          <w:p w14:paraId="08C93606"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2A2A3855"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5.7.8</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30BFD88A"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Optimalizace stahování dat ze zdrojových systémů do L0</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4AE300CC"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01A263B6"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30.11.2018</w:t>
            </w:r>
          </w:p>
        </w:tc>
        <w:tc>
          <w:tcPr>
            <w:tcW w:w="1295" w:type="dxa"/>
            <w:tcBorders>
              <w:top w:val="nil"/>
              <w:left w:val="nil"/>
              <w:bottom w:val="single" w:sz="4" w:space="0" w:color="auto"/>
              <w:right w:val="nil"/>
            </w:tcBorders>
            <w:shd w:val="clear" w:color="auto" w:fill="auto"/>
            <w:noWrap/>
            <w:hideMark/>
          </w:tcPr>
          <w:p w14:paraId="4DD7E92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582 000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6F1935B1"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704 220</w:t>
            </w:r>
          </w:p>
        </w:tc>
      </w:tr>
      <w:tr w:rsidR="00A160F4" w:rsidRPr="00220FCC" w14:paraId="778ED98F"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37D876C9"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0651C268"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5.7.9</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099BCAE7"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Příprava testovacích scénářů</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38C3BF75"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4894C68B"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31.01.2019</w:t>
            </w:r>
          </w:p>
        </w:tc>
        <w:tc>
          <w:tcPr>
            <w:tcW w:w="1295" w:type="dxa"/>
            <w:tcBorders>
              <w:top w:val="nil"/>
              <w:left w:val="nil"/>
              <w:bottom w:val="single" w:sz="4" w:space="0" w:color="auto"/>
              <w:right w:val="nil"/>
            </w:tcBorders>
            <w:shd w:val="clear" w:color="auto" w:fill="auto"/>
            <w:noWrap/>
            <w:hideMark/>
          </w:tcPr>
          <w:p w14:paraId="0E919093"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582 000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01641539"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704 220</w:t>
            </w:r>
          </w:p>
        </w:tc>
      </w:tr>
      <w:tr w:rsidR="00A160F4" w:rsidRPr="00220FCC" w14:paraId="4777882E"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3E3D4972"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50378197"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5.7.10</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7C735C43"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Aktualizace bezpečnostního modelu</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70A77172"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01.10.2018</w:t>
            </w:r>
          </w:p>
        </w:tc>
        <w:tc>
          <w:tcPr>
            <w:tcW w:w="1257" w:type="dxa"/>
            <w:tcBorders>
              <w:top w:val="nil"/>
              <w:left w:val="nil"/>
              <w:bottom w:val="single" w:sz="4" w:space="0" w:color="auto"/>
              <w:right w:val="single" w:sz="8" w:space="0" w:color="auto"/>
            </w:tcBorders>
            <w:shd w:val="clear" w:color="auto" w:fill="auto"/>
            <w:noWrap/>
            <w:hideMark/>
          </w:tcPr>
          <w:p w14:paraId="62B80D09"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31.10.2018</w:t>
            </w:r>
          </w:p>
        </w:tc>
        <w:tc>
          <w:tcPr>
            <w:tcW w:w="1295" w:type="dxa"/>
            <w:tcBorders>
              <w:top w:val="nil"/>
              <w:left w:val="nil"/>
              <w:bottom w:val="single" w:sz="4" w:space="0" w:color="auto"/>
              <w:right w:val="nil"/>
            </w:tcBorders>
            <w:shd w:val="clear" w:color="auto" w:fill="auto"/>
            <w:noWrap/>
            <w:hideMark/>
          </w:tcPr>
          <w:p w14:paraId="49D8FE64"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145 000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24A4204A"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175 450</w:t>
            </w:r>
          </w:p>
        </w:tc>
      </w:tr>
      <w:tr w:rsidR="00A160F4" w:rsidRPr="00220FCC" w14:paraId="204E6BB1"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4FB0299F"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34399B98"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5.7.11</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2112E01A"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Vytvoření bezpečnostní dokumentace</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6C2BFCAA"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01.11.2018</w:t>
            </w:r>
          </w:p>
        </w:tc>
        <w:tc>
          <w:tcPr>
            <w:tcW w:w="1257" w:type="dxa"/>
            <w:tcBorders>
              <w:top w:val="nil"/>
              <w:left w:val="nil"/>
              <w:bottom w:val="single" w:sz="4" w:space="0" w:color="auto"/>
              <w:right w:val="single" w:sz="8" w:space="0" w:color="auto"/>
            </w:tcBorders>
            <w:shd w:val="clear" w:color="auto" w:fill="auto"/>
            <w:noWrap/>
            <w:hideMark/>
          </w:tcPr>
          <w:p w14:paraId="6E8900F0"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31.01.2019</w:t>
            </w:r>
          </w:p>
        </w:tc>
        <w:tc>
          <w:tcPr>
            <w:tcW w:w="1295" w:type="dxa"/>
            <w:tcBorders>
              <w:top w:val="nil"/>
              <w:left w:val="nil"/>
              <w:bottom w:val="single" w:sz="4" w:space="0" w:color="auto"/>
              <w:right w:val="nil"/>
            </w:tcBorders>
            <w:shd w:val="clear" w:color="auto" w:fill="auto"/>
            <w:noWrap/>
            <w:hideMark/>
          </w:tcPr>
          <w:p w14:paraId="18F5E8B5"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873 000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2CED226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1 056 330</w:t>
            </w:r>
          </w:p>
        </w:tc>
      </w:tr>
      <w:tr w:rsidR="00A160F4" w:rsidRPr="00220FCC" w14:paraId="13455634" w14:textId="77777777" w:rsidTr="001A1D9E">
        <w:trPr>
          <w:trHeight w:val="627"/>
        </w:trPr>
        <w:tc>
          <w:tcPr>
            <w:tcW w:w="342" w:type="dxa"/>
            <w:tcBorders>
              <w:top w:val="nil"/>
              <w:left w:val="single" w:sz="8" w:space="0" w:color="auto"/>
              <w:bottom w:val="single" w:sz="4" w:space="0" w:color="auto"/>
              <w:right w:val="nil"/>
            </w:tcBorders>
            <w:shd w:val="clear" w:color="auto" w:fill="auto"/>
            <w:noWrap/>
            <w:hideMark/>
          </w:tcPr>
          <w:p w14:paraId="7B8632B3"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6653EF37"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5.7.12</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3D0D0A4A"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Vystavení čistých dat ISZAM pro ověřovací provoz</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385095A5"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 </w:t>
            </w:r>
          </w:p>
        </w:tc>
        <w:tc>
          <w:tcPr>
            <w:tcW w:w="1257" w:type="dxa"/>
            <w:tcBorders>
              <w:top w:val="nil"/>
              <w:left w:val="nil"/>
              <w:bottom w:val="single" w:sz="4" w:space="0" w:color="auto"/>
              <w:right w:val="single" w:sz="8" w:space="0" w:color="auto"/>
            </w:tcBorders>
            <w:shd w:val="clear" w:color="auto" w:fill="auto"/>
            <w:noWrap/>
            <w:hideMark/>
          </w:tcPr>
          <w:p w14:paraId="0689AFD7" w14:textId="77777777" w:rsidR="00A160F4" w:rsidRPr="00220FCC" w:rsidRDefault="00A160F4" w:rsidP="001A1D9E">
            <w:pPr>
              <w:spacing w:line="240" w:lineRule="auto"/>
              <w:jc w:val="center"/>
              <w:rPr>
                <w:rFonts w:ascii="Calibri" w:eastAsia="Times New Roman" w:hAnsi="Calibri" w:cs="Calibri"/>
                <w:lang w:eastAsia="cs-CZ"/>
              </w:rPr>
            </w:pPr>
            <w:r w:rsidRPr="00220FCC">
              <w:rPr>
                <w:rFonts w:ascii="Calibri" w:eastAsia="Times New Roman" w:hAnsi="Calibri" w:cs="Calibri"/>
                <w:lang w:eastAsia="cs-CZ"/>
              </w:rPr>
              <w:t>T + 3M*</w:t>
            </w:r>
          </w:p>
        </w:tc>
        <w:tc>
          <w:tcPr>
            <w:tcW w:w="1295" w:type="dxa"/>
            <w:tcBorders>
              <w:top w:val="nil"/>
              <w:left w:val="nil"/>
              <w:bottom w:val="single" w:sz="4" w:space="0" w:color="auto"/>
              <w:right w:val="nil"/>
            </w:tcBorders>
            <w:shd w:val="clear" w:color="auto" w:fill="auto"/>
            <w:noWrap/>
            <w:hideMark/>
          </w:tcPr>
          <w:p w14:paraId="6B2B76DC"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582 000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7D7BD91E"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704 220</w:t>
            </w:r>
          </w:p>
        </w:tc>
      </w:tr>
      <w:tr w:rsidR="00A160F4" w:rsidRPr="00220FCC" w14:paraId="6A7E3F8E" w14:textId="77777777" w:rsidTr="001A1D9E">
        <w:trPr>
          <w:trHeight w:val="313"/>
        </w:trPr>
        <w:tc>
          <w:tcPr>
            <w:tcW w:w="342" w:type="dxa"/>
            <w:tcBorders>
              <w:top w:val="nil"/>
              <w:left w:val="single" w:sz="8" w:space="0" w:color="auto"/>
              <w:bottom w:val="single" w:sz="4" w:space="0" w:color="auto"/>
              <w:right w:val="nil"/>
            </w:tcBorders>
            <w:shd w:val="clear" w:color="auto" w:fill="auto"/>
            <w:noWrap/>
            <w:hideMark/>
          </w:tcPr>
          <w:p w14:paraId="6608B792"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77773C18"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5.7.13</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34495FAD"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Vytvoření rozšířené dokumentace projektu</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7DE84C88"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01.02.2019</w:t>
            </w:r>
          </w:p>
        </w:tc>
        <w:tc>
          <w:tcPr>
            <w:tcW w:w="1257" w:type="dxa"/>
            <w:tcBorders>
              <w:top w:val="nil"/>
              <w:left w:val="nil"/>
              <w:bottom w:val="single" w:sz="4" w:space="0" w:color="auto"/>
              <w:right w:val="single" w:sz="8" w:space="0" w:color="auto"/>
            </w:tcBorders>
            <w:shd w:val="clear" w:color="auto" w:fill="auto"/>
            <w:noWrap/>
            <w:hideMark/>
          </w:tcPr>
          <w:p w14:paraId="53CCF1B2"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31.03.2019</w:t>
            </w:r>
          </w:p>
        </w:tc>
        <w:tc>
          <w:tcPr>
            <w:tcW w:w="1295" w:type="dxa"/>
            <w:tcBorders>
              <w:top w:val="nil"/>
              <w:left w:val="nil"/>
              <w:bottom w:val="single" w:sz="4" w:space="0" w:color="auto"/>
              <w:right w:val="nil"/>
            </w:tcBorders>
            <w:shd w:val="clear" w:color="auto" w:fill="auto"/>
            <w:noWrap/>
            <w:hideMark/>
          </w:tcPr>
          <w:p w14:paraId="78610FE7"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815 000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3EAC13BE"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986 150</w:t>
            </w:r>
          </w:p>
        </w:tc>
      </w:tr>
      <w:tr w:rsidR="00A160F4" w:rsidRPr="00220FCC" w14:paraId="04A8D90D" w14:textId="77777777" w:rsidTr="001A1D9E">
        <w:trPr>
          <w:trHeight w:val="325"/>
        </w:trPr>
        <w:tc>
          <w:tcPr>
            <w:tcW w:w="342" w:type="dxa"/>
            <w:tcBorders>
              <w:top w:val="nil"/>
              <w:left w:val="single" w:sz="8" w:space="0" w:color="auto"/>
              <w:bottom w:val="single" w:sz="4" w:space="0" w:color="auto"/>
              <w:right w:val="nil"/>
            </w:tcBorders>
            <w:shd w:val="clear" w:color="auto" w:fill="auto"/>
            <w:noWrap/>
            <w:hideMark/>
          </w:tcPr>
          <w:p w14:paraId="08591B22"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5D729415"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5.7.14</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0FA7D454" w14:textId="77777777"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Exitové práce</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3489672B"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01.02.2019</w:t>
            </w:r>
          </w:p>
        </w:tc>
        <w:tc>
          <w:tcPr>
            <w:tcW w:w="1257" w:type="dxa"/>
            <w:tcBorders>
              <w:top w:val="nil"/>
              <w:left w:val="nil"/>
              <w:bottom w:val="single" w:sz="4" w:space="0" w:color="auto"/>
              <w:right w:val="single" w:sz="8" w:space="0" w:color="auto"/>
            </w:tcBorders>
            <w:shd w:val="clear" w:color="auto" w:fill="auto"/>
            <w:noWrap/>
            <w:hideMark/>
          </w:tcPr>
          <w:p w14:paraId="1647AF7F"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31.03.2019</w:t>
            </w:r>
          </w:p>
        </w:tc>
        <w:tc>
          <w:tcPr>
            <w:tcW w:w="1295" w:type="dxa"/>
            <w:tcBorders>
              <w:top w:val="nil"/>
              <w:left w:val="nil"/>
              <w:bottom w:val="single" w:sz="4" w:space="0" w:color="auto"/>
              <w:right w:val="nil"/>
            </w:tcBorders>
            <w:shd w:val="clear" w:color="auto" w:fill="auto"/>
            <w:noWrap/>
            <w:hideMark/>
          </w:tcPr>
          <w:p w14:paraId="57244A91"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2 910 000</w:t>
            </w:r>
          </w:p>
        </w:tc>
        <w:tc>
          <w:tcPr>
            <w:tcW w:w="1241" w:type="dxa"/>
            <w:tcBorders>
              <w:top w:val="nil"/>
              <w:left w:val="single" w:sz="4" w:space="0" w:color="auto"/>
              <w:bottom w:val="single" w:sz="4" w:space="0" w:color="auto"/>
              <w:right w:val="single" w:sz="8" w:space="0" w:color="auto"/>
            </w:tcBorders>
            <w:shd w:val="clear" w:color="auto" w:fill="auto"/>
            <w:noWrap/>
            <w:hideMark/>
          </w:tcPr>
          <w:p w14:paraId="264D75B1"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3 521 100</w:t>
            </w:r>
          </w:p>
        </w:tc>
      </w:tr>
      <w:tr w:rsidR="00A160F4" w:rsidRPr="00220FCC" w14:paraId="3489C9E7" w14:textId="77777777" w:rsidTr="001A1D9E">
        <w:trPr>
          <w:trHeight w:val="325"/>
        </w:trPr>
        <w:tc>
          <w:tcPr>
            <w:tcW w:w="342" w:type="dxa"/>
            <w:tcBorders>
              <w:top w:val="nil"/>
              <w:left w:val="single" w:sz="8" w:space="0" w:color="auto"/>
              <w:bottom w:val="single" w:sz="4" w:space="0" w:color="auto"/>
              <w:right w:val="nil"/>
            </w:tcBorders>
            <w:shd w:val="clear" w:color="auto" w:fill="auto"/>
            <w:noWrap/>
            <w:hideMark/>
          </w:tcPr>
          <w:p w14:paraId="5C9B81B7" w14:textId="77777777" w:rsidR="00A160F4" w:rsidRPr="00220FCC" w:rsidRDefault="00A160F4" w:rsidP="001A1D9E">
            <w:pPr>
              <w:spacing w:line="240" w:lineRule="auto"/>
              <w:jc w:val="center"/>
              <w:rPr>
                <w:rFonts w:ascii="Calibri" w:eastAsia="Times New Roman" w:hAnsi="Calibri" w:cs="Calibri"/>
                <w:b/>
                <w:bCs/>
                <w:color w:val="000000"/>
                <w:lang w:eastAsia="cs-CZ"/>
              </w:rPr>
            </w:pPr>
            <w:r w:rsidRPr="00220FCC">
              <w:rPr>
                <w:rFonts w:ascii="Calibri" w:eastAsia="Times New Roman" w:hAnsi="Calibri" w:cs="Calibri"/>
                <w:b/>
                <w:bCs/>
                <w:color w:val="000000"/>
                <w:lang w:eastAsia="cs-CZ"/>
              </w:rPr>
              <w:t>D</w:t>
            </w:r>
          </w:p>
        </w:tc>
        <w:tc>
          <w:tcPr>
            <w:tcW w:w="919" w:type="dxa"/>
            <w:tcBorders>
              <w:top w:val="nil"/>
              <w:left w:val="single" w:sz="8" w:space="0" w:color="auto"/>
              <w:bottom w:val="single" w:sz="4" w:space="0" w:color="auto"/>
              <w:right w:val="single" w:sz="4" w:space="0" w:color="auto"/>
            </w:tcBorders>
            <w:shd w:val="clear" w:color="auto" w:fill="auto"/>
            <w:noWrap/>
            <w:hideMark/>
          </w:tcPr>
          <w:p w14:paraId="54CC39F2" w14:textId="77777777" w:rsidR="00A160F4" w:rsidRPr="00220FCC" w:rsidRDefault="00A160F4" w:rsidP="001A1D9E">
            <w:pPr>
              <w:spacing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5.7.15</w:t>
            </w:r>
          </w:p>
        </w:tc>
        <w:tc>
          <w:tcPr>
            <w:tcW w:w="2975" w:type="dxa"/>
            <w:gridSpan w:val="2"/>
            <w:tcBorders>
              <w:top w:val="single" w:sz="4" w:space="0" w:color="auto"/>
              <w:left w:val="nil"/>
              <w:bottom w:val="single" w:sz="4" w:space="0" w:color="auto"/>
              <w:right w:val="single" w:sz="8" w:space="0" w:color="000000"/>
            </w:tcBorders>
            <w:shd w:val="clear" w:color="auto" w:fill="auto"/>
            <w:hideMark/>
          </w:tcPr>
          <w:p w14:paraId="39D7EB68" w14:textId="60F0EC88" w:rsidR="00A160F4" w:rsidRPr="00220FCC" w:rsidRDefault="00A160F4" w:rsidP="001A1D9E">
            <w:pPr>
              <w:spacing w:line="240" w:lineRule="auto"/>
              <w:rPr>
                <w:rFonts w:ascii="Calibri" w:eastAsia="Times New Roman" w:hAnsi="Calibri" w:cs="Calibri"/>
                <w:lang w:eastAsia="cs-CZ"/>
              </w:rPr>
            </w:pPr>
            <w:r w:rsidRPr="00220FCC">
              <w:rPr>
                <w:rFonts w:ascii="Calibri" w:eastAsia="Times New Roman" w:hAnsi="Calibri" w:cs="Calibri"/>
                <w:lang w:eastAsia="cs-CZ"/>
              </w:rPr>
              <w:t>Další rozvojové práce</w:t>
            </w:r>
          </w:p>
        </w:tc>
        <w:tc>
          <w:tcPr>
            <w:tcW w:w="1424" w:type="dxa"/>
            <w:gridSpan w:val="2"/>
            <w:tcBorders>
              <w:top w:val="nil"/>
              <w:left w:val="single" w:sz="8" w:space="0" w:color="auto"/>
              <w:bottom w:val="single" w:sz="4" w:space="0" w:color="auto"/>
              <w:right w:val="single" w:sz="4" w:space="0" w:color="auto"/>
            </w:tcBorders>
            <w:shd w:val="clear" w:color="auto" w:fill="auto"/>
            <w:noWrap/>
            <w:hideMark/>
          </w:tcPr>
          <w:p w14:paraId="2B6EBD3D"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01.08.2018</w:t>
            </w:r>
          </w:p>
        </w:tc>
        <w:tc>
          <w:tcPr>
            <w:tcW w:w="1257" w:type="dxa"/>
            <w:tcBorders>
              <w:top w:val="nil"/>
              <w:left w:val="nil"/>
              <w:bottom w:val="single" w:sz="4" w:space="0" w:color="auto"/>
              <w:right w:val="single" w:sz="8" w:space="0" w:color="auto"/>
            </w:tcBorders>
            <w:shd w:val="clear" w:color="auto" w:fill="auto"/>
            <w:noWrap/>
            <w:hideMark/>
          </w:tcPr>
          <w:p w14:paraId="525E9970"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3</w:t>
            </w:r>
            <w:r>
              <w:rPr>
                <w:rFonts w:ascii="Calibri" w:eastAsia="Times New Roman" w:hAnsi="Calibri" w:cs="Calibri"/>
                <w:lang w:eastAsia="cs-CZ"/>
              </w:rPr>
              <w:t>0.</w:t>
            </w:r>
            <w:r w:rsidRPr="00220FCC">
              <w:rPr>
                <w:rFonts w:ascii="Calibri" w:eastAsia="Times New Roman" w:hAnsi="Calibri" w:cs="Calibri"/>
                <w:lang w:eastAsia="cs-CZ"/>
              </w:rPr>
              <w:t>06</w:t>
            </w:r>
            <w:r>
              <w:rPr>
                <w:rFonts w:ascii="Calibri" w:eastAsia="Times New Roman" w:hAnsi="Calibri" w:cs="Calibri"/>
                <w:lang w:eastAsia="cs-CZ"/>
              </w:rPr>
              <w:t>.</w:t>
            </w:r>
            <w:r w:rsidRPr="00220FCC">
              <w:rPr>
                <w:rFonts w:ascii="Calibri" w:eastAsia="Times New Roman" w:hAnsi="Calibri" w:cs="Calibri"/>
                <w:lang w:eastAsia="cs-CZ"/>
              </w:rPr>
              <w:t>2019</w:t>
            </w:r>
          </w:p>
        </w:tc>
        <w:tc>
          <w:tcPr>
            <w:tcW w:w="1295" w:type="dxa"/>
            <w:tcBorders>
              <w:top w:val="nil"/>
              <w:left w:val="nil"/>
              <w:bottom w:val="single" w:sz="4" w:space="0" w:color="auto"/>
              <w:right w:val="nil"/>
            </w:tcBorders>
            <w:shd w:val="clear" w:color="auto" w:fill="auto"/>
            <w:noWrap/>
            <w:hideMark/>
          </w:tcPr>
          <w:p w14:paraId="12313415"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4 576 000</w:t>
            </w:r>
          </w:p>
        </w:tc>
        <w:tc>
          <w:tcPr>
            <w:tcW w:w="1241" w:type="dxa"/>
            <w:tcBorders>
              <w:top w:val="single" w:sz="8" w:space="0" w:color="auto"/>
              <w:left w:val="single" w:sz="4" w:space="0" w:color="auto"/>
              <w:bottom w:val="single" w:sz="4" w:space="0" w:color="auto"/>
              <w:right w:val="single" w:sz="8" w:space="0" w:color="auto"/>
            </w:tcBorders>
            <w:shd w:val="clear" w:color="auto" w:fill="auto"/>
            <w:noWrap/>
            <w:hideMark/>
          </w:tcPr>
          <w:p w14:paraId="04A7CDAB" w14:textId="77777777" w:rsidR="00A160F4" w:rsidRPr="00220FCC" w:rsidRDefault="00A160F4" w:rsidP="001A1D9E">
            <w:pPr>
              <w:spacing w:line="240" w:lineRule="auto"/>
              <w:jc w:val="right"/>
              <w:rPr>
                <w:rFonts w:ascii="Calibri" w:eastAsia="Times New Roman" w:hAnsi="Calibri" w:cs="Calibri"/>
                <w:lang w:eastAsia="cs-CZ"/>
              </w:rPr>
            </w:pPr>
            <w:r w:rsidRPr="00220FCC">
              <w:rPr>
                <w:rFonts w:ascii="Calibri" w:eastAsia="Times New Roman" w:hAnsi="Calibri" w:cs="Calibri"/>
                <w:lang w:eastAsia="cs-CZ"/>
              </w:rPr>
              <w:t>5 536 960</w:t>
            </w:r>
          </w:p>
        </w:tc>
      </w:tr>
      <w:tr w:rsidR="00A160F4" w:rsidRPr="00220FCC" w14:paraId="735341F0" w14:textId="77777777" w:rsidTr="00AE78B2">
        <w:trPr>
          <w:trHeight w:val="593"/>
        </w:trPr>
        <w:tc>
          <w:tcPr>
            <w:tcW w:w="9453" w:type="dxa"/>
            <w:gridSpan w:val="9"/>
            <w:tcBorders>
              <w:top w:val="single" w:sz="8" w:space="0" w:color="auto"/>
              <w:left w:val="single" w:sz="8" w:space="0" w:color="auto"/>
              <w:bottom w:val="single" w:sz="8" w:space="0" w:color="auto"/>
              <w:right w:val="single" w:sz="8" w:space="0" w:color="auto"/>
            </w:tcBorders>
            <w:shd w:val="clear" w:color="auto" w:fill="auto"/>
            <w:noWrap/>
            <w:hideMark/>
          </w:tcPr>
          <w:p w14:paraId="25135FE9" w14:textId="77777777" w:rsidR="00A160F4" w:rsidRPr="00220FCC" w:rsidRDefault="00A160F4" w:rsidP="00AE78B2">
            <w:pPr>
              <w:spacing w:before="120" w:line="240" w:lineRule="auto"/>
              <w:rPr>
                <w:rFonts w:ascii="Calibri" w:eastAsia="Times New Roman" w:hAnsi="Calibri" w:cs="Calibri"/>
                <w:color w:val="000000"/>
                <w:lang w:eastAsia="cs-CZ"/>
              </w:rPr>
            </w:pPr>
            <w:r w:rsidRPr="00220FCC">
              <w:rPr>
                <w:rFonts w:ascii="Calibri" w:eastAsia="Times New Roman" w:hAnsi="Calibri" w:cs="Calibri"/>
                <w:color w:val="000000"/>
                <w:lang w:eastAsia="cs-CZ"/>
              </w:rPr>
              <w:t>* kde T je splnění požadavků definovaných v kapitole 2.7.12 </w:t>
            </w:r>
          </w:p>
        </w:tc>
      </w:tr>
    </w:tbl>
    <w:p w14:paraId="6643AD88" w14:textId="77777777" w:rsidR="00A160F4" w:rsidRDefault="00A160F4" w:rsidP="00220FCC">
      <w:pPr>
        <w:pStyle w:val="GSOdstavec"/>
      </w:pPr>
    </w:p>
    <w:p w14:paraId="62F61878" w14:textId="68BE4400" w:rsidR="00220FCC" w:rsidRDefault="00B555CD" w:rsidP="00220FCC">
      <w:pPr>
        <w:pStyle w:val="GSOdstavec"/>
      </w:pPr>
      <w:r>
        <w:t xml:space="preserve">Milník 5.7.1 pokrývá průběžné </w:t>
      </w:r>
      <w:r w:rsidR="007D194A">
        <w:t xml:space="preserve">fixní </w:t>
      </w:r>
      <w:r>
        <w:t xml:space="preserve">činnosti specifikované v kapitole </w:t>
      </w:r>
      <w:r>
        <w:fldChar w:fldCharType="begin"/>
      </w:r>
      <w:r>
        <w:instrText xml:space="preserve"> REF _Ref520963002 \r \h </w:instrText>
      </w:r>
      <w:r>
        <w:fldChar w:fldCharType="separate"/>
      </w:r>
      <w:r w:rsidR="00B3394C">
        <w:t>2.1.1</w:t>
      </w:r>
      <w:r>
        <w:fldChar w:fldCharType="end"/>
      </w:r>
      <w:r>
        <w:t xml:space="preserve"> </w:t>
      </w:r>
      <w:r>
        <w:fldChar w:fldCharType="begin"/>
      </w:r>
      <w:r>
        <w:instrText xml:space="preserve"> REF _Ref520963002 \h </w:instrText>
      </w:r>
      <w:r>
        <w:fldChar w:fldCharType="separate"/>
      </w:r>
      <w:r w:rsidR="00B3394C" w:rsidRPr="003871B3">
        <w:t>Průběžné činnosti</w:t>
      </w:r>
      <w:r>
        <w:fldChar w:fldCharType="end"/>
      </w:r>
      <w:r>
        <w:t xml:space="preserve">. Jeho dílčí fakturace budou probíhat </w:t>
      </w:r>
      <w:r w:rsidR="00A529BA">
        <w:t>po měsíčních etapá</w:t>
      </w:r>
      <w:r w:rsidR="007D194A">
        <w:t>ch</w:t>
      </w:r>
      <w:r>
        <w:t xml:space="preserve"> na základě </w:t>
      </w:r>
      <w:r w:rsidR="00F42EE2">
        <w:t xml:space="preserve">předávacího protokolu obsahujícího popis </w:t>
      </w:r>
      <w:r w:rsidR="00A529BA">
        <w:t>provedených fixních činností</w:t>
      </w:r>
      <w:r w:rsidR="00F42EE2">
        <w:t>.</w:t>
      </w:r>
    </w:p>
    <w:p w14:paraId="33A73286" w14:textId="4B4FED6D" w:rsidR="00587DE6" w:rsidRPr="00220FCC" w:rsidRDefault="00587DE6" w:rsidP="00587DE6">
      <w:pPr>
        <w:pStyle w:val="GSOdstavec"/>
      </w:pPr>
      <w:r>
        <w:t>Milník 5.7.15 pokrývá d</w:t>
      </w:r>
      <w:r w:rsidRPr="00587DE6">
        <w:t>alší rozvojové práce</w:t>
      </w:r>
      <w:r>
        <w:t xml:space="preserve"> specifikované v kapitole </w:t>
      </w:r>
      <w:r>
        <w:fldChar w:fldCharType="begin"/>
      </w:r>
      <w:r>
        <w:instrText xml:space="preserve"> REF _Ref520963102 \r \h </w:instrText>
      </w:r>
      <w:r>
        <w:fldChar w:fldCharType="separate"/>
      </w:r>
      <w:r w:rsidR="00B3394C">
        <w:t>2.1.15</w:t>
      </w:r>
      <w:r>
        <w:fldChar w:fldCharType="end"/>
      </w:r>
      <w:r>
        <w:t xml:space="preserve"> </w:t>
      </w:r>
      <w:r>
        <w:fldChar w:fldCharType="begin"/>
      </w:r>
      <w:r>
        <w:instrText xml:space="preserve"> REF _Ref520963102 \h </w:instrText>
      </w:r>
      <w:r>
        <w:fldChar w:fldCharType="separate"/>
      </w:r>
      <w:r w:rsidR="00B3394C" w:rsidRPr="003871B3">
        <w:t>Další rozvojové práce</w:t>
      </w:r>
      <w:r>
        <w:fldChar w:fldCharType="end"/>
      </w:r>
      <w:r>
        <w:t>. Jeho dílčí fakturace budou probíhat s měsíční periodou na základě předávacího protokolu obsahujícího popis provedených prací.</w:t>
      </w:r>
    </w:p>
    <w:p w14:paraId="4F240380" w14:textId="77777777" w:rsidR="00587DE6" w:rsidRPr="00220FCC" w:rsidRDefault="00587DE6" w:rsidP="00220FCC">
      <w:pPr>
        <w:pStyle w:val="GSOdstavec"/>
      </w:pPr>
    </w:p>
    <w:p w14:paraId="679CA83D" w14:textId="75B7F49F" w:rsidR="00805650" w:rsidRPr="003871B3" w:rsidRDefault="00024AEB" w:rsidP="00805650">
      <w:pPr>
        <w:pStyle w:val="GSNadpis1"/>
      </w:pPr>
      <w:r w:rsidRPr="003871B3">
        <w:tab/>
      </w:r>
      <w:bookmarkStart w:id="66" w:name="_Toc522884718"/>
      <w:r w:rsidR="00F23236" w:rsidRPr="003871B3">
        <w:t>Celková c</w:t>
      </w:r>
      <w:r w:rsidR="00805650" w:rsidRPr="003871B3">
        <w:t>ena</w:t>
      </w:r>
      <w:r w:rsidR="0034086B" w:rsidRPr="003871B3">
        <w:t>, pracnost a obsazení týmu</w:t>
      </w:r>
      <w:bookmarkEnd w:id="64"/>
      <w:bookmarkEnd w:id="66"/>
    </w:p>
    <w:p w14:paraId="7FEF29E3" w14:textId="3EEA1789" w:rsidR="0034086B" w:rsidRPr="003871B3" w:rsidRDefault="0034086B" w:rsidP="0034086B">
      <w:pPr>
        <w:pStyle w:val="GSNadpis2"/>
      </w:pPr>
      <w:bookmarkStart w:id="67" w:name="_Toc522884719"/>
      <w:r w:rsidRPr="003871B3">
        <w:t>Saz</w:t>
      </w:r>
      <w:r w:rsidR="009C7065" w:rsidRPr="003871B3">
        <w:t>by specialistů základního týmu D</w:t>
      </w:r>
      <w:r w:rsidRPr="003871B3">
        <w:t>odavatele</w:t>
      </w:r>
      <w:bookmarkEnd w:id="67"/>
    </w:p>
    <w:p w14:paraId="2629A0CA" w14:textId="77777777" w:rsidR="001418C2" w:rsidRPr="00C22A86" w:rsidRDefault="001418C2" w:rsidP="00C22A86">
      <w:pPr>
        <w:pStyle w:val="GSOdstavec"/>
        <w:rPr>
          <w:rFonts w:eastAsia="Times New Roman" w:cs="Arial"/>
          <w:color w:val="000000"/>
          <w:szCs w:val="22"/>
          <w:lang w:eastAsia="cs-CZ"/>
        </w:rPr>
      </w:pPr>
      <w:bookmarkStart w:id="68" w:name="_Hlk521589693"/>
      <w:r w:rsidRPr="00C22A86">
        <w:rPr>
          <w:rFonts w:eastAsia="Times New Roman" w:cs="Arial"/>
          <w:color w:val="000000"/>
          <w:szCs w:val="22"/>
          <w:lang w:eastAsia="cs-CZ"/>
        </w:rPr>
        <w:t>Viz Příloha č.1 k Obchodní Smlouvě č. 09/2017.</w:t>
      </w:r>
    </w:p>
    <w:p w14:paraId="79D3EB49" w14:textId="686C6690" w:rsidR="0034086B" w:rsidRPr="003871B3" w:rsidRDefault="0034086B" w:rsidP="006405DA">
      <w:pPr>
        <w:pStyle w:val="GSNadpis2"/>
      </w:pPr>
      <w:bookmarkStart w:id="69" w:name="_Toc522884720"/>
      <w:bookmarkEnd w:id="68"/>
      <w:r w:rsidRPr="003871B3">
        <w:t>Pracnost a cena jednotlivých oblastí</w:t>
      </w:r>
      <w:bookmarkEnd w:id="69"/>
    </w:p>
    <w:p w14:paraId="51F656C4" w14:textId="2CA4FF71" w:rsidR="0034086B" w:rsidRPr="00C22A86" w:rsidRDefault="0034086B" w:rsidP="00C22A86">
      <w:pPr>
        <w:pStyle w:val="GSOdstavec"/>
        <w:rPr>
          <w:rFonts w:eastAsia="Times New Roman" w:cs="Arial"/>
          <w:color w:val="000000"/>
          <w:szCs w:val="22"/>
          <w:lang w:eastAsia="cs-CZ"/>
        </w:rPr>
      </w:pPr>
      <w:r w:rsidRPr="00C22A86">
        <w:rPr>
          <w:rFonts w:eastAsia="Times New Roman" w:cs="Arial"/>
          <w:color w:val="000000"/>
          <w:szCs w:val="22"/>
          <w:lang w:eastAsia="cs-CZ"/>
        </w:rPr>
        <w:t xml:space="preserve">Předpokládaná pracnost a z ní vyplývající cena poskytovaných služeb v jednotlivých oblastech definovaných výše </w:t>
      </w:r>
      <w:r w:rsidR="00907B6E" w:rsidRPr="00C22A86">
        <w:rPr>
          <w:rFonts w:eastAsia="Times New Roman" w:cs="Arial"/>
          <w:color w:val="000000"/>
          <w:szCs w:val="22"/>
          <w:lang w:eastAsia="cs-CZ"/>
        </w:rPr>
        <w:t>v této Příloze č. 1 Dodatku č. 1 jako nové oproti Příloze č. 1 k Obchodní Smlouvě č. 09/2017</w:t>
      </w:r>
      <w:r w:rsidRPr="00C22A86">
        <w:rPr>
          <w:rFonts w:eastAsia="Times New Roman" w:cs="Arial"/>
          <w:color w:val="000000"/>
          <w:szCs w:val="22"/>
          <w:lang w:eastAsia="cs-CZ"/>
        </w:rPr>
        <w:t xml:space="preserve"> je uvedena v následující tabulce:</w:t>
      </w:r>
    </w:p>
    <w:tbl>
      <w:tblPr>
        <w:tblStyle w:val="TableGrid"/>
        <w:tblW w:w="9209" w:type="dxa"/>
        <w:tblLayout w:type="fixed"/>
        <w:tblLook w:val="04A0" w:firstRow="1" w:lastRow="0" w:firstColumn="1" w:lastColumn="0" w:noHBand="0" w:noVBand="1"/>
      </w:tblPr>
      <w:tblGrid>
        <w:gridCol w:w="1145"/>
        <w:gridCol w:w="2386"/>
        <w:gridCol w:w="8"/>
        <w:gridCol w:w="1418"/>
        <w:gridCol w:w="1984"/>
        <w:gridCol w:w="2268"/>
      </w:tblGrid>
      <w:tr w:rsidR="0034086B" w:rsidRPr="003871B3" w14:paraId="28B40DB1" w14:textId="14CA1D21" w:rsidTr="001F40BD">
        <w:trPr>
          <w:trHeight w:val="405"/>
        </w:trPr>
        <w:tc>
          <w:tcPr>
            <w:tcW w:w="1145" w:type="dxa"/>
            <w:shd w:val="clear" w:color="auto" w:fill="D9D9D9" w:themeFill="background1" w:themeFillShade="D9"/>
          </w:tcPr>
          <w:p w14:paraId="1EF97BB9" w14:textId="741A4E9C" w:rsidR="0034086B" w:rsidRPr="003871B3" w:rsidRDefault="0034086B" w:rsidP="006E5A96">
            <w:pPr>
              <w:widowControl w:val="0"/>
              <w:spacing w:before="120" w:after="120"/>
              <w:rPr>
                <w:rFonts w:ascii="Arial" w:hAnsi="Arial" w:cs="Arial"/>
                <w:b/>
                <w:sz w:val="22"/>
                <w:szCs w:val="22"/>
              </w:rPr>
            </w:pPr>
            <w:r w:rsidRPr="003871B3">
              <w:rPr>
                <w:rFonts w:ascii="Arial" w:hAnsi="Arial" w:cs="Arial"/>
                <w:b/>
                <w:sz w:val="22"/>
                <w:szCs w:val="22"/>
              </w:rPr>
              <w:t>Oblast</w:t>
            </w:r>
          </w:p>
        </w:tc>
        <w:tc>
          <w:tcPr>
            <w:tcW w:w="2386" w:type="dxa"/>
            <w:shd w:val="clear" w:color="auto" w:fill="D9D9D9" w:themeFill="background1" w:themeFillShade="D9"/>
          </w:tcPr>
          <w:p w14:paraId="640C2F2A" w14:textId="3046A1D2" w:rsidR="0034086B" w:rsidRPr="003871B3" w:rsidRDefault="0034086B" w:rsidP="006E5A96">
            <w:pPr>
              <w:widowControl w:val="0"/>
              <w:spacing w:before="120" w:after="120"/>
              <w:rPr>
                <w:rFonts w:ascii="Arial" w:hAnsi="Arial" w:cs="Arial"/>
                <w:b/>
                <w:sz w:val="22"/>
                <w:szCs w:val="22"/>
              </w:rPr>
            </w:pPr>
            <w:r w:rsidRPr="003871B3">
              <w:rPr>
                <w:rFonts w:ascii="Arial" w:hAnsi="Arial" w:cs="Arial"/>
                <w:b/>
                <w:sz w:val="22"/>
                <w:szCs w:val="22"/>
              </w:rPr>
              <w:t>Činnost</w:t>
            </w:r>
          </w:p>
        </w:tc>
        <w:tc>
          <w:tcPr>
            <w:tcW w:w="1426" w:type="dxa"/>
            <w:gridSpan w:val="2"/>
            <w:shd w:val="clear" w:color="auto" w:fill="D9D9D9" w:themeFill="background1" w:themeFillShade="D9"/>
          </w:tcPr>
          <w:p w14:paraId="427A389F" w14:textId="38390737" w:rsidR="0034086B" w:rsidRPr="003871B3" w:rsidRDefault="00203263" w:rsidP="006E5A96">
            <w:pPr>
              <w:widowControl w:val="0"/>
              <w:spacing w:before="120" w:after="120"/>
              <w:rPr>
                <w:rFonts w:ascii="Arial" w:hAnsi="Arial" w:cs="Arial"/>
                <w:b/>
                <w:sz w:val="22"/>
                <w:szCs w:val="22"/>
              </w:rPr>
            </w:pPr>
            <w:r w:rsidRPr="003871B3">
              <w:rPr>
                <w:rFonts w:ascii="Arial" w:hAnsi="Arial" w:cs="Arial"/>
                <w:b/>
                <w:sz w:val="22"/>
                <w:szCs w:val="22"/>
              </w:rPr>
              <w:t>Orientační p</w:t>
            </w:r>
            <w:r w:rsidR="0034086B" w:rsidRPr="003871B3">
              <w:rPr>
                <w:rFonts w:ascii="Arial" w:hAnsi="Arial" w:cs="Arial"/>
                <w:b/>
                <w:sz w:val="22"/>
                <w:szCs w:val="22"/>
              </w:rPr>
              <w:t>racnost</w:t>
            </w:r>
          </w:p>
          <w:p w14:paraId="65DB07D9" w14:textId="50B67E88" w:rsidR="0034086B" w:rsidRPr="003871B3" w:rsidRDefault="00203263" w:rsidP="00203263">
            <w:pPr>
              <w:widowControl w:val="0"/>
              <w:spacing w:before="120" w:after="120"/>
              <w:rPr>
                <w:rFonts w:ascii="Arial" w:hAnsi="Arial" w:cs="Arial"/>
                <w:b/>
                <w:sz w:val="22"/>
                <w:szCs w:val="22"/>
              </w:rPr>
            </w:pPr>
            <w:r w:rsidRPr="003871B3">
              <w:rPr>
                <w:rFonts w:ascii="Arial" w:hAnsi="Arial" w:cs="Arial"/>
                <w:b/>
                <w:sz w:val="22"/>
                <w:szCs w:val="22"/>
              </w:rPr>
              <w:t>(</w:t>
            </w:r>
            <w:r w:rsidR="0034086B" w:rsidRPr="003871B3">
              <w:rPr>
                <w:rFonts w:ascii="Arial" w:hAnsi="Arial" w:cs="Arial"/>
                <w:b/>
                <w:sz w:val="22"/>
                <w:szCs w:val="22"/>
              </w:rPr>
              <w:t xml:space="preserve">počet </w:t>
            </w:r>
            <w:r w:rsidRPr="003871B3">
              <w:rPr>
                <w:rFonts w:ascii="Arial" w:hAnsi="Arial" w:cs="Arial"/>
                <w:b/>
                <w:sz w:val="22"/>
                <w:szCs w:val="22"/>
              </w:rPr>
              <w:t>MD)</w:t>
            </w:r>
          </w:p>
        </w:tc>
        <w:tc>
          <w:tcPr>
            <w:tcW w:w="1984" w:type="dxa"/>
            <w:shd w:val="clear" w:color="auto" w:fill="D9D9D9" w:themeFill="background1" w:themeFillShade="D9"/>
          </w:tcPr>
          <w:p w14:paraId="1EC8F2BD" w14:textId="0420FEB4" w:rsidR="0034086B" w:rsidRPr="003871B3" w:rsidRDefault="0034086B" w:rsidP="006E5A96">
            <w:pPr>
              <w:widowControl w:val="0"/>
              <w:spacing w:before="120" w:after="120"/>
              <w:rPr>
                <w:rFonts w:ascii="Arial" w:hAnsi="Arial" w:cs="Arial"/>
                <w:b/>
                <w:sz w:val="22"/>
                <w:szCs w:val="22"/>
              </w:rPr>
            </w:pPr>
            <w:r w:rsidRPr="003871B3">
              <w:rPr>
                <w:rFonts w:ascii="Arial" w:hAnsi="Arial" w:cs="Arial"/>
                <w:b/>
                <w:sz w:val="22"/>
                <w:szCs w:val="22"/>
              </w:rPr>
              <w:t>Cena celkem Kč bez DPH</w:t>
            </w:r>
          </w:p>
        </w:tc>
        <w:tc>
          <w:tcPr>
            <w:tcW w:w="2268" w:type="dxa"/>
            <w:shd w:val="clear" w:color="auto" w:fill="D9D9D9" w:themeFill="background1" w:themeFillShade="D9"/>
          </w:tcPr>
          <w:p w14:paraId="1E150D83" w14:textId="3E95D2F0" w:rsidR="0034086B" w:rsidRPr="003871B3" w:rsidRDefault="0034086B" w:rsidP="006E5A96">
            <w:pPr>
              <w:widowControl w:val="0"/>
              <w:spacing w:before="120" w:after="120"/>
              <w:rPr>
                <w:rFonts w:ascii="Arial" w:hAnsi="Arial" w:cs="Arial"/>
                <w:b/>
                <w:sz w:val="22"/>
                <w:szCs w:val="22"/>
              </w:rPr>
            </w:pPr>
            <w:r w:rsidRPr="003871B3">
              <w:rPr>
                <w:rFonts w:ascii="Arial" w:hAnsi="Arial" w:cs="Arial"/>
                <w:b/>
                <w:sz w:val="22"/>
                <w:szCs w:val="22"/>
              </w:rPr>
              <w:t xml:space="preserve">Cena celkem Kč včetně </w:t>
            </w:r>
            <w:r w:rsidR="00C11B8D" w:rsidRPr="003871B3">
              <w:rPr>
                <w:rFonts w:ascii="Arial" w:hAnsi="Arial" w:cs="Arial"/>
                <w:b/>
                <w:sz w:val="22"/>
                <w:szCs w:val="22"/>
              </w:rPr>
              <w:t xml:space="preserve">21% </w:t>
            </w:r>
            <w:r w:rsidRPr="003871B3">
              <w:rPr>
                <w:rFonts w:ascii="Arial" w:hAnsi="Arial" w:cs="Arial"/>
                <w:b/>
                <w:sz w:val="22"/>
                <w:szCs w:val="22"/>
              </w:rPr>
              <w:t>DPH</w:t>
            </w:r>
          </w:p>
        </w:tc>
      </w:tr>
      <w:tr w:rsidR="00C11B8D" w:rsidRPr="003871B3" w14:paraId="0B3E3330" w14:textId="4A91DDB5" w:rsidTr="001F40BD">
        <w:tc>
          <w:tcPr>
            <w:tcW w:w="1145" w:type="dxa"/>
          </w:tcPr>
          <w:p w14:paraId="1E7E147F" w14:textId="4E1DEA05" w:rsidR="00C11B8D" w:rsidRPr="003871B3" w:rsidRDefault="001418C2" w:rsidP="007D194A">
            <w:pPr>
              <w:widowControl w:val="0"/>
              <w:spacing w:before="120" w:after="120"/>
              <w:rPr>
                <w:rFonts w:ascii="Arial" w:hAnsi="Arial" w:cs="Arial"/>
                <w:sz w:val="22"/>
                <w:szCs w:val="22"/>
              </w:rPr>
            </w:pPr>
            <w:r w:rsidRPr="003871B3">
              <w:rPr>
                <w:rFonts w:ascii="Arial" w:hAnsi="Arial" w:cs="Arial"/>
                <w:sz w:val="22"/>
                <w:szCs w:val="22"/>
              </w:rPr>
              <w:t>5.7</w:t>
            </w:r>
            <w:r w:rsidR="00293D31">
              <w:rPr>
                <w:rFonts w:ascii="Arial" w:hAnsi="Arial" w:cs="Arial"/>
                <w:sz w:val="22"/>
                <w:szCs w:val="22"/>
              </w:rPr>
              <w:t xml:space="preserve">.1. </w:t>
            </w:r>
          </w:p>
        </w:tc>
        <w:tc>
          <w:tcPr>
            <w:tcW w:w="2386" w:type="dxa"/>
          </w:tcPr>
          <w:p w14:paraId="203438EC" w14:textId="0ED115F0" w:rsidR="00883FAF" w:rsidRPr="003871B3" w:rsidRDefault="00293D31" w:rsidP="00883FAF">
            <w:pPr>
              <w:widowControl w:val="0"/>
              <w:spacing w:before="120" w:after="120"/>
              <w:rPr>
                <w:rFonts w:ascii="Arial" w:hAnsi="Arial" w:cs="Arial"/>
                <w:sz w:val="22"/>
                <w:szCs w:val="22"/>
              </w:rPr>
            </w:pPr>
            <w:r>
              <w:rPr>
                <w:rFonts w:ascii="Arial" w:hAnsi="Arial" w:cs="Arial"/>
                <w:sz w:val="22"/>
                <w:szCs w:val="22"/>
              </w:rPr>
              <w:t>Průběžné činnosti</w:t>
            </w:r>
          </w:p>
        </w:tc>
        <w:tc>
          <w:tcPr>
            <w:tcW w:w="1426" w:type="dxa"/>
            <w:gridSpan w:val="2"/>
          </w:tcPr>
          <w:p w14:paraId="0E786CBC" w14:textId="35BDE030" w:rsidR="00883FAF" w:rsidRPr="003871B3" w:rsidRDefault="00241C58" w:rsidP="008531C2">
            <w:pPr>
              <w:widowControl w:val="0"/>
              <w:spacing w:before="120" w:after="120"/>
              <w:jc w:val="center"/>
              <w:rPr>
                <w:rFonts w:ascii="Arial" w:hAnsi="Arial" w:cs="Arial"/>
                <w:sz w:val="22"/>
                <w:szCs w:val="22"/>
              </w:rPr>
            </w:pPr>
            <w:r>
              <w:rPr>
                <w:rFonts w:ascii="Arial" w:hAnsi="Arial" w:cs="Arial"/>
                <w:sz w:val="22"/>
                <w:szCs w:val="22"/>
              </w:rPr>
              <w:t>768</w:t>
            </w:r>
          </w:p>
        </w:tc>
        <w:tc>
          <w:tcPr>
            <w:tcW w:w="1984" w:type="dxa"/>
          </w:tcPr>
          <w:p w14:paraId="3CF02836" w14:textId="50772863" w:rsidR="00883FAF" w:rsidRPr="003871B3" w:rsidRDefault="00293D31" w:rsidP="001F03A2">
            <w:pPr>
              <w:widowControl w:val="0"/>
              <w:spacing w:before="120" w:after="120"/>
              <w:jc w:val="right"/>
              <w:rPr>
                <w:rFonts w:ascii="Arial" w:hAnsi="Arial" w:cs="Arial"/>
                <w:sz w:val="22"/>
                <w:szCs w:val="22"/>
              </w:rPr>
            </w:pPr>
            <w:r>
              <w:rPr>
                <w:rFonts w:ascii="Arial" w:hAnsi="Arial" w:cs="Arial"/>
                <w:sz w:val="22"/>
                <w:szCs w:val="22"/>
              </w:rPr>
              <w:t xml:space="preserve">11 493 000 </w:t>
            </w:r>
          </w:p>
        </w:tc>
        <w:tc>
          <w:tcPr>
            <w:tcW w:w="2268" w:type="dxa"/>
          </w:tcPr>
          <w:p w14:paraId="64437722" w14:textId="014BAFAC" w:rsidR="00883FAF" w:rsidRPr="003871B3" w:rsidRDefault="00293D31" w:rsidP="00293D31">
            <w:pPr>
              <w:widowControl w:val="0"/>
              <w:spacing w:before="120" w:after="120"/>
              <w:jc w:val="right"/>
              <w:rPr>
                <w:rFonts w:ascii="Arial" w:hAnsi="Arial" w:cs="Arial"/>
                <w:sz w:val="22"/>
                <w:szCs w:val="22"/>
              </w:rPr>
            </w:pPr>
            <w:r>
              <w:rPr>
                <w:rFonts w:ascii="Arial" w:hAnsi="Arial" w:cs="Arial"/>
                <w:sz w:val="22"/>
                <w:szCs w:val="22"/>
              </w:rPr>
              <w:t xml:space="preserve">13 906 530 </w:t>
            </w:r>
          </w:p>
        </w:tc>
      </w:tr>
      <w:tr w:rsidR="00C11B8D" w:rsidRPr="003871B3" w14:paraId="6302E2A4" w14:textId="0E0B741A" w:rsidTr="001F40BD">
        <w:tc>
          <w:tcPr>
            <w:tcW w:w="1145" w:type="dxa"/>
          </w:tcPr>
          <w:p w14:paraId="6C3E7820" w14:textId="783E88D8" w:rsidR="00C11B8D" w:rsidRPr="003871B3" w:rsidRDefault="00241C58" w:rsidP="00241C58">
            <w:pPr>
              <w:widowControl w:val="0"/>
              <w:spacing w:before="120" w:after="120"/>
              <w:rPr>
                <w:rFonts w:ascii="Arial" w:hAnsi="Arial" w:cs="Arial"/>
                <w:sz w:val="22"/>
                <w:szCs w:val="22"/>
              </w:rPr>
            </w:pPr>
            <w:r w:rsidRPr="003871B3">
              <w:rPr>
                <w:rFonts w:ascii="Arial" w:hAnsi="Arial" w:cs="Arial"/>
                <w:sz w:val="22"/>
                <w:szCs w:val="22"/>
              </w:rPr>
              <w:t>5.7</w:t>
            </w:r>
            <w:r>
              <w:rPr>
                <w:rFonts w:ascii="Arial" w:hAnsi="Arial" w:cs="Arial"/>
                <w:sz w:val="22"/>
                <w:szCs w:val="22"/>
              </w:rPr>
              <w:t>.</w:t>
            </w:r>
            <w:r w:rsidR="007D194A">
              <w:rPr>
                <w:rFonts w:ascii="Arial" w:hAnsi="Arial" w:cs="Arial"/>
                <w:sz w:val="22"/>
                <w:szCs w:val="22"/>
              </w:rPr>
              <w:t>2</w:t>
            </w:r>
            <w:r>
              <w:rPr>
                <w:rFonts w:ascii="Arial" w:hAnsi="Arial" w:cs="Arial"/>
                <w:sz w:val="22"/>
                <w:szCs w:val="22"/>
              </w:rPr>
              <w:t>. až 5.7.</w:t>
            </w:r>
            <w:r w:rsidR="007D194A">
              <w:rPr>
                <w:rFonts w:ascii="Arial" w:hAnsi="Arial" w:cs="Arial"/>
                <w:sz w:val="22"/>
                <w:szCs w:val="22"/>
              </w:rPr>
              <w:t>14</w:t>
            </w:r>
            <w:r>
              <w:rPr>
                <w:rFonts w:ascii="Arial" w:hAnsi="Arial" w:cs="Arial"/>
                <w:sz w:val="22"/>
                <w:szCs w:val="22"/>
              </w:rPr>
              <w:t>.</w:t>
            </w:r>
          </w:p>
        </w:tc>
        <w:tc>
          <w:tcPr>
            <w:tcW w:w="2386" w:type="dxa"/>
          </w:tcPr>
          <w:p w14:paraId="34EE75DB" w14:textId="4F9F0E3C" w:rsidR="00212EF5" w:rsidRPr="003871B3" w:rsidRDefault="00293D31" w:rsidP="00B03DFD">
            <w:pPr>
              <w:widowControl w:val="0"/>
              <w:spacing w:before="120" w:after="120"/>
              <w:rPr>
                <w:rFonts w:ascii="Arial" w:hAnsi="Arial" w:cs="Arial"/>
                <w:sz w:val="22"/>
                <w:szCs w:val="22"/>
              </w:rPr>
            </w:pPr>
            <w:r>
              <w:rPr>
                <w:rFonts w:ascii="Arial" w:hAnsi="Arial" w:cs="Arial"/>
                <w:sz w:val="22"/>
                <w:szCs w:val="22"/>
              </w:rPr>
              <w:t>Milníky</w:t>
            </w:r>
          </w:p>
        </w:tc>
        <w:tc>
          <w:tcPr>
            <w:tcW w:w="1426" w:type="dxa"/>
            <w:gridSpan w:val="2"/>
          </w:tcPr>
          <w:p w14:paraId="3B2C1818" w14:textId="504E6EF3" w:rsidR="00A647CF" w:rsidRPr="003871B3" w:rsidRDefault="00241C58" w:rsidP="00C11B8D">
            <w:pPr>
              <w:widowControl w:val="0"/>
              <w:spacing w:before="120" w:after="120"/>
              <w:jc w:val="center"/>
              <w:rPr>
                <w:rFonts w:ascii="Arial" w:hAnsi="Arial" w:cs="Arial"/>
                <w:sz w:val="22"/>
                <w:szCs w:val="22"/>
              </w:rPr>
            </w:pPr>
            <w:r>
              <w:rPr>
                <w:rFonts w:ascii="Arial" w:hAnsi="Arial" w:cs="Arial"/>
                <w:sz w:val="22"/>
                <w:szCs w:val="22"/>
              </w:rPr>
              <w:t>813</w:t>
            </w:r>
          </w:p>
        </w:tc>
        <w:tc>
          <w:tcPr>
            <w:tcW w:w="1984" w:type="dxa"/>
          </w:tcPr>
          <w:p w14:paraId="25A519C7" w14:textId="1332A65B" w:rsidR="00212EF5" w:rsidRPr="003871B3" w:rsidRDefault="00293D31">
            <w:pPr>
              <w:widowControl w:val="0"/>
              <w:spacing w:before="120" w:after="120"/>
              <w:jc w:val="right"/>
              <w:rPr>
                <w:rFonts w:ascii="Arial" w:hAnsi="Arial" w:cs="Arial"/>
                <w:sz w:val="22"/>
                <w:szCs w:val="22"/>
              </w:rPr>
            </w:pPr>
            <w:r>
              <w:rPr>
                <w:rFonts w:ascii="Arial" w:hAnsi="Arial" w:cs="Arial"/>
                <w:sz w:val="22"/>
                <w:szCs w:val="22"/>
              </w:rPr>
              <w:t xml:space="preserve">12 163 000 </w:t>
            </w:r>
          </w:p>
        </w:tc>
        <w:tc>
          <w:tcPr>
            <w:tcW w:w="2268" w:type="dxa"/>
          </w:tcPr>
          <w:p w14:paraId="49DA9E97" w14:textId="33433574" w:rsidR="00B5267B" w:rsidRPr="003871B3" w:rsidRDefault="00293D31">
            <w:pPr>
              <w:widowControl w:val="0"/>
              <w:spacing w:before="120" w:after="120"/>
              <w:jc w:val="right"/>
              <w:rPr>
                <w:rFonts w:ascii="Arial" w:hAnsi="Arial" w:cs="Arial"/>
                <w:sz w:val="22"/>
                <w:szCs w:val="22"/>
              </w:rPr>
            </w:pPr>
            <w:r>
              <w:rPr>
                <w:rFonts w:ascii="Arial" w:hAnsi="Arial" w:cs="Arial"/>
                <w:sz w:val="22"/>
                <w:szCs w:val="22"/>
              </w:rPr>
              <w:t xml:space="preserve">14 717 230 </w:t>
            </w:r>
          </w:p>
        </w:tc>
      </w:tr>
      <w:tr w:rsidR="00C11B8D" w:rsidRPr="003871B3" w14:paraId="5A961B34" w14:textId="76645AC8" w:rsidTr="001F40BD">
        <w:tc>
          <w:tcPr>
            <w:tcW w:w="1145" w:type="dxa"/>
          </w:tcPr>
          <w:p w14:paraId="00BD9AFA" w14:textId="1214AEB2" w:rsidR="00C11B8D" w:rsidRPr="003871B3" w:rsidRDefault="00241C58" w:rsidP="007D194A">
            <w:pPr>
              <w:widowControl w:val="0"/>
              <w:spacing w:before="120" w:after="120"/>
              <w:rPr>
                <w:rFonts w:ascii="Arial" w:hAnsi="Arial" w:cs="Arial"/>
                <w:sz w:val="22"/>
                <w:szCs w:val="22"/>
              </w:rPr>
            </w:pPr>
            <w:r w:rsidRPr="003871B3">
              <w:rPr>
                <w:rFonts w:ascii="Arial" w:hAnsi="Arial" w:cs="Arial"/>
                <w:sz w:val="22"/>
                <w:szCs w:val="22"/>
              </w:rPr>
              <w:t>5.7</w:t>
            </w:r>
            <w:r>
              <w:rPr>
                <w:rFonts w:ascii="Arial" w:hAnsi="Arial" w:cs="Arial"/>
                <w:sz w:val="22"/>
                <w:szCs w:val="22"/>
              </w:rPr>
              <w:t>.</w:t>
            </w:r>
            <w:r w:rsidR="007D194A">
              <w:rPr>
                <w:rFonts w:ascii="Arial" w:hAnsi="Arial" w:cs="Arial"/>
                <w:sz w:val="22"/>
                <w:szCs w:val="22"/>
              </w:rPr>
              <w:t>15.</w:t>
            </w:r>
          </w:p>
        </w:tc>
        <w:tc>
          <w:tcPr>
            <w:tcW w:w="2386" w:type="dxa"/>
          </w:tcPr>
          <w:p w14:paraId="04EF23CB" w14:textId="3E7EAF9E" w:rsidR="00C11B8D" w:rsidRPr="003871B3" w:rsidRDefault="00241C58" w:rsidP="00A529BA">
            <w:pPr>
              <w:widowControl w:val="0"/>
              <w:spacing w:before="120" w:after="120"/>
              <w:rPr>
                <w:rFonts w:ascii="Arial" w:hAnsi="Arial" w:cs="Arial"/>
                <w:sz w:val="22"/>
                <w:szCs w:val="22"/>
              </w:rPr>
            </w:pPr>
            <w:r>
              <w:rPr>
                <w:rFonts w:ascii="Arial" w:hAnsi="Arial" w:cs="Arial"/>
                <w:sz w:val="22"/>
                <w:szCs w:val="22"/>
              </w:rPr>
              <w:t>Další rozvojové práce</w:t>
            </w:r>
          </w:p>
        </w:tc>
        <w:tc>
          <w:tcPr>
            <w:tcW w:w="1426" w:type="dxa"/>
            <w:gridSpan w:val="2"/>
          </w:tcPr>
          <w:p w14:paraId="653CD459" w14:textId="5260252F" w:rsidR="00C11B8D" w:rsidRPr="003871B3" w:rsidRDefault="00241C58" w:rsidP="00107E4F">
            <w:pPr>
              <w:widowControl w:val="0"/>
              <w:spacing w:before="120" w:after="120"/>
              <w:jc w:val="center"/>
              <w:rPr>
                <w:rFonts w:ascii="Arial" w:hAnsi="Arial" w:cs="Arial"/>
                <w:sz w:val="22"/>
                <w:szCs w:val="22"/>
              </w:rPr>
            </w:pPr>
            <w:r>
              <w:rPr>
                <w:rFonts w:ascii="Arial" w:hAnsi="Arial" w:cs="Arial"/>
                <w:sz w:val="22"/>
                <w:szCs w:val="22"/>
              </w:rPr>
              <w:t>306</w:t>
            </w:r>
          </w:p>
        </w:tc>
        <w:tc>
          <w:tcPr>
            <w:tcW w:w="1984" w:type="dxa"/>
          </w:tcPr>
          <w:p w14:paraId="69AB491B" w14:textId="492011ED" w:rsidR="00C11B8D" w:rsidRPr="003871B3" w:rsidRDefault="00293D31" w:rsidP="009A5A51">
            <w:pPr>
              <w:widowControl w:val="0"/>
              <w:spacing w:before="120" w:after="120"/>
              <w:jc w:val="right"/>
              <w:rPr>
                <w:rFonts w:ascii="Arial" w:hAnsi="Arial" w:cs="Arial"/>
                <w:sz w:val="22"/>
                <w:szCs w:val="22"/>
              </w:rPr>
            </w:pPr>
            <w:r>
              <w:rPr>
                <w:rFonts w:ascii="Arial" w:hAnsi="Arial" w:cs="Arial"/>
                <w:sz w:val="22"/>
                <w:szCs w:val="22"/>
              </w:rPr>
              <w:t xml:space="preserve">4 576 000 </w:t>
            </w:r>
          </w:p>
        </w:tc>
        <w:tc>
          <w:tcPr>
            <w:tcW w:w="2268" w:type="dxa"/>
          </w:tcPr>
          <w:p w14:paraId="6B208B8A" w14:textId="1A6C45B5" w:rsidR="00C11B8D" w:rsidRPr="003871B3" w:rsidRDefault="00293D31" w:rsidP="00293D31">
            <w:pPr>
              <w:widowControl w:val="0"/>
              <w:spacing w:before="120" w:after="120"/>
              <w:jc w:val="right"/>
              <w:rPr>
                <w:rFonts w:ascii="Arial" w:hAnsi="Arial" w:cs="Arial"/>
                <w:sz w:val="22"/>
                <w:szCs w:val="22"/>
              </w:rPr>
            </w:pPr>
            <w:r>
              <w:rPr>
                <w:rFonts w:ascii="Arial" w:hAnsi="Arial" w:cs="Arial"/>
                <w:sz w:val="22"/>
                <w:szCs w:val="22"/>
              </w:rPr>
              <w:t xml:space="preserve">5 536 960 </w:t>
            </w:r>
          </w:p>
        </w:tc>
      </w:tr>
      <w:tr w:rsidR="00293D31" w:rsidRPr="003871B3" w14:paraId="66D4DD77" w14:textId="5F5C31B3" w:rsidTr="003322E6">
        <w:tc>
          <w:tcPr>
            <w:tcW w:w="3539" w:type="dxa"/>
            <w:gridSpan w:val="3"/>
            <w:tcBorders>
              <w:bottom w:val="double" w:sz="4" w:space="0" w:color="auto"/>
            </w:tcBorders>
          </w:tcPr>
          <w:p w14:paraId="60C6C645" w14:textId="00A5A0E7" w:rsidR="00293D31" w:rsidRPr="003871B3" w:rsidRDefault="00293D31" w:rsidP="00293D31">
            <w:pPr>
              <w:widowControl w:val="0"/>
              <w:spacing w:before="120" w:after="120"/>
              <w:jc w:val="right"/>
              <w:rPr>
                <w:rFonts w:ascii="Arial" w:hAnsi="Arial" w:cs="Arial"/>
                <w:b/>
                <w:sz w:val="22"/>
                <w:szCs w:val="22"/>
              </w:rPr>
            </w:pPr>
            <w:r w:rsidRPr="003871B3">
              <w:rPr>
                <w:rFonts w:ascii="Arial" w:hAnsi="Arial" w:cs="Arial"/>
                <w:b/>
                <w:sz w:val="22"/>
                <w:szCs w:val="22"/>
              </w:rPr>
              <w:t>Celkem za fixní část plnění:</w:t>
            </w:r>
          </w:p>
        </w:tc>
        <w:tc>
          <w:tcPr>
            <w:tcW w:w="1418" w:type="dxa"/>
            <w:tcBorders>
              <w:bottom w:val="double" w:sz="4" w:space="0" w:color="auto"/>
            </w:tcBorders>
          </w:tcPr>
          <w:p w14:paraId="44B12D71" w14:textId="52C5437A" w:rsidR="00293D31" w:rsidRPr="003871B3" w:rsidRDefault="00241C58" w:rsidP="00293D31">
            <w:pPr>
              <w:widowControl w:val="0"/>
              <w:spacing w:before="120" w:after="120"/>
              <w:jc w:val="center"/>
              <w:rPr>
                <w:rFonts w:ascii="Arial" w:hAnsi="Arial" w:cs="Arial"/>
                <w:b/>
                <w:sz w:val="22"/>
                <w:szCs w:val="22"/>
              </w:rPr>
            </w:pPr>
            <w:r>
              <w:rPr>
                <w:rFonts w:ascii="Arial" w:hAnsi="Arial" w:cs="Arial"/>
                <w:b/>
                <w:sz w:val="22"/>
                <w:szCs w:val="22"/>
              </w:rPr>
              <w:t>1 887</w:t>
            </w:r>
          </w:p>
        </w:tc>
        <w:tc>
          <w:tcPr>
            <w:tcW w:w="1984" w:type="dxa"/>
            <w:tcBorders>
              <w:bottom w:val="double" w:sz="4" w:space="0" w:color="auto"/>
            </w:tcBorders>
          </w:tcPr>
          <w:p w14:paraId="5C2922DD" w14:textId="012925EA" w:rsidR="00293D31" w:rsidRPr="00293D31" w:rsidRDefault="00293D31" w:rsidP="00293D31">
            <w:pPr>
              <w:widowControl w:val="0"/>
              <w:spacing w:before="120" w:after="120"/>
              <w:jc w:val="right"/>
              <w:rPr>
                <w:rFonts w:ascii="Arial" w:hAnsi="Arial" w:cs="Arial"/>
                <w:b/>
                <w:sz w:val="22"/>
                <w:szCs w:val="22"/>
              </w:rPr>
            </w:pPr>
            <w:r w:rsidRPr="00293D31">
              <w:rPr>
                <w:rFonts w:ascii="Arial" w:hAnsi="Arial" w:cs="Arial"/>
                <w:b/>
                <w:sz w:val="22"/>
                <w:szCs w:val="22"/>
              </w:rPr>
              <w:t xml:space="preserve">28 232 000 </w:t>
            </w:r>
          </w:p>
        </w:tc>
        <w:tc>
          <w:tcPr>
            <w:tcW w:w="2268" w:type="dxa"/>
            <w:tcBorders>
              <w:bottom w:val="double" w:sz="4" w:space="0" w:color="auto"/>
            </w:tcBorders>
          </w:tcPr>
          <w:p w14:paraId="312B57D2" w14:textId="12FE2B81" w:rsidR="00293D31" w:rsidRPr="00293D31" w:rsidRDefault="00293D31" w:rsidP="00293D31">
            <w:pPr>
              <w:widowControl w:val="0"/>
              <w:spacing w:before="120" w:after="120"/>
              <w:jc w:val="right"/>
              <w:rPr>
                <w:rFonts w:ascii="Arial" w:hAnsi="Arial" w:cs="Arial"/>
                <w:b/>
                <w:sz w:val="22"/>
                <w:szCs w:val="22"/>
              </w:rPr>
            </w:pPr>
            <w:r w:rsidRPr="00293D31">
              <w:rPr>
                <w:rFonts w:ascii="Arial" w:hAnsi="Arial" w:cs="Arial"/>
                <w:b/>
                <w:sz w:val="22"/>
                <w:szCs w:val="22"/>
              </w:rPr>
              <w:t xml:space="preserve">34 160 720 </w:t>
            </w:r>
          </w:p>
        </w:tc>
      </w:tr>
      <w:tr w:rsidR="00293D31" w:rsidRPr="003871B3" w14:paraId="4F36A5A3" w14:textId="5F74B45B" w:rsidTr="003322E6">
        <w:trPr>
          <w:trHeight w:val="281"/>
        </w:trPr>
        <w:tc>
          <w:tcPr>
            <w:tcW w:w="9209" w:type="dxa"/>
            <w:gridSpan w:val="6"/>
            <w:tcBorders>
              <w:top w:val="double" w:sz="4" w:space="0" w:color="auto"/>
              <w:left w:val="nil"/>
              <w:right w:val="nil"/>
            </w:tcBorders>
          </w:tcPr>
          <w:p w14:paraId="0F4117B1" w14:textId="6EEB99B5" w:rsidR="00293D31" w:rsidRPr="003871B3" w:rsidRDefault="00293D31" w:rsidP="00293D31">
            <w:pPr>
              <w:widowControl w:val="0"/>
              <w:tabs>
                <w:tab w:val="left" w:pos="504"/>
              </w:tabs>
              <w:spacing w:before="120" w:after="120"/>
              <w:rPr>
                <w:rFonts w:ascii="Arial" w:hAnsi="Arial" w:cs="Arial"/>
                <w:sz w:val="22"/>
                <w:szCs w:val="22"/>
              </w:rPr>
            </w:pPr>
          </w:p>
        </w:tc>
      </w:tr>
      <w:tr w:rsidR="00293D31" w:rsidRPr="003871B3" w14:paraId="5441C2D6" w14:textId="1A51B8AE" w:rsidTr="001F40BD">
        <w:tc>
          <w:tcPr>
            <w:tcW w:w="1145" w:type="dxa"/>
            <w:tcBorders>
              <w:top w:val="double" w:sz="4" w:space="0" w:color="auto"/>
            </w:tcBorders>
          </w:tcPr>
          <w:p w14:paraId="7E7D2ADD" w14:textId="0E65264D" w:rsidR="00293D31" w:rsidRPr="003871B3" w:rsidRDefault="00293D31" w:rsidP="00293D31">
            <w:pPr>
              <w:widowControl w:val="0"/>
              <w:spacing w:before="120" w:after="120"/>
              <w:rPr>
                <w:rFonts w:ascii="Arial" w:hAnsi="Arial" w:cs="Arial"/>
                <w:sz w:val="22"/>
                <w:szCs w:val="22"/>
              </w:rPr>
            </w:pPr>
            <w:r w:rsidRPr="003871B3">
              <w:rPr>
                <w:rFonts w:ascii="Arial" w:hAnsi="Arial" w:cs="Arial"/>
                <w:sz w:val="22"/>
                <w:szCs w:val="22"/>
              </w:rPr>
              <w:t>5.6</w:t>
            </w:r>
          </w:p>
        </w:tc>
        <w:tc>
          <w:tcPr>
            <w:tcW w:w="2394" w:type="dxa"/>
            <w:gridSpan w:val="2"/>
            <w:tcBorders>
              <w:top w:val="double" w:sz="4" w:space="0" w:color="auto"/>
            </w:tcBorders>
          </w:tcPr>
          <w:p w14:paraId="22E25985" w14:textId="684027F0" w:rsidR="00293D31" w:rsidRPr="003871B3" w:rsidRDefault="00293D31" w:rsidP="00293D31">
            <w:pPr>
              <w:widowControl w:val="0"/>
              <w:spacing w:before="120" w:after="120"/>
              <w:rPr>
                <w:rFonts w:ascii="Arial" w:hAnsi="Arial" w:cs="Arial"/>
                <w:sz w:val="22"/>
                <w:szCs w:val="22"/>
              </w:rPr>
            </w:pPr>
            <w:r w:rsidRPr="003871B3">
              <w:rPr>
                <w:rFonts w:ascii="Arial" w:hAnsi="Arial" w:cs="Arial"/>
                <w:sz w:val="22"/>
                <w:szCs w:val="22"/>
              </w:rPr>
              <w:t>Další konzultační služby při migracích</w:t>
            </w:r>
          </w:p>
        </w:tc>
        <w:tc>
          <w:tcPr>
            <w:tcW w:w="1418" w:type="dxa"/>
            <w:tcBorders>
              <w:top w:val="double" w:sz="4" w:space="0" w:color="auto"/>
            </w:tcBorders>
          </w:tcPr>
          <w:p w14:paraId="60911942" w14:textId="74BA6F44" w:rsidR="00293D31" w:rsidRPr="003871B3" w:rsidRDefault="00241C58" w:rsidP="00293D31">
            <w:pPr>
              <w:widowControl w:val="0"/>
              <w:spacing w:before="120" w:after="120"/>
              <w:jc w:val="center"/>
              <w:rPr>
                <w:rFonts w:ascii="Arial" w:hAnsi="Arial" w:cs="Arial"/>
                <w:sz w:val="22"/>
                <w:szCs w:val="22"/>
              </w:rPr>
            </w:pPr>
            <w:r>
              <w:rPr>
                <w:rFonts w:ascii="Arial" w:hAnsi="Arial" w:cs="Arial"/>
                <w:sz w:val="22"/>
                <w:szCs w:val="22"/>
              </w:rPr>
              <w:t>377</w:t>
            </w:r>
          </w:p>
        </w:tc>
        <w:tc>
          <w:tcPr>
            <w:tcW w:w="1984" w:type="dxa"/>
            <w:tcBorders>
              <w:top w:val="double" w:sz="4" w:space="0" w:color="auto"/>
            </w:tcBorders>
          </w:tcPr>
          <w:p w14:paraId="3982DFEE" w14:textId="65953BC1" w:rsidR="00293D31" w:rsidRPr="003871B3" w:rsidRDefault="00293D31" w:rsidP="00293D31">
            <w:pPr>
              <w:widowControl w:val="0"/>
              <w:spacing w:before="120" w:after="120"/>
              <w:jc w:val="right"/>
              <w:rPr>
                <w:rFonts w:ascii="Arial" w:hAnsi="Arial" w:cs="Arial"/>
                <w:sz w:val="22"/>
                <w:szCs w:val="22"/>
              </w:rPr>
            </w:pPr>
            <w:r>
              <w:rPr>
                <w:rFonts w:ascii="Arial" w:hAnsi="Arial" w:cs="Arial"/>
                <w:sz w:val="22"/>
                <w:szCs w:val="22"/>
              </w:rPr>
              <w:t>5 645 </w:t>
            </w:r>
            <w:r w:rsidRPr="00293D31">
              <w:rPr>
                <w:rFonts w:ascii="Arial" w:hAnsi="Arial" w:cs="Arial"/>
                <w:sz w:val="22"/>
                <w:szCs w:val="22"/>
              </w:rPr>
              <w:t>000</w:t>
            </w:r>
            <w:r>
              <w:rPr>
                <w:rFonts w:ascii="Arial" w:hAnsi="Arial" w:cs="Arial"/>
                <w:sz w:val="22"/>
                <w:szCs w:val="22"/>
              </w:rPr>
              <w:t xml:space="preserve"> </w:t>
            </w:r>
          </w:p>
        </w:tc>
        <w:tc>
          <w:tcPr>
            <w:tcW w:w="2268" w:type="dxa"/>
            <w:tcBorders>
              <w:top w:val="double" w:sz="4" w:space="0" w:color="auto"/>
            </w:tcBorders>
          </w:tcPr>
          <w:p w14:paraId="6CD576F7" w14:textId="4E012FEA" w:rsidR="00293D31" w:rsidRPr="003871B3" w:rsidRDefault="00293D31" w:rsidP="00293D31">
            <w:pPr>
              <w:widowControl w:val="0"/>
              <w:spacing w:before="120" w:after="120"/>
              <w:jc w:val="right"/>
              <w:rPr>
                <w:rFonts w:ascii="Arial" w:hAnsi="Arial" w:cs="Arial"/>
                <w:sz w:val="22"/>
                <w:szCs w:val="22"/>
              </w:rPr>
            </w:pPr>
            <w:r>
              <w:rPr>
                <w:rFonts w:ascii="Arial" w:hAnsi="Arial" w:cs="Arial"/>
                <w:sz w:val="22"/>
                <w:szCs w:val="22"/>
              </w:rPr>
              <w:t xml:space="preserve">6 830 450 </w:t>
            </w:r>
          </w:p>
        </w:tc>
      </w:tr>
    </w:tbl>
    <w:p w14:paraId="1987BBE7" w14:textId="4C6E278C" w:rsidR="00D70592" w:rsidRPr="00C22A86" w:rsidRDefault="0034086B" w:rsidP="00C22A86">
      <w:pPr>
        <w:pStyle w:val="GSOdstavec"/>
        <w:rPr>
          <w:rFonts w:eastAsia="Times New Roman" w:cs="Arial"/>
          <w:color w:val="000000"/>
          <w:szCs w:val="22"/>
          <w:lang w:eastAsia="cs-CZ"/>
        </w:rPr>
      </w:pPr>
      <w:r w:rsidRPr="00C22A86">
        <w:rPr>
          <w:rFonts w:eastAsia="Times New Roman" w:cs="Arial"/>
          <w:color w:val="000000"/>
          <w:szCs w:val="22"/>
          <w:lang w:eastAsia="cs-CZ"/>
        </w:rPr>
        <w:t xml:space="preserve">Služby budou poskytovány průběžně tak, aby jednotlivé </w:t>
      </w:r>
      <w:r w:rsidR="007900F7" w:rsidRPr="00C22A86">
        <w:rPr>
          <w:rFonts w:eastAsia="Times New Roman" w:cs="Arial"/>
          <w:color w:val="000000"/>
          <w:szCs w:val="22"/>
          <w:lang w:eastAsia="cs-CZ"/>
        </w:rPr>
        <w:t>oblasti</w:t>
      </w:r>
      <w:r w:rsidRPr="00C22A86">
        <w:rPr>
          <w:rFonts w:eastAsia="Times New Roman" w:cs="Arial"/>
          <w:color w:val="000000"/>
          <w:szCs w:val="22"/>
          <w:lang w:eastAsia="cs-CZ"/>
        </w:rPr>
        <w:t xml:space="preserve"> byly dokončeny podle výše uvedeného harmonogramu za současného předpokladu splnění součinnosti uvedené v kapitole </w:t>
      </w:r>
      <w:r w:rsidR="005A4284" w:rsidRPr="00C22A86">
        <w:rPr>
          <w:rFonts w:eastAsia="Times New Roman" w:cs="Arial"/>
          <w:color w:val="000000"/>
          <w:szCs w:val="22"/>
          <w:lang w:eastAsia="cs-CZ"/>
        </w:rPr>
        <w:t>4</w:t>
      </w:r>
      <w:r w:rsidRPr="00C22A86">
        <w:rPr>
          <w:rFonts w:eastAsia="Times New Roman" w:cs="Arial"/>
          <w:color w:val="000000"/>
          <w:szCs w:val="22"/>
          <w:lang w:eastAsia="cs-CZ"/>
        </w:rPr>
        <w:t>.</w:t>
      </w:r>
      <w:r w:rsidR="006B36CE" w:rsidRPr="00C22A86">
        <w:rPr>
          <w:rFonts w:eastAsia="Times New Roman" w:cs="Arial"/>
          <w:color w:val="000000"/>
          <w:szCs w:val="22"/>
          <w:lang w:eastAsia="cs-CZ"/>
        </w:rPr>
        <w:t xml:space="preserve"> Cena za tato plnění bude hrazena podle platebních milníků uvedených v</w:t>
      </w:r>
      <w:r w:rsidR="00DB5135" w:rsidRPr="00C22A86">
        <w:rPr>
          <w:rFonts w:eastAsia="Times New Roman" w:cs="Arial"/>
          <w:color w:val="000000"/>
          <w:szCs w:val="22"/>
          <w:lang w:eastAsia="cs-CZ"/>
        </w:rPr>
        <w:t>ýše v </w:t>
      </w:r>
      <w:r w:rsidR="005A4284" w:rsidRPr="00C22A86">
        <w:rPr>
          <w:rFonts w:eastAsia="Times New Roman" w:cs="Arial"/>
          <w:color w:val="000000"/>
          <w:szCs w:val="22"/>
          <w:lang w:eastAsia="cs-CZ"/>
        </w:rPr>
        <w:t xml:space="preserve">kapitole </w:t>
      </w:r>
      <w:r w:rsidR="00DB5135" w:rsidRPr="00C22A86">
        <w:rPr>
          <w:rFonts w:eastAsia="Times New Roman" w:cs="Arial"/>
          <w:color w:val="000000"/>
          <w:szCs w:val="22"/>
          <w:lang w:eastAsia="cs-CZ"/>
        </w:rPr>
        <w:t>5</w:t>
      </w:r>
      <w:r w:rsidR="006B36CE" w:rsidRPr="00C22A86">
        <w:rPr>
          <w:rFonts w:eastAsia="Times New Roman" w:cs="Arial"/>
          <w:color w:val="000000"/>
          <w:szCs w:val="22"/>
          <w:lang w:eastAsia="cs-CZ"/>
        </w:rPr>
        <w:t xml:space="preserve"> na základě akceptačního protokolu.</w:t>
      </w:r>
    </w:p>
    <w:p w14:paraId="07405946" w14:textId="186D1B51" w:rsidR="0034086B" w:rsidRPr="00C22A86" w:rsidRDefault="0034086B" w:rsidP="00C22A86">
      <w:pPr>
        <w:pStyle w:val="GSOdstavec"/>
        <w:rPr>
          <w:rFonts w:eastAsia="Times New Roman" w:cs="Arial"/>
          <w:color w:val="000000"/>
          <w:szCs w:val="22"/>
          <w:lang w:eastAsia="cs-CZ"/>
        </w:rPr>
      </w:pPr>
      <w:r w:rsidRPr="00C22A86">
        <w:rPr>
          <w:rFonts w:eastAsia="Times New Roman" w:cs="Arial"/>
          <w:color w:val="000000"/>
          <w:szCs w:val="22"/>
          <w:lang w:eastAsia="cs-CZ"/>
        </w:rPr>
        <w:t xml:space="preserve">Plnění </w:t>
      </w:r>
      <w:r w:rsidR="007900F7" w:rsidRPr="00C22A86">
        <w:rPr>
          <w:rFonts w:eastAsia="Times New Roman" w:cs="Arial"/>
          <w:color w:val="000000"/>
          <w:szCs w:val="22"/>
          <w:lang w:eastAsia="cs-CZ"/>
        </w:rPr>
        <w:t xml:space="preserve">oblasti </w:t>
      </w:r>
      <w:r w:rsidR="00092317" w:rsidRPr="00C22A86">
        <w:rPr>
          <w:rFonts w:eastAsia="Times New Roman" w:cs="Arial"/>
          <w:color w:val="000000"/>
          <w:szCs w:val="22"/>
          <w:lang w:eastAsia="cs-CZ"/>
        </w:rPr>
        <w:t>5.</w:t>
      </w:r>
      <w:r w:rsidR="007900F7" w:rsidRPr="00C22A86">
        <w:rPr>
          <w:rFonts w:eastAsia="Times New Roman" w:cs="Arial"/>
          <w:color w:val="000000"/>
          <w:szCs w:val="22"/>
          <w:lang w:eastAsia="cs-CZ"/>
        </w:rPr>
        <w:t>6</w:t>
      </w:r>
      <w:r w:rsidRPr="00C22A86">
        <w:rPr>
          <w:rFonts w:eastAsia="Times New Roman" w:cs="Arial"/>
          <w:color w:val="000000"/>
          <w:szCs w:val="22"/>
          <w:lang w:eastAsia="cs-CZ"/>
        </w:rPr>
        <w:t xml:space="preserve"> </w:t>
      </w:r>
      <w:r w:rsidR="00E449FB" w:rsidRPr="00C22A86">
        <w:rPr>
          <w:rFonts w:eastAsia="Times New Roman" w:cs="Arial"/>
          <w:color w:val="000000"/>
          <w:szCs w:val="22"/>
          <w:lang w:eastAsia="cs-CZ"/>
        </w:rPr>
        <w:t xml:space="preserve">popsané v článku 2.6 </w:t>
      </w:r>
      <w:r w:rsidR="00326B6D">
        <w:rPr>
          <w:rFonts w:eastAsia="Times New Roman" w:cs="Arial"/>
          <w:color w:val="000000"/>
          <w:szCs w:val="22"/>
          <w:lang w:eastAsia="cs-CZ"/>
        </w:rPr>
        <w:t xml:space="preserve">v </w:t>
      </w:r>
      <w:r w:rsidR="00326B6D" w:rsidRPr="00C22A86">
        <w:rPr>
          <w:rFonts w:eastAsia="Times New Roman" w:cs="Arial"/>
          <w:color w:val="000000"/>
          <w:szCs w:val="22"/>
          <w:lang w:eastAsia="cs-CZ"/>
        </w:rPr>
        <w:t>Příloze č. 1 k Obchodní Smlouvě č. 09/2017</w:t>
      </w:r>
      <w:r w:rsidR="00326B6D">
        <w:rPr>
          <w:rFonts w:eastAsia="Times New Roman" w:cs="Arial"/>
          <w:color w:val="000000"/>
          <w:szCs w:val="22"/>
          <w:lang w:eastAsia="cs-CZ"/>
        </w:rPr>
        <w:t xml:space="preserve"> </w:t>
      </w:r>
      <w:r w:rsidRPr="00C22A86">
        <w:rPr>
          <w:rFonts w:eastAsia="Times New Roman" w:cs="Arial"/>
          <w:color w:val="000000"/>
          <w:szCs w:val="22"/>
          <w:lang w:eastAsia="cs-CZ"/>
        </w:rPr>
        <w:t xml:space="preserve">je poskytováno průběžně </w:t>
      </w:r>
      <w:r w:rsidR="007900F7" w:rsidRPr="00C22A86">
        <w:rPr>
          <w:rFonts w:eastAsia="Times New Roman" w:cs="Arial"/>
          <w:color w:val="000000"/>
          <w:szCs w:val="22"/>
          <w:lang w:eastAsia="cs-CZ"/>
        </w:rPr>
        <w:t>na základ</w:t>
      </w:r>
      <w:r w:rsidR="00DB6F69" w:rsidRPr="00C22A86">
        <w:rPr>
          <w:rFonts w:eastAsia="Times New Roman" w:cs="Arial"/>
          <w:color w:val="000000"/>
          <w:szCs w:val="22"/>
          <w:lang w:eastAsia="cs-CZ"/>
        </w:rPr>
        <w:t xml:space="preserve">ě rozhodnutí MPSV podle článku </w:t>
      </w:r>
      <w:r w:rsidR="00E449FB" w:rsidRPr="00C22A86">
        <w:rPr>
          <w:rFonts w:eastAsia="Times New Roman" w:cs="Arial"/>
          <w:color w:val="000000"/>
          <w:szCs w:val="22"/>
          <w:lang w:eastAsia="cs-CZ"/>
        </w:rPr>
        <w:t>3.3 hlavní části smlouvy</w:t>
      </w:r>
      <w:r w:rsidR="007900F7" w:rsidRPr="00C22A86">
        <w:rPr>
          <w:rFonts w:eastAsia="Times New Roman" w:cs="Arial"/>
          <w:color w:val="000000"/>
          <w:szCs w:val="22"/>
          <w:lang w:eastAsia="cs-CZ"/>
        </w:rPr>
        <w:t xml:space="preserve"> </w:t>
      </w:r>
      <w:r w:rsidRPr="00C22A86">
        <w:rPr>
          <w:rFonts w:eastAsia="Times New Roman" w:cs="Arial"/>
          <w:color w:val="000000"/>
          <w:szCs w:val="22"/>
          <w:lang w:eastAsia="cs-CZ"/>
        </w:rPr>
        <w:t>po celou dobu platnosti a účinnosti smlouvy. Cena z</w:t>
      </w:r>
      <w:r w:rsidR="006B36CE" w:rsidRPr="00C22A86">
        <w:rPr>
          <w:rFonts w:eastAsia="Times New Roman" w:cs="Arial"/>
          <w:color w:val="000000"/>
          <w:szCs w:val="22"/>
          <w:lang w:eastAsia="cs-CZ"/>
        </w:rPr>
        <w:t xml:space="preserve">a toto plnění bude hrazena </w:t>
      </w:r>
      <w:r w:rsidRPr="00C22A86">
        <w:rPr>
          <w:rFonts w:eastAsia="Times New Roman" w:cs="Arial"/>
          <w:color w:val="000000"/>
          <w:szCs w:val="22"/>
          <w:lang w:eastAsia="cs-CZ"/>
        </w:rPr>
        <w:t>v měsíčních splátkách, a to ve výši dle skutečně provedených prací doložených akceptačním protokolem ve shodě s hlavní části smlouvy.</w:t>
      </w:r>
    </w:p>
    <w:p w14:paraId="4AAD896D" w14:textId="5D3825D2" w:rsidR="00D51101" w:rsidRPr="003871B3" w:rsidRDefault="00D51101" w:rsidP="00D51101">
      <w:pPr>
        <w:pStyle w:val="GSNadpis2"/>
      </w:pPr>
      <w:bookmarkStart w:id="70" w:name="_Toc522884721"/>
      <w:r w:rsidRPr="003871B3">
        <w:t>Personální obsazení</w:t>
      </w:r>
      <w:bookmarkEnd w:id="70"/>
    </w:p>
    <w:p w14:paraId="7B100F43" w14:textId="77777777" w:rsidR="00FB5D1E" w:rsidRPr="00C22A86" w:rsidRDefault="00FB5D1E" w:rsidP="00C22A86">
      <w:pPr>
        <w:pStyle w:val="GSOdstavec"/>
        <w:rPr>
          <w:rFonts w:eastAsia="Times New Roman" w:cs="Arial"/>
          <w:color w:val="000000"/>
          <w:szCs w:val="22"/>
          <w:lang w:eastAsia="cs-CZ"/>
        </w:rPr>
      </w:pPr>
      <w:r w:rsidRPr="00C22A86">
        <w:rPr>
          <w:rFonts w:eastAsia="Times New Roman" w:cs="Arial"/>
          <w:color w:val="000000"/>
          <w:szCs w:val="22"/>
          <w:lang w:eastAsia="cs-CZ"/>
        </w:rPr>
        <w:t>Viz Příloha č.1 k Obchodní Smlouvě č. 09/2017.</w:t>
      </w:r>
    </w:p>
    <w:p w14:paraId="0A8EFC84" w14:textId="1D2408C8" w:rsidR="001F40BD" w:rsidRPr="003871B3" w:rsidRDefault="00697A21" w:rsidP="00A160F4">
      <w:pPr>
        <w:pStyle w:val="GSOdstavec"/>
        <w:spacing w:before="60" w:after="120"/>
        <w:jc w:val="center"/>
        <w:rPr>
          <w:rFonts w:cs="Arial"/>
          <w:szCs w:val="22"/>
        </w:rPr>
      </w:pPr>
      <w:r w:rsidRPr="003871B3">
        <w:rPr>
          <w:rFonts w:cs="Arial"/>
          <w:szCs w:val="22"/>
        </w:rPr>
        <w:t>*   *   *   *   *</w:t>
      </w:r>
      <w:r w:rsidR="00196165">
        <w:rPr>
          <w:rFonts w:cs="Arial"/>
          <w:szCs w:val="22"/>
        </w:rPr>
        <w:t xml:space="preserve">   *</w:t>
      </w:r>
    </w:p>
    <w:sectPr w:rsidR="001F40BD" w:rsidRPr="003871B3" w:rsidSect="003A4FC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10"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9AEE5" w14:textId="77777777" w:rsidR="002F7FB6" w:rsidRDefault="002F7FB6" w:rsidP="00A0188F">
      <w:pPr>
        <w:spacing w:line="240" w:lineRule="auto"/>
      </w:pPr>
      <w:r>
        <w:separator/>
      </w:r>
    </w:p>
  </w:endnote>
  <w:endnote w:type="continuationSeparator" w:id="0">
    <w:p w14:paraId="46057EEB" w14:textId="77777777" w:rsidR="002F7FB6" w:rsidRDefault="002F7FB6" w:rsidP="00A0188F">
      <w:pPr>
        <w:spacing w:line="240" w:lineRule="auto"/>
      </w:pPr>
      <w:r>
        <w:continuationSeparator/>
      </w:r>
    </w:p>
  </w:endnote>
  <w:endnote w:type="continuationNotice" w:id="1">
    <w:p w14:paraId="287E0342" w14:textId="77777777" w:rsidR="002F7FB6" w:rsidRDefault="002F7F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P Simplified">
    <w:altName w:val="Arial"/>
    <w:panose1 w:val="020B0604020204020204"/>
    <w:charset w:val="EE"/>
    <w:family w:val="swiss"/>
    <w:pitch w:val="variable"/>
    <w:sig w:usb0="A00000AF" w:usb1="5000205B" w:usb2="00000000" w:usb3="00000000" w:csb0="00000093" w:csb1="00000000"/>
  </w:font>
  <w:font w:name="AR PL SungtiL GB">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BB1B0" w14:textId="77777777" w:rsidR="005621AA" w:rsidRDefault="00562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4FB5" w14:textId="4C088D43" w:rsidR="007818A4" w:rsidRPr="00E67D00" w:rsidRDefault="007818A4" w:rsidP="00F1287D">
    <w:pPr>
      <w:pStyle w:val="Footer"/>
      <w:rPr>
        <w:rFonts w:ascii="Arial" w:hAnsi="Arial" w:cs="Arial"/>
        <w:bCs/>
        <w:color w:val="808080" w:themeColor="background1" w:themeShade="80"/>
        <w:sz w:val="20"/>
        <w:szCs w:val="20"/>
        <w:lang w:val="en-US"/>
      </w:rPr>
    </w:pPr>
    <w:r w:rsidRPr="00E67D00">
      <w:rPr>
        <w:rFonts w:ascii="Arial" w:hAnsi="Arial" w:cs="Arial"/>
        <w:color w:val="808080" w:themeColor="background1" w:themeShade="80"/>
        <w:sz w:val="20"/>
        <w:szCs w:val="20"/>
        <w:lang w:val="en-US"/>
      </w:rPr>
      <w:t>confidential</w:t>
    </w:r>
    <w:r w:rsidRPr="00E67D00">
      <w:rPr>
        <w:rFonts w:ascii="Arial" w:hAnsi="Arial" w:cs="Arial"/>
        <w:color w:val="808080" w:themeColor="background1" w:themeShade="80"/>
        <w:sz w:val="20"/>
        <w:szCs w:val="20"/>
        <w:lang w:val="en-US"/>
      </w:rPr>
      <w:ptab w:relativeTo="margin" w:alignment="center" w:leader="none"/>
    </w:r>
    <w:r w:rsidRPr="00E67D00">
      <w:rPr>
        <w:rFonts w:ascii="Arial" w:hAnsi="Arial" w:cs="Arial"/>
        <w:color w:val="808080" w:themeColor="background1" w:themeShade="80"/>
        <w:sz w:val="20"/>
        <w:szCs w:val="20"/>
        <w:lang w:val="en-US"/>
      </w:rPr>
      <w:ptab w:relativeTo="margin" w:alignment="right" w:leader="none"/>
    </w:r>
    <w:r w:rsidRPr="00E67D00">
      <w:rPr>
        <w:rFonts w:ascii="Arial" w:hAnsi="Arial" w:cs="Arial"/>
        <w:color w:val="808080" w:themeColor="background1" w:themeShade="80"/>
        <w:sz w:val="20"/>
        <w:szCs w:val="20"/>
        <w:lang w:val="en-US"/>
      </w:rPr>
      <w:t xml:space="preserve">Strana </w:t>
    </w:r>
    <w:r w:rsidRPr="00E67D00">
      <w:rPr>
        <w:rFonts w:ascii="Arial" w:hAnsi="Arial" w:cs="Arial"/>
        <w:bCs/>
        <w:color w:val="808080" w:themeColor="background1" w:themeShade="80"/>
        <w:sz w:val="20"/>
        <w:szCs w:val="20"/>
        <w:lang w:val="en-US"/>
      </w:rPr>
      <w:fldChar w:fldCharType="begin"/>
    </w:r>
    <w:r w:rsidRPr="00E67D00">
      <w:rPr>
        <w:rFonts w:ascii="Arial" w:hAnsi="Arial" w:cs="Arial"/>
        <w:bCs/>
        <w:color w:val="808080" w:themeColor="background1" w:themeShade="80"/>
        <w:sz w:val="20"/>
        <w:szCs w:val="20"/>
        <w:lang w:val="en-US"/>
      </w:rPr>
      <w:instrText xml:space="preserve"> PAGE  \* Arabic  \* MERGEFORMAT </w:instrText>
    </w:r>
    <w:r w:rsidRPr="00E67D00">
      <w:rPr>
        <w:rFonts w:ascii="Arial" w:hAnsi="Arial" w:cs="Arial"/>
        <w:bCs/>
        <w:color w:val="808080" w:themeColor="background1" w:themeShade="80"/>
        <w:sz w:val="20"/>
        <w:szCs w:val="20"/>
        <w:lang w:val="en-US"/>
      </w:rPr>
      <w:fldChar w:fldCharType="separate"/>
    </w:r>
    <w:r w:rsidR="002F7FB6">
      <w:rPr>
        <w:rFonts w:ascii="Arial" w:hAnsi="Arial" w:cs="Arial"/>
        <w:bCs/>
        <w:noProof/>
        <w:color w:val="808080" w:themeColor="background1" w:themeShade="80"/>
        <w:sz w:val="20"/>
        <w:szCs w:val="20"/>
        <w:lang w:val="en-US"/>
      </w:rPr>
      <w:t>1</w:t>
    </w:r>
    <w:r w:rsidRPr="00E67D00">
      <w:rPr>
        <w:rFonts w:ascii="Arial" w:hAnsi="Arial" w:cs="Arial"/>
        <w:bCs/>
        <w:color w:val="808080" w:themeColor="background1" w:themeShade="80"/>
        <w:sz w:val="20"/>
        <w:szCs w:val="20"/>
        <w:lang w:val="en-US"/>
      </w:rPr>
      <w:fldChar w:fldCharType="end"/>
    </w:r>
    <w:r w:rsidRPr="00E67D00">
      <w:rPr>
        <w:rFonts w:ascii="Arial" w:hAnsi="Arial" w:cs="Arial"/>
        <w:color w:val="808080" w:themeColor="background1" w:themeShade="80"/>
        <w:sz w:val="20"/>
        <w:szCs w:val="20"/>
        <w:lang w:val="en-US"/>
      </w:rPr>
      <w:t xml:space="preserve"> z </w:t>
    </w:r>
    <w:r w:rsidRPr="00E67D00">
      <w:rPr>
        <w:rFonts w:ascii="Arial" w:hAnsi="Arial" w:cs="Arial"/>
        <w:bCs/>
        <w:color w:val="808080" w:themeColor="background1" w:themeShade="80"/>
        <w:sz w:val="20"/>
        <w:szCs w:val="20"/>
        <w:lang w:val="en-US"/>
      </w:rPr>
      <w:fldChar w:fldCharType="begin"/>
    </w:r>
    <w:r w:rsidRPr="00E67D00">
      <w:rPr>
        <w:rFonts w:ascii="Arial" w:hAnsi="Arial" w:cs="Arial"/>
        <w:bCs/>
        <w:color w:val="808080" w:themeColor="background1" w:themeShade="80"/>
        <w:sz w:val="20"/>
        <w:szCs w:val="20"/>
        <w:lang w:val="en-US"/>
      </w:rPr>
      <w:instrText xml:space="preserve"> NUMPAGES  \* Arabic  \* MERGEFORMAT </w:instrText>
    </w:r>
    <w:r w:rsidRPr="00E67D00">
      <w:rPr>
        <w:rFonts w:ascii="Arial" w:hAnsi="Arial" w:cs="Arial"/>
        <w:bCs/>
        <w:color w:val="808080" w:themeColor="background1" w:themeShade="80"/>
        <w:sz w:val="20"/>
        <w:szCs w:val="20"/>
        <w:lang w:val="en-US"/>
      </w:rPr>
      <w:fldChar w:fldCharType="separate"/>
    </w:r>
    <w:r w:rsidR="002F7FB6">
      <w:rPr>
        <w:rFonts w:ascii="Arial" w:hAnsi="Arial" w:cs="Arial"/>
        <w:bCs/>
        <w:noProof/>
        <w:color w:val="808080" w:themeColor="background1" w:themeShade="80"/>
        <w:sz w:val="20"/>
        <w:szCs w:val="20"/>
        <w:lang w:val="en-US"/>
      </w:rPr>
      <w:t>1</w:t>
    </w:r>
    <w:r w:rsidRPr="00E67D00">
      <w:rPr>
        <w:rFonts w:ascii="Arial" w:hAnsi="Arial" w:cs="Arial"/>
        <w:bCs/>
        <w:color w:val="808080" w:themeColor="background1" w:themeShade="80"/>
        <w:sz w:val="20"/>
        <w:szCs w:val="20"/>
        <w:lang w:val="en-US"/>
      </w:rPr>
      <w:fldChar w:fldCharType="end"/>
    </w:r>
  </w:p>
  <w:p w14:paraId="1D5DACBF" w14:textId="77777777" w:rsidR="007818A4" w:rsidRPr="00E67D00" w:rsidRDefault="007818A4" w:rsidP="00F1287D">
    <w:pPr>
      <w:pStyle w:val="Footer"/>
      <w:rPr>
        <w:rFonts w:ascii="Arial" w:hAnsi="Arial" w:cs="Arial"/>
        <w:bCs/>
        <w:color w:val="808080" w:themeColor="background1" w:themeShade="80"/>
        <w:sz w:val="20"/>
        <w:szCs w:val="20"/>
        <w:lang w:val="en-US"/>
      </w:rPr>
    </w:pPr>
  </w:p>
  <w:p w14:paraId="2DB8D4A2" w14:textId="77777777" w:rsidR="007818A4" w:rsidRPr="00E67D00" w:rsidRDefault="007818A4" w:rsidP="00F1287D">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C99A" w14:textId="77777777" w:rsidR="005621AA" w:rsidRDefault="00562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6A9B9" w14:textId="77777777" w:rsidR="002F7FB6" w:rsidRDefault="002F7FB6" w:rsidP="00A0188F">
      <w:pPr>
        <w:spacing w:line="240" w:lineRule="auto"/>
      </w:pPr>
      <w:r>
        <w:separator/>
      </w:r>
    </w:p>
  </w:footnote>
  <w:footnote w:type="continuationSeparator" w:id="0">
    <w:p w14:paraId="72482C33" w14:textId="77777777" w:rsidR="002F7FB6" w:rsidRDefault="002F7FB6" w:rsidP="00A0188F">
      <w:pPr>
        <w:spacing w:line="240" w:lineRule="auto"/>
      </w:pPr>
      <w:r>
        <w:continuationSeparator/>
      </w:r>
    </w:p>
  </w:footnote>
  <w:footnote w:type="continuationNotice" w:id="1">
    <w:p w14:paraId="58244352" w14:textId="77777777" w:rsidR="002F7FB6" w:rsidRDefault="002F7FB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E3999" w14:textId="77777777" w:rsidR="005621AA" w:rsidRDefault="00562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EB25B" w14:textId="15231416" w:rsidR="007818A4" w:rsidRPr="00E67D00" w:rsidRDefault="007818A4" w:rsidP="00E67D00">
    <w:pPr>
      <w:pStyle w:val="Header"/>
      <w:rPr>
        <w:rFonts w:ascii="Arial" w:hAnsi="Arial" w:cs="Arial"/>
        <w:sz w:val="20"/>
        <w:szCs w:val="20"/>
      </w:rPr>
    </w:pPr>
    <w:r w:rsidRPr="00E67D00">
      <w:rPr>
        <w:rFonts w:ascii="Arial" w:hAnsi="Arial" w:cs="Arial"/>
        <w:sz w:val="20"/>
        <w:szCs w:val="20"/>
      </w:rPr>
      <w:t xml:space="preserve">Příloha č.1 </w:t>
    </w:r>
    <w:r>
      <w:rPr>
        <w:rFonts w:ascii="Arial" w:hAnsi="Arial" w:cs="Arial"/>
        <w:sz w:val="20"/>
        <w:szCs w:val="20"/>
      </w:rPr>
      <w:t xml:space="preserve">Dodatku č. 1 k </w:t>
    </w:r>
    <w:r w:rsidRPr="00E67D00">
      <w:rPr>
        <w:rFonts w:ascii="Arial" w:hAnsi="Arial" w:cs="Arial"/>
        <w:sz w:val="20"/>
        <w:szCs w:val="20"/>
      </w:rPr>
      <w:t>Obchodní Smlouv</w:t>
    </w:r>
    <w:r>
      <w:rPr>
        <w:rFonts w:ascii="Arial" w:hAnsi="Arial" w:cs="Arial"/>
        <w:sz w:val="20"/>
        <w:szCs w:val="20"/>
      </w:rPr>
      <w:t>ě</w:t>
    </w:r>
    <w:r w:rsidRPr="00E67D00">
      <w:rPr>
        <w:rFonts w:ascii="Arial" w:hAnsi="Arial" w:cs="Arial"/>
        <w:sz w:val="20"/>
        <w:szCs w:val="20"/>
      </w:rPr>
      <w:t xml:space="preserve"> č. 09/2017</w:t>
    </w:r>
  </w:p>
  <w:p w14:paraId="799D07E0" w14:textId="77777777" w:rsidR="007818A4" w:rsidRDefault="007818A4" w:rsidP="00E67D00">
    <w:pPr>
      <w:pStyle w:val="Header"/>
      <w:rPr>
        <w:rFonts w:ascii="Arial" w:hAnsi="Arial" w:cs="Arial"/>
        <w:sz w:val="20"/>
        <w:szCs w:val="20"/>
      </w:rPr>
    </w:pPr>
    <w:r w:rsidRPr="00E67D00">
      <w:rPr>
        <w:rFonts w:ascii="Arial" w:hAnsi="Arial" w:cs="Arial"/>
        <w:sz w:val="20"/>
        <w:szCs w:val="20"/>
      </w:rPr>
      <w:t>„Specifikace plnění: Aktivity v oblasti rozvoje a aktualizace MIS“</w:t>
    </w:r>
  </w:p>
  <w:p w14:paraId="18440CC5" w14:textId="77777777" w:rsidR="007818A4" w:rsidRDefault="007818A4" w:rsidP="00E67D00">
    <w:pPr>
      <w:pStyle w:val="Header"/>
      <w:rPr>
        <w:rFonts w:ascii="Arial" w:hAnsi="Arial" w:cs="Arial"/>
        <w:sz w:val="20"/>
        <w:szCs w:val="20"/>
      </w:rPr>
    </w:pPr>
  </w:p>
  <w:p w14:paraId="05AAA6BB" w14:textId="77777777" w:rsidR="007818A4" w:rsidRPr="00E67D00" w:rsidRDefault="007818A4" w:rsidP="00E67D00">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7234" w14:textId="77777777" w:rsidR="005621AA" w:rsidRDefault="00562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224"/>
    <w:multiLevelType w:val="hybridMultilevel"/>
    <w:tmpl w:val="2B8E2C70"/>
    <w:lvl w:ilvl="0" w:tplc="16983132">
      <w:numFmt w:val="bullet"/>
      <w:lvlText w:val="-"/>
      <w:lvlJc w:val="left"/>
      <w:pPr>
        <w:ind w:left="722" w:hanging="360"/>
      </w:pPr>
      <w:rPr>
        <w:rFonts w:ascii="Segoe UI" w:eastAsia="MS Mincho" w:hAnsi="Segoe UI" w:cs="Segoe UI"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 w15:restartNumberingAfterBreak="0">
    <w:nsid w:val="08BE021F"/>
    <w:multiLevelType w:val="hybridMultilevel"/>
    <w:tmpl w:val="A2647F54"/>
    <w:lvl w:ilvl="0" w:tplc="0C5C71FE">
      <w:numFmt w:val="bullet"/>
      <w:lvlText w:val="-"/>
      <w:lvlJc w:val="left"/>
      <w:pPr>
        <w:ind w:left="717" w:hanging="360"/>
      </w:pPr>
      <w:rPr>
        <w:rFonts w:ascii="Calibri" w:eastAsiaTheme="minorEastAsia"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1D972C5"/>
    <w:multiLevelType w:val="hybridMultilevel"/>
    <w:tmpl w:val="9E14D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362488"/>
    <w:multiLevelType w:val="hybridMultilevel"/>
    <w:tmpl w:val="39BE9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683CF0"/>
    <w:multiLevelType w:val="hybridMultilevel"/>
    <w:tmpl w:val="3B5239CE"/>
    <w:lvl w:ilvl="0" w:tplc="B82E3B8E">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B86DFD"/>
    <w:multiLevelType w:val="hybridMultilevel"/>
    <w:tmpl w:val="C1EE43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F6C07"/>
    <w:multiLevelType w:val="multilevel"/>
    <w:tmpl w:val="9A262F98"/>
    <w:lvl w:ilvl="0">
      <w:start w:val="1"/>
      <w:numFmt w:val="decimal"/>
      <w:pStyle w:val="GSNadpis1"/>
      <w:lvlText w:val="%1"/>
      <w:lvlJc w:val="left"/>
      <w:pPr>
        <w:tabs>
          <w:tab w:val="num" w:pos="510"/>
        </w:tabs>
        <w:ind w:left="0" w:firstLine="0"/>
      </w:pPr>
      <w:rPr>
        <w:rFonts w:ascii="Segoe UI" w:hAnsi="Segoe UI" w:hint="default"/>
        <w:color w:val="262626" w:themeColor="text1" w:themeTint="D9"/>
      </w:rPr>
    </w:lvl>
    <w:lvl w:ilvl="1">
      <w:start w:val="1"/>
      <w:numFmt w:val="decimal"/>
      <w:pStyle w:val="GSNadpis2"/>
      <w:lvlText w:val="%1.%2"/>
      <w:lvlJc w:val="left"/>
      <w:pPr>
        <w:tabs>
          <w:tab w:val="num" w:pos="737"/>
        </w:tabs>
        <w:ind w:left="0" w:firstLine="0"/>
      </w:pPr>
      <w:rPr>
        <w:rFonts w:ascii="Segoe UI" w:hAnsi="Segoe UI" w:hint="default"/>
        <w:color w:val="262626" w:themeColor="text1" w:themeTint="D9"/>
      </w:rPr>
    </w:lvl>
    <w:lvl w:ilvl="2">
      <w:start w:val="1"/>
      <w:numFmt w:val="decimal"/>
      <w:pStyle w:val="GSNadpis3"/>
      <w:lvlText w:val="%1.%2.%3"/>
      <w:lvlJc w:val="left"/>
      <w:pPr>
        <w:tabs>
          <w:tab w:val="num" w:pos="907"/>
        </w:tabs>
        <w:ind w:left="0" w:firstLine="0"/>
      </w:pPr>
      <w:rPr>
        <w:rFonts w:ascii="Segoe UI" w:hAnsi="Segoe UI" w:hint="default"/>
        <w:color w:val="262626" w:themeColor="text1" w:themeTint="D9"/>
      </w:rPr>
    </w:lvl>
    <w:lvl w:ilvl="3">
      <w:start w:val="1"/>
      <w:numFmt w:val="decimal"/>
      <w:pStyle w:val="GSNadpis4"/>
      <w:lvlText w:val="%1.%2.%3.%4"/>
      <w:lvlJc w:val="left"/>
      <w:pPr>
        <w:tabs>
          <w:tab w:val="num" w:pos="1077"/>
        </w:tabs>
        <w:ind w:left="0" w:firstLine="0"/>
      </w:pPr>
      <w:rPr>
        <w:rFonts w:ascii="Segoe UI" w:hAnsi="Segoe UI" w:hint="default"/>
        <w:color w:val="262626" w:themeColor="text1" w:themeTint="D9"/>
      </w:rPr>
    </w:lvl>
    <w:lvl w:ilvl="4">
      <w:start w:val="1"/>
      <w:numFmt w:val="decimal"/>
      <w:pStyle w:val="GSNadpis5"/>
      <w:lvlText w:val="%1.%2.%3.%4.%5"/>
      <w:lvlJc w:val="left"/>
      <w:pPr>
        <w:tabs>
          <w:tab w:val="num" w:pos="1247"/>
        </w:tabs>
        <w:ind w:left="0" w:firstLine="0"/>
      </w:pPr>
      <w:rPr>
        <w:rFonts w:ascii="Segoe UI" w:hAnsi="Segoe UI" w:hint="default"/>
        <w:color w:val="262626" w:themeColor="text1" w:themeTint="D9"/>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671FA9"/>
    <w:multiLevelType w:val="hybridMultilevel"/>
    <w:tmpl w:val="CFE297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4E786B"/>
    <w:multiLevelType w:val="hybridMultilevel"/>
    <w:tmpl w:val="599ACE2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46A2769"/>
    <w:multiLevelType w:val="hybridMultilevel"/>
    <w:tmpl w:val="8E7A8116"/>
    <w:lvl w:ilvl="0" w:tplc="D0F87AD6">
      <w:start w:val="1"/>
      <w:numFmt w:val="bullet"/>
      <w:pStyle w:val="GSPromo-Seznamslueb"/>
      <w:lvlText w:val=""/>
      <w:lvlJc w:val="left"/>
      <w:pPr>
        <w:ind w:left="360" w:hanging="360"/>
      </w:pPr>
      <w:rPr>
        <w:rFonts w:ascii="Symbol" w:hAnsi="Symbol" w:hint="default"/>
        <w:color w:val="EE1D23"/>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15:restartNumberingAfterBreak="0">
    <w:nsid w:val="29305E9E"/>
    <w:multiLevelType w:val="hybridMultilevel"/>
    <w:tmpl w:val="2368A78A"/>
    <w:lvl w:ilvl="0" w:tplc="0405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411CF"/>
    <w:multiLevelType w:val="hybridMultilevel"/>
    <w:tmpl w:val="BC86DC4C"/>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2" w15:restartNumberingAfterBreak="0">
    <w:nsid w:val="2E6B6971"/>
    <w:multiLevelType w:val="hybridMultilevel"/>
    <w:tmpl w:val="A240F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8B29DD"/>
    <w:multiLevelType w:val="hybridMultilevel"/>
    <w:tmpl w:val="B18CFF20"/>
    <w:lvl w:ilvl="0" w:tplc="11C077D8">
      <w:start w:val="1"/>
      <w:numFmt w:val="bullet"/>
      <w:pStyle w:val="Odrky1stlevel"/>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547309C"/>
    <w:multiLevelType w:val="hybridMultilevel"/>
    <w:tmpl w:val="33B27A0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5" w15:restartNumberingAfterBreak="0">
    <w:nsid w:val="393B4578"/>
    <w:multiLevelType w:val="hybridMultilevel"/>
    <w:tmpl w:val="D99CE712"/>
    <w:lvl w:ilvl="0" w:tplc="3D50ABC2">
      <w:start w:val="1"/>
      <w:numFmt w:val="decimal"/>
      <w:pStyle w:val="GSslovanseznam"/>
      <w:lvlText w:val="%1."/>
      <w:lvlJc w:val="left"/>
      <w:pPr>
        <w:ind w:left="717" w:hanging="360"/>
      </w:pPr>
      <w:rPr>
        <w:rFonts w:ascii="Segoe UI" w:hAnsi="Segoe UI" w:hint="default"/>
        <w:b/>
        <w:i w:val="0"/>
        <w:color w:val="262626" w:themeColor="text1" w:themeTint="D9"/>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0A37E4"/>
    <w:multiLevelType w:val="hybridMultilevel"/>
    <w:tmpl w:val="AF4A59CE"/>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7" w15:restartNumberingAfterBreak="0">
    <w:nsid w:val="4D742A72"/>
    <w:multiLevelType w:val="multilevel"/>
    <w:tmpl w:val="5D82A5F4"/>
    <w:lvl w:ilvl="0">
      <w:start w:val="1"/>
      <w:numFmt w:val="decimal"/>
      <w:lvlText w:val="%1"/>
      <w:lvlJc w:val="left"/>
      <w:pPr>
        <w:ind w:left="567" w:hanging="567"/>
      </w:pPr>
      <w:rPr>
        <w:rFonts w:ascii="Segoe UI" w:hAnsi="Segoe UI" w:hint="default"/>
        <w:color w:val="EE1D23"/>
      </w:rPr>
    </w:lvl>
    <w:lvl w:ilvl="1">
      <w:start w:val="1"/>
      <w:numFmt w:val="decimal"/>
      <w:lvlText w:val="%1.%2"/>
      <w:lvlJc w:val="left"/>
      <w:pPr>
        <w:ind w:left="576" w:hanging="576"/>
      </w:pPr>
      <w:rPr>
        <w:rFonts w:ascii="Segoe UI" w:hAnsi="Segoe UI" w:hint="default"/>
        <w:color w:val="EE1D23"/>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FC462D7"/>
    <w:multiLevelType w:val="hybridMultilevel"/>
    <w:tmpl w:val="2910D82C"/>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9" w15:restartNumberingAfterBreak="0">
    <w:nsid w:val="546F7959"/>
    <w:multiLevelType w:val="hybridMultilevel"/>
    <w:tmpl w:val="22E4E252"/>
    <w:lvl w:ilvl="0" w:tplc="B82E3B8E">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A3476E"/>
    <w:multiLevelType w:val="multilevel"/>
    <w:tmpl w:val="B5D400A0"/>
    <w:lvl w:ilvl="0">
      <w:start w:val="1"/>
      <w:numFmt w:val="decimal"/>
      <w:pStyle w:val="H1"/>
      <w:lvlText w:val="%1."/>
      <w:lvlJc w:val="left"/>
      <w:pPr>
        <w:ind w:left="360" w:hanging="360"/>
      </w:pPr>
    </w:lvl>
    <w:lvl w:ilvl="1">
      <w:start w:val="1"/>
      <w:numFmt w:val="decimal"/>
      <w:pStyle w:val="H2"/>
      <w:lvlText w:val="%1.%2."/>
      <w:lvlJc w:val="left"/>
      <w:pPr>
        <w:ind w:left="1566" w:hanging="432"/>
      </w:pPr>
    </w:lvl>
    <w:lvl w:ilvl="2">
      <w:start w:val="1"/>
      <w:numFmt w:val="decimal"/>
      <w:pStyle w:val="H3"/>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257E78"/>
    <w:multiLevelType w:val="hybridMultilevel"/>
    <w:tmpl w:val="5DC01038"/>
    <w:lvl w:ilvl="0" w:tplc="68483068">
      <w:start w:val="1"/>
      <w:numFmt w:val="bullet"/>
      <w:pStyle w:val="GSNeslovanseznam"/>
      <w:lvlText w:val=""/>
      <w:lvlJc w:val="left"/>
      <w:pPr>
        <w:ind w:left="717" w:hanging="360"/>
      </w:pPr>
      <w:rPr>
        <w:rFonts w:ascii="Symbol" w:hAnsi="Symbol" w:hint="default"/>
        <w:color w:val="262626" w:themeColor="text1" w:themeTint="D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247B80"/>
    <w:multiLevelType w:val="hybridMultilevel"/>
    <w:tmpl w:val="3EF25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pStyle w:val="Numberedlist23"/>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6B462DEB"/>
    <w:multiLevelType w:val="hybridMultilevel"/>
    <w:tmpl w:val="A3DA94A8"/>
    <w:lvl w:ilvl="0" w:tplc="16983132">
      <w:numFmt w:val="bullet"/>
      <w:lvlText w:val="-"/>
      <w:lvlJc w:val="left"/>
      <w:pPr>
        <w:ind w:left="720" w:hanging="360"/>
      </w:pPr>
      <w:rPr>
        <w:rFonts w:ascii="Segoe UI" w:eastAsia="MS Mincho"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5"/>
  </w:num>
  <w:num w:numId="4">
    <w:abstractNumId w:val="17"/>
  </w:num>
  <w:num w:numId="5">
    <w:abstractNumId w:val="6"/>
  </w:num>
  <w:num w:numId="6">
    <w:abstractNumId w:val="23"/>
  </w:num>
  <w:num w:numId="7">
    <w:abstractNumId w:val="22"/>
  </w:num>
  <w:num w:numId="8">
    <w:abstractNumId w:val="8"/>
  </w:num>
  <w:num w:numId="9">
    <w:abstractNumId w:val="13"/>
  </w:num>
  <w:num w:numId="10">
    <w:abstractNumId w:val="10"/>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6"/>
  </w:num>
  <w:num w:numId="16">
    <w:abstractNumId w:val="6"/>
  </w:num>
  <w:num w:numId="17">
    <w:abstractNumId w:val="6"/>
  </w:num>
  <w:num w:numId="18">
    <w:abstractNumId w:val="6"/>
  </w:num>
  <w:num w:numId="19">
    <w:abstractNumId w:val="11"/>
  </w:num>
  <w:num w:numId="20">
    <w:abstractNumId w:val="14"/>
  </w:num>
  <w:num w:numId="21">
    <w:abstractNumId w:val="16"/>
  </w:num>
  <w:num w:numId="22">
    <w:abstractNumId w:val="18"/>
  </w:num>
  <w:num w:numId="23">
    <w:abstractNumId w:val="6"/>
  </w:num>
  <w:num w:numId="24">
    <w:abstractNumId w:val="24"/>
  </w:num>
  <w:num w:numId="25">
    <w:abstractNumId w:val="0"/>
  </w:num>
  <w:num w:numId="26">
    <w:abstractNumId w:val="6"/>
  </w:num>
  <w:num w:numId="27">
    <w:abstractNumId w:val="4"/>
  </w:num>
  <w:num w:numId="28">
    <w:abstractNumId w:val="19"/>
  </w:num>
  <w:num w:numId="29">
    <w:abstractNumId w:val="2"/>
  </w:num>
  <w:num w:numId="30">
    <w:abstractNumId w:val="1"/>
  </w:num>
  <w:num w:numId="31">
    <w:abstractNumId w:val="12"/>
  </w:num>
  <w:num w:numId="32">
    <w:abstractNumId w:val="6"/>
  </w:num>
  <w:num w:numId="33">
    <w:abstractNumId w:val="6"/>
  </w:num>
  <w:num w:numId="34">
    <w:abstractNumId w:val="6"/>
  </w:num>
  <w:num w:numId="35">
    <w:abstractNumId w:val="6"/>
  </w:num>
  <w:num w:numId="36">
    <w:abstractNumId w:val="6"/>
  </w:num>
  <w:num w:numId="37">
    <w:abstractNumId w:val="7"/>
  </w:num>
  <w:num w:numId="38">
    <w:abstractNumId w:val="3"/>
  </w:num>
  <w:num w:numId="39">
    <w:abstractNumId w:val="6"/>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E0"/>
    <w:rsid w:val="000008E1"/>
    <w:rsid w:val="00000E66"/>
    <w:rsid w:val="00001C48"/>
    <w:rsid w:val="000025FF"/>
    <w:rsid w:val="00002FDB"/>
    <w:rsid w:val="0000322E"/>
    <w:rsid w:val="00003B2E"/>
    <w:rsid w:val="00004F3D"/>
    <w:rsid w:val="000056CE"/>
    <w:rsid w:val="00005B96"/>
    <w:rsid w:val="00005BDB"/>
    <w:rsid w:val="000062B7"/>
    <w:rsid w:val="0001098A"/>
    <w:rsid w:val="00011A5C"/>
    <w:rsid w:val="00012883"/>
    <w:rsid w:val="00012BFF"/>
    <w:rsid w:val="00023AC7"/>
    <w:rsid w:val="0002459F"/>
    <w:rsid w:val="00024AEB"/>
    <w:rsid w:val="00024EA3"/>
    <w:rsid w:val="00025EBE"/>
    <w:rsid w:val="000273DE"/>
    <w:rsid w:val="00027519"/>
    <w:rsid w:val="00030402"/>
    <w:rsid w:val="00030831"/>
    <w:rsid w:val="0003376E"/>
    <w:rsid w:val="00033E89"/>
    <w:rsid w:val="000406E6"/>
    <w:rsid w:val="00041495"/>
    <w:rsid w:val="00041571"/>
    <w:rsid w:val="000460B1"/>
    <w:rsid w:val="00051B51"/>
    <w:rsid w:val="00052060"/>
    <w:rsid w:val="00056A08"/>
    <w:rsid w:val="00057729"/>
    <w:rsid w:val="00060A71"/>
    <w:rsid w:val="00061780"/>
    <w:rsid w:val="0006292E"/>
    <w:rsid w:val="0006448A"/>
    <w:rsid w:val="000670B3"/>
    <w:rsid w:val="000714F9"/>
    <w:rsid w:val="000735AB"/>
    <w:rsid w:val="00074A27"/>
    <w:rsid w:val="00075029"/>
    <w:rsid w:val="00077F8C"/>
    <w:rsid w:val="0008113D"/>
    <w:rsid w:val="0008175B"/>
    <w:rsid w:val="00081C02"/>
    <w:rsid w:val="00084D78"/>
    <w:rsid w:val="00084E30"/>
    <w:rsid w:val="00085C7D"/>
    <w:rsid w:val="00085F7F"/>
    <w:rsid w:val="00086872"/>
    <w:rsid w:val="00087102"/>
    <w:rsid w:val="00087C78"/>
    <w:rsid w:val="00087D50"/>
    <w:rsid w:val="00090581"/>
    <w:rsid w:val="000920F5"/>
    <w:rsid w:val="00092317"/>
    <w:rsid w:val="00092AAD"/>
    <w:rsid w:val="0009345A"/>
    <w:rsid w:val="00093556"/>
    <w:rsid w:val="0009518F"/>
    <w:rsid w:val="00095404"/>
    <w:rsid w:val="000A09D6"/>
    <w:rsid w:val="000A0F1C"/>
    <w:rsid w:val="000A59ED"/>
    <w:rsid w:val="000A5C79"/>
    <w:rsid w:val="000A6F59"/>
    <w:rsid w:val="000A70DA"/>
    <w:rsid w:val="000B12FA"/>
    <w:rsid w:val="000B2ADF"/>
    <w:rsid w:val="000B6A97"/>
    <w:rsid w:val="000B6DA3"/>
    <w:rsid w:val="000C052D"/>
    <w:rsid w:val="000C338C"/>
    <w:rsid w:val="000C424D"/>
    <w:rsid w:val="000C47A1"/>
    <w:rsid w:val="000C4D13"/>
    <w:rsid w:val="000C6FDC"/>
    <w:rsid w:val="000C7575"/>
    <w:rsid w:val="000D03DF"/>
    <w:rsid w:val="000D4B19"/>
    <w:rsid w:val="000D5701"/>
    <w:rsid w:val="000E22BE"/>
    <w:rsid w:val="000E655F"/>
    <w:rsid w:val="000E666D"/>
    <w:rsid w:val="000E6CBB"/>
    <w:rsid w:val="000F08D5"/>
    <w:rsid w:val="000F132E"/>
    <w:rsid w:val="000F31E0"/>
    <w:rsid w:val="00101CE6"/>
    <w:rsid w:val="001032EB"/>
    <w:rsid w:val="00103622"/>
    <w:rsid w:val="0010362C"/>
    <w:rsid w:val="00105F93"/>
    <w:rsid w:val="00106324"/>
    <w:rsid w:val="001068B1"/>
    <w:rsid w:val="00107E4F"/>
    <w:rsid w:val="00107F5C"/>
    <w:rsid w:val="001124E3"/>
    <w:rsid w:val="00113E40"/>
    <w:rsid w:val="001141C3"/>
    <w:rsid w:val="00116422"/>
    <w:rsid w:val="00116DF3"/>
    <w:rsid w:val="001176BE"/>
    <w:rsid w:val="001228ED"/>
    <w:rsid w:val="00123943"/>
    <w:rsid w:val="0012499F"/>
    <w:rsid w:val="0012506A"/>
    <w:rsid w:val="001266FA"/>
    <w:rsid w:val="00130AE6"/>
    <w:rsid w:val="00131186"/>
    <w:rsid w:val="00131199"/>
    <w:rsid w:val="00132FC2"/>
    <w:rsid w:val="00134D3D"/>
    <w:rsid w:val="001350AF"/>
    <w:rsid w:val="0013605D"/>
    <w:rsid w:val="001418C2"/>
    <w:rsid w:val="00141990"/>
    <w:rsid w:val="00142A45"/>
    <w:rsid w:val="00142CEF"/>
    <w:rsid w:val="00145DC6"/>
    <w:rsid w:val="0014690D"/>
    <w:rsid w:val="00147FD1"/>
    <w:rsid w:val="00150BDD"/>
    <w:rsid w:val="0015238C"/>
    <w:rsid w:val="00155A5B"/>
    <w:rsid w:val="00155E1B"/>
    <w:rsid w:val="0015625F"/>
    <w:rsid w:val="0015691A"/>
    <w:rsid w:val="00156C4B"/>
    <w:rsid w:val="00161017"/>
    <w:rsid w:val="00161BC2"/>
    <w:rsid w:val="00163465"/>
    <w:rsid w:val="00163649"/>
    <w:rsid w:val="00163939"/>
    <w:rsid w:val="00164429"/>
    <w:rsid w:val="00165CBC"/>
    <w:rsid w:val="00170B4E"/>
    <w:rsid w:val="00171F0B"/>
    <w:rsid w:val="00172724"/>
    <w:rsid w:val="0017746D"/>
    <w:rsid w:val="00180956"/>
    <w:rsid w:val="00180BCD"/>
    <w:rsid w:val="001814F1"/>
    <w:rsid w:val="00182F3C"/>
    <w:rsid w:val="001836D7"/>
    <w:rsid w:val="0018528E"/>
    <w:rsid w:val="00190F20"/>
    <w:rsid w:val="00191CA3"/>
    <w:rsid w:val="0019501D"/>
    <w:rsid w:val="00196165"/>
    <w:rsid w:val="0019723E"/>
    <w:rsid w:val="00197653"/>
    <w:rsid w:val="001A1D9E"/>
    <w:rsid w:val="001A295B"/>
    <w:rsid w:val="001A3392"/>
    <w:rsid w:val="001A4A19"/>
    <w:rsid w:val="001A5126"/>
    <w:rsid w:val="001A5222"/>
    <w:rsid w:val="001A621C"/>
    <w:rsid w:val="001A7688"/>
    <w:rsid w:val="001B1038"/>
    <w:rsid w:val="001B17AB"/>
    <w:rsid w:val="001B1D7D"/>
    <w:rsid w:val="001B5AEF"/>
    <w:rsid w:val="001B698B"/>
    <w:rsid w:val="001B7B3C"/>
    <w:rsid w:val="001C0E14"/>
    <w:rsid w:val="001C1002"/>
    <w:rsid w:val="001D177B"/>
    <w:rsid w:val="001D25AD"/>
    <w:rsid w:val="001D5014"/>
    <w:rsid w:val="001D52B3"/>
    <w:rsid w:val="001D5373"/>
    <w:rsid w:val="001D5DE1"/>
    <w:rsid w:val="001D725D"/>
    <w:rsid w:val="001E092F"/>
    <w:rsid w:val="001E1DEC"/>
    <w:rsid w:val="001E3F13"/>
    <w:rsid w:val="001E446F"/>
    <w:rsid w:val="001E4775"/>
    <w:rsid w:val="001E59BD"/>
    <w:rsid w:val="001E640D"/>
    <w:rsid w:val="001E79CF"/>
    <w:rsid w:val="001F03A2"/>
    <w:rsid w:val="001F402F"/>
    <w:rsid w:val="001F40BD"/>
    <w:rsid w:val="001F4DEE"/>
    <w:rsid w:val="001F4EF1"/>
    <w:rsid w:val="001F614E"/>
    <w:rsid w:val="001F7956"/>
    <w:rsid w:val="00200B82"/>
    <w:rsid w:val="002030CB"/>
    <w:rsid w:val="00203174"/>
    <w:rsid w:val="00203263"/>
    <w:rsid w:val="00203781"/>
    <w:rsid w:val="00203FCD"/>
    <w:rsid w:val="00205BB8"/>
    <w:rsid w:val="00205BEB"/>
    <w:rsid w:val="002063DC"/>
    <w:rsid w:val="00207EB0"/>
    <w:rsid w:val="00207F66"/>
    <w:rsid w:val="00210321"/>
    <w:rsid w:val="00210515"/>
    <w:rsid w:val="00210A72"/>
    <w:rsid w:val="00211085"/>
    <w:rsid w:val="00211E8A"/>
    <w:rsid w:val="00212E61"/>
    <w:rsid w:val="00212EF5"/>
    <w:rsid w:val="002134AE"/>
    <w:rsid w:val="00213C03"/>
    <w:rsid w:val="00215271"/>
    <w:rsid w:val="00215B74"/>
    <w:rsid w:val="0021717C"/>
    <w:rsid w:val="00220FCC"/>
    <w:rsid w:val="00221896"/>
    <w:rsid w:val="00221F35"/>
    <w:rsid w:val="00223BF0"/>
    <w:rsid w:val="00224C60"/>
    <w:rsid w:val="00224D0A"/>
    <w:rsid w:val="00226B2D"/>
    <w:rsid w:val="00227B40"/>
    <w:rsid w:val="0023034F"/>
    <w:rsid w:val="00230410"/>
    <w:rsid w:val="00230B07"/>
    <w:rsid w:val="002325C0"/>
    <w:rsid w:val="0023297B"/>
    <w:rsid w:val="002342FB"/>
    <w:rsid w:val="00237C80"/>
    <w:rsid w:val="00240CF5"/>
    <w:rsid w:val="00241C58"/>
    <w:rsid w:val="00243DAA"/>
    <w:rsid w:val="00244681"/>
    <w:rsid w:val="00244764"/>
    <w:rsid w:val="0024485F"/>
    <w:rsid w:val="00251E8C"/>
    <w:rsid w:val="00254CEF"/>
    <w:rsid w:val="002561BA"/>
    <w:rsid w:val="00257FDE"/>
    <w:rsid w:val="00262235"/>
    <w:rsid w:val="00263CDC"/>
    <w:rsid w:val="00267B6C"/>
    <w:rsid w:val="00273291"/>
    <w:rsid w:val="00274219"/>
    <w:rsid w:val="00274DC2"/>
    <w:rsid w:val="002761BF"/>
    <w:rsid w:val="00280C02"/>
    <w:rsid w:val="00286631"/>
    <w:rsid w:val="002873CC"/>
    <w:rsid w:val="0029146B"/>
    <w:rsid w:val="002917EA"/>
    <w:rsid w:val="002917F3"/>
    <w:rsid w:val="002938A7"/>
    <w:rsid w:val="002939AD"/>
    <w:rsid w:val="00293D31"/>
    <w:rsid w:val="002A26CA"/>
    <w:rsid w:val="002A2A66"/>
    <w:rsid w:val="002A3E5C"/>
    <w:rsid w:val="002A3EE7"/>
    <w:rsid w:val="002A5528"/>
    <w:rsid w:val="002A5EF3"/>
    <w:rsid w:val="002A6911"/>
    <w:rsid w:val="002B1AE0"/>
    <w:rsid w:val="002B1B35"/>
    <w:rsid w:val="002B27C2"/>
    <w:rsid w:val="002B2BE7"/>
    <w:rsid w:val="002B55EB"/>
    <w:rsid w:val="002B7CC1"/>
    <w:rsid w:val="002C2666"/>
    <w:rsid w:val="002C2C8A"/>
    <w:rsid w:val="002C47B6"/>
    <w:rsid w:val="002C4C11"/>
    <w:rsid w:val="002C601B"/>
    <w:rsid w:val="002C7619"/>
    <w:rsid w:val="002D0C0B"/>
    <w:rsid w:val="002D35BA"/>
    <w:rsid w:val="002D4464"/>
    <w:rsid w:val="002D5317"/>
    <w:rsid w:val="002D63C1"/>
    <w:rsid w:val="002D6991"/>
    <w:rsid w:val="002E02D4"/>
    <w:rsid w:val="002E1B3D"/>
    <w:rsid w:val="002E5599"/>
    <w:rsid w:val="002E5DD1"/>
    <w:rsid w:val="002F004A"/>
    <w:rsid w:val="002F28A2"/>
    <w:rsid w:val="002F2CBC"/>
    <w:rsid w:val="002F2DEF"/>
    <w:rsid w:val="002F5595"/>
    <w:rsid w:val="002F57C2"/>
    <w:rsid w:val="002F607E"/>
    <w:rsid w:val="002F7FB6"/>
    <w:rsid w:val="00300466"/>
    <w:rsid w:val="00302EFE"/>
    <w:rsid w:val="00307AD1"/>
    <w:rsid w:val="00312770"/>
    <w:rsid w:val="00312DB5"/>
    <w:rsid w:val="003135B3"/>
    <w:rsid w:val="00316067"/>
    <w:rsid w:val="00317070"/>
    <w:rsid w:val="00321010"/>
    <w:rsid w:val="00324442"/>
    <w:rsid w:val="00325CD5"/>
    <w:rsid w:val="00326B6D"/>
    <w:rsid w:val="00326D07"/>
    <w:rsid w:val="00326D1C"/>
    <w:rsid w:val="003322E6"/>
    <w:rsid w:val="00332C7D"/>
    <w:rsid w:val="00333E0F"/>
    <w:rsid w:val="0033660F"/>
    <w:rsid w:val="00337BA6"/>
    <w:rsid w:val="0034086B"/>
    <w:rsid w:val="00341579"/>
    <w:rsid w:val="00341C67"/>
    <w:rsid w:val="00343F22"/>
    <w:rsid w:val="00352039"/>
    <w:rsid w:val="003521C3"/>
    <w:rsid w:val="00352F28"/>
    <w:rsid w:val="003554B4"/>
    <w:rsid w:val="003570D1"/>
    <w:rsid w:val="0036041E"/>
    <w:rsid w:val="00361B2F"/>
    <w:rsid w:val="00362C9F"/>
    <w:rsid w:val="00362E3F"/>
    <w:rsid w:val="00363F62"/>
    <w:rsid w:val="00364E3C"/>
    <w:rsid w:val="00367BDC"/>
    <w:rsid w:val="00371B9A"/>
    <w:rsid w:val="00374B3E"/>
    <w:rsid w:val="003871B3"/>
    <w:rsid w:val="003910CC"/>
    <w:rsid w:val="00393B5C"/>
    <w:rsid w:val="00394F97"/>
    <w:rsid w:val="003962D2"/>
    <w:rsid w:val="003A034A"/>
    <w:rsid w:val="003A08D5"/>
    <w:rsid w:val="003A148B"/>
    <w:rsid w:val="003A2D8B"/>
    <w:rsid w:val="003A2E1F"/>
    <w:rsid w:val="003A48B1"/>
    <w:rsid w:val="003A4FC7"/>
    <w:rsid w:val="003B064D"/>
    <w:rsid w:val="003B3F57"/>
    <w:rsid w:val="003B4059"/>
    <w:rsid w:val="003B4BC7"/>
    <w:rsid w:val="003B7C77"/>
    <w:rsid w:val="003C0EDD"/>
    <w:rsid w:val="003C1080"/>
    <w:rsid w:val="003C1A3B"/>
    <w:rsid w:val="003C624E"/>
    <w:rsid w:val="003C7ECE"/>
    <w:rsid w:val="003D2DBB"/>
    <w:rsid w:val="003D3713"/>
    <w:rsid w:val="003D427F"/>
    <w:rsid w:val="003D4C5F"/>
    <w:rsid w:val="003E06B3"/>
    <w:rsid w:val="003E0734"/>
    <w:rsid w:val="003E193B"/>
    <w:rsid w:val="003E241E"/>
    <w:rsid w:val="003E2958"/>
    <w:rsid w:val="003E451C"/>
    <w:rsid w:val="003E7F8F"/>
    <w:rsid w:val="003F4D95"/>
    <w:rsid w:val="003F714D"/>
    <w:rsid w:val="00401933"/>
    <w:rsid w:val="00401C13"/>
    <w:rsid w:val="00402EBC"/>
    <w:rsid w:val="00403A8C"/>
    <w:rsid w:val="004060FE"/>
    <w:rsid w:val="00410222"/>
    <w:rsid w:val="00413771"/>
    <w:rsid w:val="0041717F"/>
    <w:rsid w:val="00417AAA"/>
    <w:rsid w:val="00417C52"/>
    <w:rsid w:val="00420994"/>
    <w:rsid w:val="00420C27"/>
    <w:rsid w:val="004218B8"/>
    <w:rsid w:val="004251D1"/>
    <w:rsid w:val="004266B6"/>
    <w:rsid w:val="00431AE7"/>
    <w:rsid w:val="00432BC7"/>
    <w:rsid w:val="00432F18"/>
    <w:rsid w:val="00434517"/>
    <w:rsid w:val="0043488F"/>
    <w:rsid w:val="00434A67"/>
    <w:rsid w:val="00437773"/>
    <w:rsid w:val="00442746"/>
    <w:rsid w:val="00446808"/>
    <w:rsid w:val="00446DBD"/>
    <w:rsid w:val="0045109A"/>
    <w:rsid w:val="00451782"/>
    <w:rsid w:val="00451E24"/>
    <w:rsid w:val="00452E43"/>
    <w:rsid w:val="00453414"/>
    <w:rsid w:val="00456C8A"/>
    <w:rsid w:val="00460FF7"/>
    <w:rsid w:val="004617A6"/>
    <w:rsid w:val="00462813"/>
    <w:rsid w:val="00462D3F"/>
    <w:rsid w:val="00466F1D"/>
    <w:rsid w:val="00471697"/>
    <w:rsid w:val="00471B91"/>
    <w:rsid w:val="0047595B"/>
    <w:rsid w:val="004768C1"/>
    <w:rsid w:val="00482417"/>
    <w:rsid w:val="00486F2B"/>
    <w:rsid w:val="004926CB"/>
    <w:rsid w:val="004936D9"/>
    <w:rsid w:val="00494F42"/>
    <w:rsid w:val="00495382"/>
    <w:rsid w:val="0049557F"/>
    <w:rsid w:val="00495DAC"/>
    <w:rsid w:val="00496B83"/>
    <w:rsid w:val="0049752C"/>
    <w:rsid w:val="004A1D78"/>
    <w:rsid w:val="004A4CC8"/>
    <w:rsid w:val="004A5745"/>
    <w:rsid w:val="004B04BC"/>
    <w:rsid w:val="004B09F5"/>
    <w:rsid w:val="004B1422"/>
    <w:rsid w:val="004B6D8A"/>
    <w:rsid w:val="004B7E0C"/>
    <w:rsid w:val="004C1F28"/>
    <w:rsid w:val="004C24BF"/>
    <w:rsid w:val="004C392C"/>
    <w:rsid w:val="004C3F03"/>
    <w:rsid w:val="004C564E"/>
    <w:rsid w:val="004C60E7"/>
    <w:rsid w:val="004C625E"/>
    <w:rsid w:val="004C74B0"/>
    <w:rsid w:val="004C7B75"/>
    <w:rsid w:val="004D0281"/>
    <w:rsid w:val="004D411B"/>
    <w:rsid w:val="004D4CC9"/>
    <w:rsid w:val="004D6CEF"/>
    <w:rsid w:val="004E0B91"/>
    <w:rsid w:val="004E0C55"/>
    <w:rsid w:val="004E3718"/>
    <w:rsid w:val="004E5C8F"/>
    <w:rsid w:val="004E7AF7"/>
    <w:rsid w:val="004F2C7E"/>
    <w:rsid w:val="004F5221"/>
    <w:rsid w:val="004F5E3D"/>
    <w:rsid w:val="004F6EEC"/>
    <w:rsid w:val="00500113"/>
    <w:rsid w:val="0050082A"/>
    <w:rsid w:val="00506AC7"/>
    <w:rsid w:val="00510A47"/>
    <w:rsid w:val="00511EA8"/>
    <w:rsid w:val="005120AF"/>
    <w:rsid w:val="005207C1"/>
    <w:rsid w:val="00522A02"/>
    <w:rsid w:val="005254C2"/>
    <w:rsid w:val="00525601"/>
    <w:rsid w:val="00542965"/>
    <w:rsid w:val="00543296"/>
    <w:rsid w:val="00543EFC"/>
    <w:rsid w:val="00544880"/>
    <w:rsid w:val="00546D12"/>
    <w:rsid w:val="0054726A"/>
    <w:rsid w:val="00547365"/>
    <w:rsid w:val="00547A22"/>
    <w:rsid w:val="00555105"/>
    <w:rsid w:val="00560888"/>
    <w:rsid w:val="005621AA"/>
    <w:rsid w:val="00562DA7"/>
    <w:rsid w:val="00562F1B"/>
    <w:rsid w:val="005630F9"/>
    <w:rsid w:val="00563962"/>
    <w:rsid w:val="005644D9"/>
    <w:rsid w:val="0056452A"/>
    <w:rsid w:val="00565118"/>
    <w:rsid w:val="0056611F"/>
    <w:rsid w:val="005666DD"/>
    <w:rsid w:val="0056680E"/>
    <w:rsid w:val="00571246"/>
    <w:rsid w:val="00571B65"/>
    <w:rsid w:val="00571DD9"/>
    <w:rsid w:val="00572683"/>
    <w:rsid w:val="00573345"/>
    <w:rsid w:val="00574FA2"/>
    <w:rsid w:val="0057534A"/>
    <w:rsid w:val="005769EB"/>
    <w:rsid w:val="00577088"/>
    <w:rsid w:val="005772C8"/>
    <w:rsid w:val="005814AE"/>
    <w:rsid w:val="00581F4A"/>
    <w:rsid w:val="00582C85"/>
    <w:rsid w:val="00584733"/>
    <w:rsid w:val="00585685"/>
    <w:rsid w:val="00585FDF"/>
    <w:rsid w:val="005865B7"/>
    <w:rsid w:val="00587DE6"/>
    <w:rsid w:val="005908DB"/>
    <w:rsid w:val="00591080"/>
    <w:rsid w:val="005938C4"/>
    <w:rsid w:val="00594BA3"/>
    <w:rsid w:val="00594E1B"/>
    <w:rsid w:val="00595817"/>
    <w:rsid w:val="00595D93"/>
    <w:rsid w:val="005A4284"/>
    <w:rsid w:val="005A5754"/>
    <w:rsid w:val="005B1290"/>
    <w:rsid w:val="005B3BAF"/>
    <w:rsid w:val="005C01CC"/>
    <w:rsid w:val="005C03E1"/>
    <w:rsid w:val="005C0433"/>
    <w:rsid w:val="005C0EE8"/>
    <w:rsid w:val="005C3FB2"/>
    <w:rsid w:val="005C67E5"/>
    <w:rsid w:val="005D06B0"/>
    <w:rsid w:val="005D227B"/>
    <w:rsid w:val="005D3E57"/>
    <w:rsid w:val="005D6476"/>
    <w:rsid w:val="005D6880"/>
    <w:rsid w:val="005D7A87"/>
    <w:rsid w:val="005E0A37"/>
    <w:rsid w:val="005E10B6"/>
    <w:rsid w:val="005E16A6"/>
    <w:rsid w:val="005E1A01"/>
    <w:rsid w:val="005E1DE6"/>
    <w:rsid w:val="005E3961"/>
    <w:rsid w:val="005E792E"/>
    <w:rsid w:val="005F06CD"/>
    <w:rsid w:val="005F07DC"/>
    <w:rsid w:val="005F0D58"/>
    <w:rsid w:val="005F2706"/>
    <w:rsid w:val="005F2A0B"/>
    <w:rsid w:val="005F3EBA"/>
    <w:rsid w:val="005F422E"/>
    <w:rsid w:val="005F440C"/>
    <w:rsid w:val="005F4ADC"/>
    <w:rsid w:val="00600CCF"/>
    <w:rsid w:val="006034A2"/>
    <w:rsid w:val="006054B0"/>
    <w:rsid w:val="006057AE"/>
    <w:rsid w:val="0060675B"/>
    <w:rsid w:val="00611236"/>
    <w:rsid w:val="006131FA"/>
    <w:rsid w:val="00614417"/>
    <w:rsid w:val="006150E5"/>
    <w:rsid w:val="00617188"/>
    <w:rsid w:val="00622391"/>
    <w:rsid w:val="006232FC"/>
    <w:rsid w:val="0062460D"/>
    <w:rsid w:val="00631140"/>
    <w:rsid w:val="00632631"/>
    <w:rsid w:val="00633902"/>
    <w:rsid w:val="00634094"/>
    <w:rsid w:val="00636409"/>
    <w:rsid w:val="00636538"/>
    <w:rsid w:val="00636747"/>
    <w:rsid w:val="00636F1A"/>
    <w:rsid w:val="00640468"/>
    <w:rsid w:val="006405DA"/>
    <w:rsid w:val="00641449"/>
    <w:rsid w:val="006425DB"/>
    <w:rsid w:val="00643206"/>
    <w:rsid w:val="0064596D"/>
    <w:rsid w:val="00646977"/>
    <w:rsid w:val="00647211"/>
    <w:rsid w:val="0065071C"/>
    <w:rsid w:val="00650AD2"/>
    <w:rsid w:val="006527B2"/>
    <w:rsid w:val="0065280F"/>
    <w:rsid w:val="0065300F"/>
    <w:rsid w:val="00662AD1"/>
    <w:rsid w:val="00665D88"/>
    <w:rsid w:val="00672363"/>
    <w:rsid w:val="0067317A"/>
    <w:rsid w:val="0067599F"/>
    <w:rsid w:val="00675E59"/>
    <w:rsid w:val="00683C84"/>
    <w:rsid w:val="00684D22"/>
    <w:rsid w:val="00686275"/>
    <w:rsid w:val="00690808"/>
    <w:rsid w:val="006920C5"/>
    <w:rsid w:val="0069213E"/>
    <w:rsid w:val="00693896"/>
    <w:rsid w:val="00694077"/>
    <w:rsid w:val="0069637F"/>
    <w:rsid w:val="00697A21"/>
    <w:rsid w:val="006A1322"/>
    <w:rsid w:val="006A28F1"/>
    <w:rsid w:val="006A35F4"/>
    <w:rsid w:val="006A385B"/>
    <w:rsid w:val="006A3C17"/>
    <w:rsid w:val="006A664B"/>
    <w:rsid w:val="006A78ED"/>
    <w:rsid w:val="006A7C31"/>
    <w:rsid w:val="006A7D2D"/>
    <w:rsid w:val="006A7D57"/>
    <w:rsid w:val="006B10CF"/>
    <w:rsid w:val="006B1386"/>
    <w:rsid w:val="006B2702"/>
    <w:rsid w:val="006B286F"/>
    <w:rsid w:val="006B36CE"/>
    <w:rsid w:val="006B4340"/>
    <w:rsid w:val="006B4B41"/>
    <w:rsid w:val="006C34AD"/>
    <w:rsid w:val="006C394D"/>
    <w:rsid w:val="006C512F"/>
    <w:rsid w:val="006C7A75"/>
    <w:rsid w:val="006D12C4"/>
    <w:rsid w:val="006D543C"/>
    <w:rsid w:val="006D68D9"/>
    <w:rsid w:val="006D7C1E"/>
    <w:rsid w:val="006E2EBE"/>
    <w:rsid w:val="006E43DD"/>
    <w:rsid w:val="006E478B"/>
    <w:rsid w:val="006E4A94"/>
    <w:rsid w:val="006E4B9C"/>
    <w:rsid w:val="006E5A2A"/>
    <w:rsid w:val="006E5A96"/>
    <w:rsid w:val="006E6699"/>
    <w:rsid w:val="006E76AA"/>
    <w:rsid w:val="006F0430"/>
    <w:rsid w:val="006F05AF"/>
    <w:rsid w:val="00700DE1"/>
    <w:rsid w:val="0070574D"/>
    <w:rsid w:val="00706FFE"/>
    <w:rsid w:val="00710A3A"/>
    <w:rsid w:val="007113C9"/>
    <w:rsid w:val="0071170E"/>
    <w:rsid w:val="00711F4E"/>
    <w:rsid w:val="00721B93"/>
    <w:rsid w:val="00721DD6"/>
    <w:rsid w:val="0072335E"/>
    <w:rsid w:val="00724321"/>
    <w:rsid w:val="00726383"/>
    <w:rsid w:val="00726DF4"/>
    <w:rsid w:val="007274DC"/>
    <w:rsid w:val="00731C03"/>
    <w:rsid w:val="00741658"/>
    <w:rsid w:val="00743880"/>
    <w:rsid w:val="00743E4F"/>
    <w:rsid w:val="00750373"/>
    <w:rsid w:val="00752D1D"/>
    <w:rsid w:val="0075568D"/>
    <w:rsid w:val="00762885"/>
    <w:rsid w:val="00762EBB"/>
    <w:rsid w:val="00770125"/>
    <w:rsid w:val="0077088E"/>
    <w:rsid w:val="00773476"/>
    <w:rsid w:val="00773684"/>
    <w:rsid w:val="00773BBD"/>
    <w:rsid w:val="0077573D"/>
    <w:rsid w:val="00777CC4"/>
    <w:rsid w:val="00777F93"/>
    <w:rsid w:val="007818A4"/>
    <w:rsid w:val="0078366F"/>
    <w:rsid w:val="0078772D"/>
    <w:rsid w:val="007900F7"/>
    <w:rsid w:val="00790E8D"/>
    <w:rsid w:val="007933F6"/>
    <w:rsid w:val="0079375F"/>
    <w:rsid w:val="00796524"/>
    <w:rsid w:val="007A2871"/>
    <w:rsid w:val="007A3F4F"/>
    <w:rsid w:val="007A7EAB"/>
    <w:rsid w:val="007B35D5"/>
    <w:rsid w:val="007B4452"/>
    <w:rsid w:val="007B44B2"/>
    <w:rsid w:val="007B5BC4"/>
    <w:rsid w:val="007B6F92"/>
    <w:rsid w:val="007B7057"/>
    <w:rsid w:val="007B725A"/>
    <w:rsid w:val="007C3170"/>
    <w:rsid w:val="007C5635"/>
    <w:rsid w:val="007D0987"/>
    <w:rsid w:val="007D194A"/>
    <w:rsid w:val="007D1EBB"/>
    <w:rsid w:val="007E02F2"/>
    <w:rsid w:val="007E1A28"/>
    <w:rsid w:val="007E4F03"/>
    <w:rsid w:val="007E56E4"/>
    <w:rsid w:val="007E67C6"/>
    <w:rsid w:val="007E7FB2"/>
    <w:rsid w:val="007F03DC"/>
    <w:rsid w:val="007F2AE3"/>
    <w:rsid w:val="007F3B4A"/>
    <w:rsid w:val="007F5565"/>
    <w:rsid w:val="008009CB"/>
    <w:rsid w:val="00802692"/>
    <w:rsid w:val="00803C64"/>
    <w:rsid w:val="00805650"/>
    <w:rsid w:val="0081102A"/>
    <w:rsid w:val="008118FC"/>
    <w:rsid w:val="0081224E"/>
    <w:rsid w:val="00812BB3"/>
    <w:rsid w:val="00813BDE"/>
    <w:rsid w:val="00814066"/>
    <w:rsid w:val="00815338"/>
    <w:rsid w:val="00815346"/>
    <w:rsid w:val="00815D57"/>
    <w:rsid w:val="008164EA"/>
    <w:rsid w:val="008215E1"/>
    <w:rsid w:val="008229C1"/>
    <w:rsid w:val="00823153"/>
    <w:rsid w:val="008235D1"/>
    <w:rsid w:val="00825022"/>
    <w:rsid w:val="00827325"/>
    <w:rsid w:val="008324AF"/>
    <w:rsid w:val="008342AF"/>
    <w:rsid w:val="00835A2C"/>
    <w:rsid w:val="0084039C"/>
    <w:rsid w:val="008426FD"/>
    <w:rsid w:val="0084423C"/>
    <w:rsid w:val="00844994"/>
    <w:rsid w:val="00846B93"/>
    <w:rsid w:val="008505B5"/>
    <w:rsid w:val="00850EC0"/>
    <w:rsid w:val="008531C2"/>
    <w:rsid w:val="0085425D"/>
    <w:rsid w:val="008561D4"/>
    <w:rsid w:val="00856654"/>
    <w:rsid w:val="0085666E"/>
    <w:rsid w:val="00856CA8"/>
    <w:rsid w:val="0086442A"/>
    <w:rsid w:val="00866CB8"/>
    <w:rsid w:val="00867B65"/>
    <w:rsid w:val="00867B95"/>
    <w:rsid w:val="00867E9A"/>
    <w:rsid w:val="00870C2D"/>
    <w:rsid w:val="00871CEE"/>
    <w:rsid w:val="00872334"/>
    <w:rsid w:val="00873039"/>
    <w:rsid w:val="008733FE"/>
    <w:rsid w:val="00873B9A"/>
    <w:rsid w:val="008756AE"/>
    <w:rsid w:val="00876AAD"/>
    <w:rsid w:val="008823A9"/>
    <w:rsid w:val="00883FAF"/>
    <w:rsid w:val="0088438B"/>
    <w:rsid w:val="0088511F"/>
    <w:rsid w:val="0088535E"/>
    <w:rsid w:val="00885679"/>
    <w:rsid w:val="00886E70"/>
    <w:rsid w:val="0088744A"/>
    <w:rsid w:val="0089071B"/>
    <w:rsid w:val="008915E0"/>
    <w:rsid w:val="0089194F"/>
    <w:rsid w:val="00892ABE"/>
    <w:rsid w:val="00894F03"/>
    <w:rsid w:val="0089538B"/>
    <w:rsid w:val="008A18A8"/>
    <w:rsid w:val="008A4146"/>
    <w:rsid w:val="008A49CC"/>
    <w:rsid w:val="008A5F47"/>
    <w:rsid w:val="008A6111"/>
    <w:rsid w:val="008B1935"/>
    <w:rsid w:val="008B1FFB"/>
    <w:rsid w:val="008B3CFD"/>
    <w:rsid w:val="008B4E78"/>
    <w:rsid w:val="008B5A4B"/>
    <w:rsid w:val="008C1B0C"/>
    <w:rsid w:val="008C2CB5"/>
    <w:rsid w:val="008C2DE1"/>
    <w:rsid w:val="008C3A08"/>
    <w:rsid w:val="008C6CB6"/>
    <w:rsid w:val="008D09F3"/>
    <w:rsid w:val="008D2C0F"/>
    <w:rsid w:val="008D374D"/>
    <w:rsid w:val="008D50B4"/>
    <w:rsid w:val="008D511F"/>
    <w:rsid w:val="008D54EF"/>
    <w:rsid w:val="008D562F"/>
    <w:rsid w:val="008D671A"/>
    <w:rsid w:val="008D6DA6"/>
    <w:rsid w:val="008E3033"/>
    <w:rsid w:val="008E4BD3"/>
    <w:rsid w:val="008E5978"/>
    <w:rsid w:val="008E67FA"/>
    <w:rsid w:val="008E717F"/>
    <w:rsid w:val="008E7742"/>
    <w:rsid w:val="008F07E0"/>
    <w:rsid w:val="008F1C09"/>
    <w:rsid w:val="008F3131"/>
    <w:rsid w:val="008F491A"/>
    <w:rsid w:val="008F7D59"/>
    <w:rsid w:val="008F7E21"/>
    <w:rsid w:val="009015A9"/>
    <w:rsid w:val="00905849"/>
    <w:rsid w:val="009064F1"/>
    <w:rsid w:val="00906910"/>
    <w:rsid w:val="00907B6E"/>
    <w:rsid w:val="00911AB8"/>
    <w:rsid w:val="00912E30"/>
    <w:rsid w:val="00914813"/>
    <w:rsid w:val="0091698E"/>
    <w:rsid w:val="009260EE"/>
    <w:rsid w:val="00926F6B"/>
    <w:rsid w:val="0092717C"/>
    <w:rsid w:val="00930D66"/>
    <w:rsid w:val="00933F8A"/>
    <w:rsid w:val="00942595"/>
    <w:rsid w:val="00943F53"/>
    <w:rsid w:val="0094493F"/>
    <w:rsid w:val="00945303"/>
    <w:rsid w:val="00946728"/>
    <w:rsid w:val="00947C1F"/>
    <w:rsid w:val="009507D5"/>
    <w:rsid w:val="009512B7"/>
    <w:rsid w:val="00952CF4"/>
    <w:rsid w:val="009539DD"/>
    <w:rsid w:val="00955E84"/>
    <w:rsid w:val="0095713E"/>
    <w:rsid w:val="00960A54"/>
    <w:rsid w:val="00965B2B"/>
    <w:rsid w:val="00966AB4"/>
    <w:rsid w:val="009672EE"/>
    <w:rsid w:val="00971CD8"/>
    <w:rsid w:val="009752C0"/>
    <w:rsid w:val="00982C83"/>
    <w:rsid w:val="009859BA"/>
    <w:rsid w:val="0098693E"/>
    <w:rsid w:val="00986E85"/>
    <w:rsid w:val="00993A12"/>
    <w:rsid w:val="00995BB8"/>
    <w:rsid w:val="009A1A3F"/>
    <w:rsid w:val="009A459A"/>
    <w:rsid w:val="009A5A51"/>
    <w:rsid w:val="009A78E8"/>
    <w:rsid w:val="009B349A"/>
    <w:rsid w:val="009B3947"/>
    <w:rsid w:val="009B3CBE"/>
    <w:rsid w:val="009B4504"/>
    <w:rsid w:val="009B4A3B"/>
    <w:rsid w:val="009B670E"/>
    <w:rsid w:val="009B6ADD"/>
    <w:rsid w:val="009C00BA"/>
    <w:rsid w:val="009C4572"/>
    <w:rsid w:val="009C6710"/>
    <w:rsid w:val="009C7065"/>
    <w:rsid w:val="009D48BD"/>
    <w:rsid w:val="009E10FB"/>
    <w:rsid w:val="009E2A51"/>
    <w:rsid w:val="009E3525"/>
    <w:rsid w:val="009E3F37"/>
    <w:rsid w:val="009E43D8"/>
    <w:rsid w:val="009F0E3D"/>
    <w:rsid w:val="009F5AEB"/>
    <w:rsid w:val="009F62A2"/>
    <w:rsid w:val="00A003E7"/>
    <w:rsid w:val="00A00F38"/>
    <w:rsid w:val="00A0188F"/>
    <w:rsid w:val="00A01CCB"/>
    <w:rsid w:val="00A0218E"/>
    <w:rsid w:val="00A036D6"/>
    <w:rsid w:val="00A038D6"/>
    <w:rsid w:val="00A053B3"/>
    <w:rsid w:val="00A078AB"/>
    <w:rsid w:val="00A123FE"/>
    <w:rsid w:val="00A129B0"/>
    <w:rsid w:val="00A13A86"/>
    <w:rsid w:val="00A14A62"/>
    <w:rsid w:val="00A152D4"/>
    <w:rsid w:val="00A160F4"/>
    <w:rsid w:val="00A200BC"/>
    <w:rsid w:val="00A222E7"/>
    <w:rsid w:val="00A22A63"/>
    <w:rsid w:val="00A23A2B"/>
    <w:rsid w:val="00A26FEA"/>
    <w:rsid w:val="00A30980"/>
    <w:rsid w:val="00A30BFC"/>
    <w:rsid w:val="00A30E6C"/>
    <w:rsid w:val="00A318E3"/>
    <w:rsid w:val="00A318E5"/>
    <w:rsid w:val="00A33E72"/>
    <w:rsid w:val="00A4098D"/>
    <w:rsid w:val="00A418F4"/>
    <w:rsid w:val="00A4211C"/>
    <w:rsid w:val="00A433D3"/>
    <w:rsid w:val="00A44D91"/>
    <w:rsid w:val="00A47570"/>
    <w:rsid w:val="00A5175A"/>
    <w:rsid w:val="00A51A06"/>
    <w:rsid w:val="00A51C37"/>
    <w:rsid w:val="00A526AB"/>
    <w:rsid w:val="00A529BA"/>
    <w:rsid w:val="00A53E41"/>
    <w:rsid w:val="00A55974"/>
    <w:rsid w:val="00A56098"/>
    <w:rsid w:val="00A56542"/>
    <w:rsid w:val="00A579E4"/>
    <w:rsid w:val="00A6180A"/>
    <w:rsid w:val="00A61D3B"/>
    <w:rsid w:val="00A63172"/>
    <w:rsid w:val="00A647CF"/>
    <w:rsid w:val="00A648E5"/>
    <w:rsid w:val="00A64F29"/>
    <w:rsid w:val="00A66B6C"/>
    <w:rsid w:val="00A67876"/>
    <w:rsid w:val="00A67A61"/>
    <w:rsid w:val="00A707E6"/>
    <w:rsid w:val="00A70FFC"/>
    <w:rsid w:val="00A7403E"/>
    <w:rsid w:val="00A76695"/>
    <w:rsid w:val="00A76BDC"/>
    <w:rsid w:val="00A772BA"/>
    <w:rsid w:val="00A77544"/>
    <w:rsid w:val="00A7764C"/>
    <w:rsid w:val="00A83D1E"/>
    <w:rsid w:val="00A864CD"/>
    <w:rsid w:val="00A86BB7"/>
    <w:rsid w:val="00A90A2A"/>
    <w:rsid w:val="00A91724"/>
    <w:rsid w:val="00A9462F"/>
    <w:rsid w:val="00A95D04"/>
    <w:rsid w:val="00A95D14"/>
    <w:rsid w:val="00A975B3"/>
    <w:rsid w:val="00AA0045"/>
    <w:rsid w:val="00AA05BA"/>
    <w:rsid w:val="00AA0BB3"/>
    <w:rsid w:val="00AA2FC1"/>
    <w:rsid w:val="00AA52B3"/>
    <w:rsid w:val="00AA5983"/>
    <w:rsid w:val="00AB016E"/>
    <w:rsid w:val="00AB04D3"/>
    <w:rsid w:val="00AB2683"/>
    <w:rsid w:val="00AB2AFE"/>
    <w:rsid w:val="00AB2BFB"/>
    <w:rsid w:val="00AB55BE"/>
    <w:rsid w:val="00AB6564"/>
    <w:rsid w:val="00AC02E1"/>
    <w:rsid w:val="00AC3511"/>
    <w:rsid w:val="00AC4697"/>
    <w:rsid w:val="00AC50FD"/>
    <w:rsid w:val="00AC77A1"/>
    <w:rsid w:val="00AC7A6B"/>
    <w:rsid w:val="00AD18EC"/>
    <w:rsid w:val="00AD234B"/>
    <w:rsid w:val="00AD62FA"/>
    <w:rsid w:val="00AD663A"/>
    <w:rsid w:val="00AD6E8B"/>
    <w:rsid w:val="00AD76DA"/>
    <w:rsid w:val="00AE01BB"/>
    <w:rsid w:val="00AE1CA8"/>
    <w:rsid w:val="00AE2FF4"/>
    <w:rsid w:val="00AE44F9"/>
    <w:rsid w:val="00AE4E08"/>
    <w:rsid w:val="00AE5474"/>
    <w:rsid w:val="00AE754E"/>
    <w:rsid w:val="00AE78B2"/>
    <w:rsid w:val="00AF1128"/>
    <w:rsid w:val="00AF50B8"/>
    <w:rsid w:val="00AF640B"/>
    <w:rsid w:val="00AF7F97"/>
    <w:rsid w:val="00B00C2C"/>
    <w:rsid w:val="00B00E54"/>
    <w:rsid w:val="00B0161E"/>
    <w:rsid w:val="00B03DFD"/>
    <w:rsid w:val="00B04C25"/>
    <w:rsid w:val="00B0518E"/>
    <w:rsid w:val="00B054FF"/>
    <w:rsid w:val="00B06027"/>
    <w:rsid w:val="00B100F9"/>
    <w:rsid w:val="00B131FC"/>
    <w:rsid w:val="00B13E5D"/>
    <w:rsid w:val="00B14CA6"/>
    <w:rsid w:val="00B1618C"/>
    <w:rsid w:val="00B17285"/>
    <w:rsid w:val="00B1738B"/>
    <w:rsid w:val="00B22D27"/>
    <w:rsid w:val="00B23FD4"/>
    <w:rsid w:val="00B246A2"/>
    <w:rsid w:val="00B25D6E"/>
    <w:rsid w:val="00B262DC"/>
    <w:rsid w:val="00B27796"/>
    <w:rsid w:val="00B27CE6"/>
    <w:rsid w:val="00B3012B"/>
    <w:rsid w:val="00B30162"/>
    <w:rsid w:val="00B3394C"/>
    <w:rsid w:val="00B406F0"/>
    <w:rsid w:val="00B4215C"/>
    <w:rsid w:val="00B42631"/>
    <w:rsid w:val="00B42836"/>
    <w:rsid w:val="00B469CB"/>
    <w:rsid w:val="00B47163"/>
    <w:rsid w:val="00B5267B"/>
    <w:rsid w:val="00B542F1"/>
    <w:rsid w:val="00B555CD"/>
    <w:rsid w:val="00B5571B"/>
    <w:rsid w:val="00B56E56"/>
    <w:rsid w:val="00B57831"/>
    <w:rsid w:val="00B61C1E"/>
    <w:rsid w:val="00B639C8"/>
    <w:rsid w:val="00B67451"/>
    <w:rsid w:val="00B709F7"/>
    <w:rsid w:val="00B70AF6"/>
    <w:rsid w:val="00B7266F"/>
    <w:rsid w:val="00B72DBD"/>
    <w:rsid w:val="00B74623"/>
    <w:rsid w:val="00B75142"/>
    <w:rsid w:val="00B76529"/>
    <w:rsid w:val="00B77705"/>
    <w:rsid w:val="00B868FA"/>
    <w:rsid w:val="00B87238"/>
    <w:rsid w:val="00B8751A"/>
    <w:rsid w:val="00B90110"/>
    <w:rsid w:val="00B90242"/>
    <w:rsid w:val="00B910CF"/>
    <w:rsid w:val="00B916F9"/>
    <w:rsid w:val="00B92E72"/>
    <w:rsid w:val="00B937C3"/>
    <w:rsid w:val="00B9688A"/>
    <w:rsid w:val="00B97A37"/>
    <w:rsid w:val="00B97C31"/>
    <w:rsid w:val="00BA390F"/>
    <w:rsid w:val="00BA4925"/>
    <w:rsid w:val="00BA508F"/>
    <w:rsid w:val="00BA6408"/>
    <w:rsid w:val="00BB0FE2"/>
    <w:rsid w:val="00BB10E8"/>
    <w:rsid w:val="00BB1D24"/>
    <w:rsid w:val="00BB3B8F"/>
    <w:rsid w:val="00BB4DE2"/>
    <w:rsid w:val="00BB5F69"/>
    <w:rsid w:val="00BB6B8D"/>
    <w:rsid w:val="00BC2251"/>
    <w:rsid w:val="00BC3A91"/>
    <w:rsid w:val="00BC4533"/>
    <w:rsid w:val="00BD236C"/>
    <w:rsid w:val="00BD3A80"/>
    <w:rsid w:val="00BD5A70"/>
    <w:rsid w:val="00BD5DB3"/>
    <w:rsid w:val="00BE13E5"/>
    <w:rsid w:val="00BE249E"/>
    <w:rsid w:val="00BE397C"/>
    <w:rsid w:val="00BE6F3F"/>
    <w:rsid w:val="00BF0E02"/>
    <w:rsid w:val="00BF1E94"/>
    <w:rsid w:val="00BF2E4E"/>
    <w:rsid w:val="00BF35C8"/>
    <w:rsid w:val="00BF3716"/>
    <w:rsid w:val="00BF627F"/>
    <w:rsid w:val="00BF6505"/>
    <w:rsid w:val="00BF785E"/>
    <w:rsid w:val="00BF7C5C"/>
    <w:rsid w:val="00C01CB0"/>
    <w:rsid w:val="00C031E5"/>
    <w:rsid w:val="00C05D3C"/>
    <w:rsid w:val="00C117D3"/>
    <w:rsid w:val="00C11B8D"/>
    <w:rsid w:val="00C120E0"/>
    <w:rsid w:val="00C146DD"/>
    <w:rsid w:val="00C1471D"/>
    <w:rsid w:val="00C14D66"/>
    <w:rsid w:val="00C207EE"/>
    <w:rsid w:val="00C22776"/>
    <w:rsid w:val="00C22A86"/>
    <w:rsid w:val="00C247C9"/>
    <w:rsid w:val="00C25206"/>
    <w:rsid w:val="00C259B5"/>
    <w:rsid w:val="00C269FD"/>
    <w:rsid w:val="00C26BD9"/>
    <w:rsid w:val="00C2789C"/>
    <w:rsid w:val="00C31CCD"/>
    <w:rsid w:val="00C33C30"/>
    <w:rsid w:val="00C35727"/>
    <w:rsid w:val="00C432B5"/>
    <w:rsid w:val="00C43DBA"/>
    <w:rsid w:val="00C45385"/>
    <w:rsid w:val="00C46B47"/>
    <w:rsid w:val="00C478B5"/>
    <w:rsid w:val="00C50B96"/>
    <w:rsid w:val="00C5167B"/>
    <w:rsid w:val="00C52567"/>
    <w:rsid w:val="00C5632C"/>
    <w:rsid w:val="00C56BAE"/>
    <w:rsid w:val="00C574AB"/>
    <w:rsid w:val="00C57709"/>
    <w:rsid w:val="00C57EF2"/>
    <w:rsid w:val="00C60FBF"/>
    <w:rsid w:val="00C6499E"/>
    <w:rsid w:val="00C65A31"/>
    <w:rsid w:val="00C66B79"/>
    <w:rsid w:val="00C70B2D"/>
    <w:rsid w:val="00C70D40"/>
    <w:rsid w:val="00C76BB1"/>
    <w:rsid w:val="00C81037"/>
    <w:rsid w:val="00C8199A"/>
    <w:rsid w:val="00C83B2E"/>
    <w:rsid w:val="00C846E1"/>
    <w:rsid w:val="00C86190"/>
    <w:rsid w:val="00C9026C"/>
    <w:rsid w:val="00C91522"/>
    <w:rsid w:val="00C91E40"/>
    <w:rsid w:val="00C95133"/>
    <w:rsid w:val="00C95261"/>
    <w:rsid w:val="00CA03CA"/>
    <w:rsid w:val="00CA16E9"/>
    <w:rsid w:val="00CA2C17"/>
    <w:rsid w:val="00CA34D4"/>
    <w:rsid w:val="00CA5451"/>
    <w:rsid w:val="00CA69E3"/>
    <w:rsid w:val="00CB0D68"/>
    <w:rsid w:val="00CB1D01"/>
    <w:rsid w:val="00CB3409"/>
    <w:rsid w:val="00CB3D1A"/>
    <w:rsid w:val="00CB43C4"/>
    <w:rsid w:val="00CC01C3"/>
    <w:rsid w:val="00CC04BE"/>
    <w:rsid w:val="00CC066E"/>
    <w:rsid w:val="00CC1905"/>
    <w:rsid w:val="00CC1954"/>
    <w:rsid w:val="00CC4631"/>
    <w:rsid w:val="00CD0DE1"/>
    <w:rsid w:val="00CD13E8"/>
    <w:rsid w:val="00CD1ACE"/>
    <w:rsid w:val="00CD2D4A"/>
    <w:rsid w:val="00CD52E2"/>
    <w:rsid w:val="00CD74B9"/>
    <w:rsid w:val="00CE2934"/>
    <w:rsid w:val="00CE4072"/>
    <w:rsid w:val="00CE5CE2"/>
    <w:rsid w:val="00CE66C3"/>
    <w:rsid w:val="00CF14BC"/>
    <w:rsid w:val="00CF21EB"/>
    <w:rsid w:val="00CF2A41"/>
    <w:rsid w:val="00CF2B7B"/>
    <w:rsid w:val="00CF42F5"/>
    <w:rsid w:val="00CF499B"/>
    <w:rsid w:val="00CF7112"/>
    <w:rsid w:val="00D00819"/>
    <w:rsid w:val="00D02F65"/>
    <w:rsid w:val="00D05C51"/>
    <w:rsid w:val="00D05D3A"/>
    <w:rsid w:val="00D072C5"/>
    <w:rsid w:val="00D07A13"/>
    <w:rsid w:val="00D104B8"/>
    <w:rsid w:val="00D1360B"/>
    <w:rsid w:val="00D1479E"/>
    <w:rsid w:val="00D15578"/>
    <w:rsid w:val="00D20CD9"/>
    <w:rsid w:val="00D2502A"/>
    <w:rsid w:val="00D25579"/>
    <w:rsid w:val="00D31776"/>
    <w:rsid w:val="00D3240C"/>
    <w:rsid w:val="00D32616"/>
    <w:rsid w:val="00D33288"/>
    <w:rsid w:val="00D3386D"/>
    <w:rsid w:val="00D3471D"/>
    <w:rsid w:val="00D45554"/>
    <w:rsid w:val="00D51101"/>
    <w:rsid w:val="00D54112"/>
    <w:rsid w:val="00D54817"/>
    <w:rsid w:val="00D55370"/>
    <w:rsid w:val="00D572D4"/>
    <w:rsid w:val="00D61329"/>
    <w:rsid w:val="00D62007"/>
    <w:rsid w:val="00D64242"/>
    <w:rsid w:val="00D6447C"/>
    <w:rsid w:val="00D65D54"/>
    <w:rsid w:val="00D65E47"/>
    <w:rsid w:val="00D672CE"/>
    <w:rsid w:val="00D70592"/>
    <w:rsid w:val="00D72087"/>
    <w:rsid w:val="00D7213F"/>
    <w:rsid w:val="00D72C64"/>
    <w:rsid w:val="00D73BE8"/>
    <w:rsid w:val="00D76B64"/>
    <w:rsid w:val="00D77D8A"/>
    <w:rsid w:val="00D801EC"/>
    <w:rsid w:val="00D82418"/>
    <w:rsid w:val="00D840F8"/>
    <w:rsid w:val="00D86718"/>
    <w:rsid w:val="00D86BF9"/>
    <w:rsid w:val="00D87F83"/>
    <w:rsid w:val="00D9176B"/>
    <w:rsid w:val="00D97034"/>
    <w:rsid w:val="00D97481"/>
    <w:rsid w:val="00DA123E"/>
    <w:rsid w:val="00DA126A"/>
    <w:rsid w:val="00DA174B"/>
    <w:rsid w:val="00DA1F36"/>
    <w:rsid w:val="00DA4184"/>
    <w:rsid w:val="00DA4555"/>
    <w:rsid w:val="00DB0429"/>
    <w:rsid w:val="00DB094D"/>
    <w:rsid w:val="00DB11A0"/>
    <w:rsid w:val="00DB1B02"/>
    <w:rsid w:val="00DB2083"/>
    <w:rsid w:val="00DB5135"/>
    <w:rsid w:val="00DB5DCE"/>
    <w:rsid w:val="00DB62CF"/>
    <w:rsid w:val="00DB6F69"/>
    <w:rsid w:val="00DB726C"/>
    <w:rsid w:val="00DB7EE7"/>
    <w:rsid w:val="00DC05E6"/>
    <w:rsid w:val="00DC5CAC"/>
    <w:rsid w:val="00DC62A2"/>
    <w:rsid w:val="00DC6CB7"/>
    <w:rsid w:val="00DC7032"/>
    <w:rsid w:val="00DC723C"/>
    <w:rsid w:val="00DD0A04"/>
    <w:rsid w:val="00DD31DC"/>
    <w:rsid w:val="00DD3813"/>
    <w:rsid w:val="00DD4DDF"/>
    <w:rsid w:val="00DD68B9"/>
    <w:rsid w:val="00DD6F8C"/>
    <w:rsid w:val="00DD7816"/>
    <w:rsid w:val="00DE161A"/>
    <w:rsid w:val="00DE2270"/>
    <w:rsid w:val="00DE264F"/>
    <w:rsid w:val="00DE45BB"/>
    <w:rsid w:val="00DE5484"/>
    <w:rsid w:val="00DE65A9"/>
    <w:rsid w:val="00DE7839"/>
    <w:rsid w:val="00DE7AB7"/>
    <w:rsid w:val="00DF011A"/>
    <w:rsid w:val="00DF40EF"/>
    <w:rsid w:val="00DF4A96"/>
    <w:rsid w:val="00DF64F2"/>
    <w:rsid w:val="00DF68BD"/>
    <w:rsid w:val="00DF6E71"/>
    <w:rsid w:val="00DF7290"/>
    <w:rsid w:val="00DF73EA"/>
    <w:rsid w:val="00DF755C"/>
    <w:rsid w:val="00DF7752"/>
    <w:rsid w:val="00E0052D"/>
    <w:rsid w:val="00E0071D"/>
    <w:rsid w:val="00E008F8"/>
    <w:rsid w:val="00E020A1"/>
    <w:rsid w:val="00E02B3C"/>
    <w:rsid w:val="00E02DF7"/>
    <w:rsid w:val="00E03511"/>
    <w:rsid w:val="00E03FF9"/>
    <w:rsid w:val="00E05625"/>
    <w:rsid w:val="00E05EDB"/>
    <w:rsid w:val="00E07CFB"/>
    <w:rsid w:val="00E10FD8"/>
    <w:rsid w:val="00E15AFF"/>
    <w:rsid w:val="00E162B4"/>
    <w:rsid w:val="00E16512"/>
    <w:rsid w:val="00E171CB"/>
    <w:rsid w:val="00E202D7"/>
    <w:rsid w:val="00E20FAF"/>
    <w:rsid w:val="00E26740"/>
    <w:rsid w:val="00E27C23"/>
    <w:rsid w:val="00E30204"/>
    <w:rsid w:val="00E352F7"/>
    <w:rsid w:val="00E422FF"/>
    <w:rsid w:val="00E42538"/>
    <w:rsid w:val="00E42684"/>
    <w:rsid w:val="00E42C61"/>
    <w:rsid w:val="00E432C8"/>
    <w:rsid w:val="00E44082"/>
    <w:rsid w:val="00E449FB"/>
    <w:rsid w:val="00E45A84"/>
    <w:rsid w:val="00E47583"/>
    <w:rsid w:val="00E47A6F"/>
    <w:rsid w:val="00E505F7"/>
    <w:rsid w:val="00E5096B"/>
    <w:rsid w:val="00E519EC"/>
    <w:rsid w:val="00E531CE"/>
    <w:rsid w:val="00E53FAB"/>
    <w:rsid w:val="00E55F17"/>
    <w:rsid w:val="00E57016"/>
    <w:rsid w:val="00E57523"/>
    <w:rsid w:val="00E6088B"/>
    <w:rsid w:val="00E60EF9"/>
    <w:rsid w:val="00E63031"/>
    <w:rsid w:val="00E638FF"/>
    <w:rsid w:val="00E64F18"/>
    <w:rsid w:val="00E67D00"/>
    <w:rsid w:val="00E67F69"/>
    <w:rsid w:val="00E70629"/>
    <w:rsid w:val="00E70FA3"/>
    <w:rsid w:val="00E726F1"/>
    <w:rsid w:val="00E737B5"/>
    <w:rsid w:val="00E74632"/>
    <w:rsid w:val="00E77491"/>
    <w:rsid w:val="00E81067"/>
    <w:rsid w:val="00E815A7"/>
    <w:rsid w:val="00E81B32"/>
    <w:rsid w:val="00E82B3C"/>
    <w:rsid w:val="00E83EAC"/>
    <w:rsid w:val="00E8427F"/>
    <w:rsid w:val="00E84D56"/>
    <w:rsid w:val="00E90857"/>
    <w:rsid w:val="00E90A2B"/>
    <w:rsid w:val="00E91141"/>
    <w:rsid w:val="00E9153F"/>
    <w:rsid w:val="00E9164D"/>
    <w:rsid w:val="00E921DD"/>
    <w:rsid w:val="00E92C84"/>
    <w:rsid w:val="00E95B10"/>
    <w:rsid w:val="00E961CD"/>
    <w:rsid w:val="00E963B2"/>
    <w:rsid w:val="00E963FB"/>
    <w:rsid w:val="00EA0922"/>
    <w:rsid w:val="00EA1FD0"/>
    <w:rsid w:val="00EA3B82"/>
    <w:rsid w:val="00EA4123"/>
    <w:rsid w:val="00EA6109"/>
    <w:rsid w:val="00EB11E4"/>
    <w:rsid w:val="00EB1E56"/>
    <w:rsid w:val="00EB2555"/>
    <w:rsid w:val="00EB34A3"/>
    <w:rsid w:val="00EB4629"/>
    <w:rsid w:val="00EB7BA0"/>
    <w:rsid w:val="00EC29A5"/>
    <w:rsid w:val="00EC330E"/>
    <w:rsid w:val="00EC37CC"/>
    <w:rsid w:val="00EC441A"/>
    <w:rsid w:val="00EC6EDE"/>
    <w:rsid w:val="00EC7067"/>
    <w:rsid w:val="00ED0BB0"/>
    <w:rsid w:val="00ED2D73"/>
    <w:rsid w:val="00ED4723"/>
    <w:rsid w:val="00ED4913"/>
    <w:rsid w:val="00ED50D4"/>
    <w:rsid w:val="00ED6380"/>
    <w:rsid w:val="00EE1EAD"/>
    <w:rsid w:val="00EE3DFD"/>
    <w:rsid w:val="00EE7165"/>
    <w:rsid w:val="00EF07FA"/>
    <w:rsid w:val="00EF19A8"/>
    <w:rsid w:val="00EF19F4"/>
    <w:rsid w:val="00EF32C4"/>
    <w:rsid w:val="00EF3A00"/>
    <w:rsid w:val="00EF47C5"/>
    <w:rsid w:val="00EF7616"/>
    <w:rsid w:val="00F01167"/>
    <w:rsid w:val="00F02338"/>
    <w:rsid w:val="00F02862"/>
    <w:rsid w:val="00F029C2"/>
    <w:rsid w:val="00F02D07"/>
    <w:rsid w:val="00F031F2"/>
    <w:rsid w:val="00F039A0"/>
    <w:rsid w:val="00F05C53"/>
    <w:rsid w:val="00F06A24"/>
    <w:rsid w:val="00F10BAC"/>
    <w:rsid w:val="00F1287D"/>
    <w:rsid w:val="00F12D0C"/>
    <w:rsid w:val="00F169FF"/>
    <w:rsid w:val="00F20E84"/>
    <w:rsid w:val="00F2226B"/>
    <w:rsid w:val="00F227FA"/>
    <w:rsid w:val="00F23236"/>
    <w:rsid w:val="00F2403E"/>
    <w:rsid w:val="00F24D16"/>
    <w:rsid w:val="00F26BC1"/>
    <w:rsid w:val="00F27E13"/>
    <w:rsid w:val="00F31BFF"/>
    <w:rsid w:val="00F41303"/>
    <w:rsid w:val="00F424B6"/>
    <w:rsid w:val="00F42EE2"/>
    <w:rsid w:val="00F442AA"/>
    <w:rsid w:val="00F44D89"/>
    <w:rsid w:val="00F4642D"/>
    <w:rsid w:val="00F52EC1"/>
    <w:rsid w:val="00F53C8F"/>
    <w:rsid w:val="00F54B73"/>
    <w:rsid w:val="00F57262"/>
    <w:rsid w:val="00F6317B"/>
    <w:rsid w:val="00F63314"/>
    <w:rsid w:val="00F63472"/>
    <w:rsid w:val="00F63CF4"/>
    <w:rsid w:val="00F703DC"/>
    <w:rsid w:val="00F70609"/>
    <w:rsid w:val="00F719AE"/>
    <w:rsid w:val="00F74477"/>
    <w:rsid w:val="00F744B5"/>
    <w:rsid w:val="00F747F2"/>
    <w:rsid w:val="00F76036"/>
    <w:rsid w:val="00F827CA"/>
    <w:rsid w:val="00F835E7"/>
    <w:rsid w:val="00F84639"/>
    <w:rsid w:val="00F87AD6"/>
    <w:rsid w:val="00F9290D"/>
    <w:rsid w:val="00FA0847"/>
    <w:rsid w:val="00FA0FFC"/>
    <w:rsid w:val="00FA7463"/>
    <w:rsid w:val="00FA7A2D"/>
    <w:rsid w:val="00FB2B48"/>
    <w:rsid w:val="00FB2D73"/>
    <w:rsid w:val="00FB3D67"/>
    <w:rsid w:val="00FB5A67"/>
    <w:rsid w:val="00FB5D1E"/>
    <w:rsid w:val="00FC06F4"/>
    <w:rsid w:val="00FC1060"/>
    <w:rsid w:val="00FC1CB9"/>
    <w:rsid w:val="00FC20CE"/>
    <w:rsid w:val="00FC266F"/>
    <w:rsid w:val="00FC3A1C"/>
    <w:rsid w:val="00FC4135"/>
    <w:rsid w:val="00FC59ED"/>
    <w:rsid w:val="00FD0F6F"/>
    <w:rsid w:val="00FD223B"/>
    <w:rsid w:val="00FD4566"/>
    <w:rsid w:val="00FD4A09"/>
    <w:rsid w:val="00FD5458"/>
    <w:rsid w:val="00FD6E4F"/>
    <w:rsid w:val="00FE2841"/>
    <w:rsid w:val="00FE31EA"/>
    <w:rsid w:val="00FE513B"/>
    <w:rsid w:val="00FE62F8"/>
    <w:rsid w:val="00FF08AC"/>
    <w:rsid w:val="00FF36E4"/>
    <w:rsid w:val="00FF39DF"/>
    <w:rsid w:val="00FF51C3"/>
    <w:rsid w:val="00FF5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6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MS Mincho" w:hAnsi="Segoe UI" w:cs="Times New Roman"/>
        <w:color w:val="232323"/>
        <w:sz w:val="24"/>
        <w:szCs w:val="24"/>
        <w:lang w:val="cs-CZ" w:eastAsia="en-US" w:bidi="ar-SA"/>
      </w:rPr>
    </w:rPrDefault>
    <w:pPrDefault>
      <w:pPr>
        <w:spacing w:line="276" w:lineRule="auto"/>
      </w:pPr>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8118FC"/>
  </w:style>
  <w:style w:type="paragraph" w:styleId="Heading1">
    <w:name w:val="heading 1"/>
    <w:basedOn w:val="Normal"/>
    <w:next w:val="Normal"/>
    <w:link w:val="Heading1Char"/>
    <w:uiPriority w:val="9"/>
    <w:locked/>
    <w:rsid w:val="006731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777F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77F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777F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777F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77F9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77F9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77F93"/>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777F93"/>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9859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BA"/>
    <w:rPr>
      <w:rFonts w:ascii="Tahoma" w:hAnsi="Tahoma" w:cs="Tahoma"/>
      <w:sz w:val="16"/>
      <w:szCs w:val="16"/>
    </w:rPr>
  </w:style>
  <w:style w:type="table" w:styleId="TableGrid">
    <w:name w:val="Table Grid"/>
    <w:basedOn w:val="TableNormal"/>
    <w:uiPriority w:val="59"/>
    <w:locked/>
    <w:rsid w:val="00985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Nadpisdokumentu">
    <w:name w:val="GS: Nadpis dokumentu"/>
    <w:basedOn w:val="Heading1"/>
    <w:autoRedefine/>
    <w:locked/>
    <w:rsid w:val="0067317A"/>
    <w:pPr>
      <w:spacing w:line="240" w:lineRule="auto"/>
      <w:outlineLvl w:val="9"/>
    </w:pPr>
    <w:rPr>
      <w:rFonts w:ascii="Arial" w:hAnsi="Arial" w:cs="Arial"/>
      <w:color w:val="000000" w:themeColor="text1"/>
      <w:spacing w:val="1"/>
      <w:w w:val="37"/>
      <w:sz w:val="40"/>
      <w:szCs w:val="40"/>
    </w:rPr>
  </w:style>
  <w:style w:type="paragraph" w:customStyle="1" w:styleId="GSNadpisnabdky">
    <w:name w:val="GS: Nadpis nabídky"/>
    <w:basedOn w:val="Heading1"/>
    <w:rsid w:val="00EE7165"/>
    <w:pPr>
      <w:spacing w:before="600" w:after="600" w:line="240" w:lineRule="auto"/>
      <w:outlineLvl w:val="9"/>
    </w:pPr>
    <w:rPr>
      <w:rFonts w:ascii="Segoe UI" w:hAnsi="Segoe UI"/>
      <w:color w:val="232323"/>
      <w:sz w:val="48"/>
    </w:rPr>
  </w:style>
  <w:style w:type="character" w:customStyle="1" w:styleId="Heading1Char">
    <w:name w:val="Heading 1 Char"/>
    <w:basedOn w:val="DefaultParagraphFont"/>
    <w:link w:val="Heading1"/>
    <w:uiPriority w:val="9"/>
    <w:rsid w:val="0067317A"/>
    <w:rPr>
      <w:rFonts w:asciiTheme="majorHAnsi" w:eastAsiaTheme="majorEastAsia" w:hAnsiTheme="majorHAnsi" w:cstheme="majorBidi"/>
      <w:b/>
      <w:bCs/>
      <w:color w:val="365F91" w:themeColor="accent1" w:themeShade="BF"/>
      <w:sz w:val="28"/>
      <w:szCs w:val="28"/>
    </w:rPr>
  </w:style>
  <w:style w:type="paragraph" w:customStyle="1" w:styleId="GSIntro-Nadpis">
    <w:name w:val="GS: Intro - Nadpis"/>
    <w:basedOn w:val="Normal"/>
    <w:next w:val="Heading1"/>
    <w:locked/>
    <w:rsid w:val="00EE7165"/>
    <w:pPr>
      <w:spacing w:after="120" w:line="240" w:lineRule="auto"/>
    </w:pPr>
    <w:rPr>
      <w:sz w:val="48"/>
    </w:rPr>
  </w:style>
  <w:style w:type="paragraph" w:customStyle="1" w:styleId="GSIntro-Podnadpis">
    <w:name w:val="GS: Intro - Podnadpis"/>
    <w:basedOn w:val="Heading1"/>
    <w:locked/>
    <w:rsid w:val="00EE7165"/>
    <w:pPr>
      <w:spacing w:before="0" w:after="300" w:line="240" w:lineRule="auto"/>
      <w:outlineLvl w:val="1"/>
    </w:pPr>
    <w:rPr>
      <w:rFonts w:ascii="Segoe UI" w:hAnsi="Segoe UI"/>
      <w:b w:val="0"/>
      <w:color w:val="FF0000"/>
      <w:sz w:val="36"/>
    </w:rPr>
  </w:style>
  <w:style w:type="paragraph" w:customStyle="1" w:styleId="GSIntro-Oddlovanadpisu">
    <w:name w:val="GS: Intro - Oddělovač nadpisu"/>
    <w:basedOn w:val="GSIntro-Nadpis"/>
    <w:next w:val="GSIntro-Podnadpis"/>
    <w:qFormat/>
    <w:locked/>
    <w:rsid w:val="008164EA"/>
    <w:pPr>
      <w:spacing w:after="400"/>
    </w:pPr>
    <w:rPr>
      <w:sz w:val="2"/>
    </w:rPr>
  </w:style>
  <w:style w:type="paragraph" w:customStyle="1" w:styleId="GSIntro-Abstrakt">
    <w:name w:val="GS: Intro - Abstrakt"/>
    <w:basedOn w:val="Normal"/>
    <w:qFormat/>
    <w:locked/>
    <w:rsid w:val="008164EA"/>
    <w:pPr>
      <w:spacing w:after="480" w:line="264" w:lineRule="auto"/>
    </w:pPr>
    <w:rPr>
      <w:sz w:val="20"/>
    </w:rPr>
  </w:style>
  <w:style w:type="paragraph" w:customStyle="1" w:styleId="GSIntro-Nadpistabulky">
    <w:name w:val="GS: Intro - Nadpis tabulky"/>
    <w:locked/>
    <w:rsid w:val="00EE7165"/>
    <w:pPr>
      <w:spacing w:before="40" w:after="40" w:line="240" w:lineRule="auto"/>
    </w:pPr>
    <w:rPr>
      <w:b/>
      <w:sz w:val="22"/>
    </w:rPr>
  </w:style>
  <w:style w:type="paragraph" w:customStyle="1" w:styleId="GSIntro-Obsahtabulky">
    <w:name w:val="GS: Intro - Obsah tabulky"/>
    <w:locked/>
    <w:rsid w:val="00EE7165"/>
    <w:pPr>
      <w:spacing w:before="40" w:after="40" w:line="240" w:lineRule="auto"/>
    </w:pPr>
    <w:rPr>
      <w:sz w:val="22"/>
    </w:rPr>
  </w:style>
  <w:style w:type="paragraph" w:customStyle="1" w:styleId="GSIntro-Oddlovavtabulce">
    <w:name w:val="GS: Intro - Oddělovač v tabulce"/>
    <w:locked/>
    <w:rsid w:val="00873B9A"/>
    <w:pPr>
      <w:spacing w:before="300" w:after="300" w:line="240" w:lineRule="auto"/>
    </w:pPr>
    <w:rPr>
      <w:sz w:val="2"/>
      <w:szCs w:val="2"/>
    </w:rPr>
  </w:style>
  <w:style w:type="paragraph" w:styleId="Header">
    <w:name w:val="header"/>
    <w:basedOn w:val="Normal"/>
    <w:link w:val="HeaderChar"/>
    <w:uiPriority w:val="99"/>
    <w:unhideWhenUsed/>
    <w:locked/>
    <w:rsid w:val="00A0188F"/>
    <w:pPr>
      <w:tabs>
        <w:tab w:val="center" w:pos="4513"/>
        <w:tab w:val="right" w:pos="9026"/>
      </w:tabs>
      <w:spacing w:line="240" w:lineRule="auto"/>
    </w:pPr>
  </w:style>
  <w:style w:type="character" w:customStyle="1" w:styleId="HeaderChar">
    <w:name w:val="Header Char"/>
    <w:basedOn w:val="DefaultParagraphFont"/>
    <w:link w:val="Header"/>
    <w:uiPriority w:val="99"/>
    <w:rsid w:val="00A0188F"/>
  </w:style>
  <w:style w:type="paragraph" w:styleId="Footer">
    <w:name w:val="footer"/>
    <w:basedOn w:val="Normal"/>
    <w:link w:val="FooterChar"/>
    <w:uiPriority w:val="99"/>
    <w:unhideWhenUsed/>
    <w:locked/>
    <w:rsid w:val="00A0188F"/>
    <w:pPr>
      <w:tabs>
        <w:tab w:val="center" w:pos="4513"/>
        <w:tab w:val="right" w:pos="9026"/>
      </w:tabs>
      <w:spacing w:line="240" w:lineRule="auto"/>
    </w:pPr>
  </w:style>
  <w:style w:type="character" w:customStyle="1" w:styleId="FooterChar">
    <w:name w:val="Footer Char"/>
    <w:basedOn w:val="DefaultParagraphFont"/>
    <w:link w:val="Footer"/>
    <w:uiPriority w:val="99"/>
    <w:rsid w:val="00A0188F"/>
  </w:style>
  <w:style w:type="paragraph" w:customStyle="1" w:styleId="GSTextzpat">
    <w:name w:val="GS: Text zápatí"/>
    <w:basedOn w:val="Footer"/>
    <w:locked/>
    <w:rsid w:val="00A0188F"/>
    <w:pPr>
      <w:spacing w:before="240" w:after="240"/>
    </w:pPr>
    <w:rPr>
      <w:rFonts w:ascii="Arial" w:hAnsi="Arial"/>
      <w:caps/>
      <w:color w:val="808080" w:themeColor="background1" w:themeShade="80"/>
    </w:rPr>
  </w:style>
  <w:style w:type="character" w:styleId="PlaceholderText">
    <w:name w:val="Placeholder Text"/>
    <w:basedOn w:val="DefaultParagraphFont"/>
    <w:uiPriority w:val="99"/>
    <w:semiHidden/>
    <w:locked/>
    <w:rsid w:val="00E82B3C"/>
    <w:rPr>
      <w:color w:val="808080"/>
    </w:rPr>
  </w:style>
  <w:style w:type="paragraph" w:customStyle="1" w:styleId="GSIntro-Upozornn">
    <w:name w:val="GS: Intro - Upozornění"/>
    <w:basedOn w:val="Normal"/>
    <w:qFormat/>
    <w:locked/>
    <w:rsid w:val="008164EA"/>
    <w:pPr>
      <w:spacing w:line="264" w:lineRule="auto"/>
      <w:jc w:val="both"/>
    </w:pPr>
    <w:rPr>
      <w:i/>
      <w:color w:val="6D6D6D"/>
      <w:sz w:val="20"/>
    </w:rPr>
  </w:style>
  <w:style w:type="paragraph" w:customStyle="1" w:styleId="GSIntro-Obsahtabulky-odkaz">
    <w:name w:val="GS: Intro - Obsah tabulky - odkaz"/>
    <w:basedOn w:val="GSIntro-Obsahtabulky"/>
    <w:locked/>
    <w:rsid w:val="00873B9A"/>
    <w:rPr>
      <w:color w:val="EE1D23"/>
      <w:lang w:val="en-US"/>
    </w:rPr>
  </w:style>
  <w:style w:type="paragraph" w:customStyle="1" w:styleId="GSIntro-Abstrakt-Italika">
    <w:name w:val="GS: Intro - Abstrakt - Italika"/>
    <w:basedOn w:val="GSIntro-Abstrakt"/>
    <w:locked/>
    <w:rsid w:val="00EF3A00"/>
    <w:rPr>
      <w:i/>
    </w:rPr>
  </w:style>
  <w:style w:type="paragraph" w:customStyle="1" w:styleId="GSPromo-Nadpis">
    <w:name w:val="GS: Promo - Nadpis"/>
    <w:next w:val="Normal"/>
    <w:rsid w:val="00555105"/>
    <w:pPr>
      <w:spacing w:after="240" w:line="240" w:lineRule="auto"/>
    </w:pPr>
    <w:rPr>
      <w:b/>
      <w:sz w:val="28"/>
    </w:rPr>
  </w:style>
  <w:style w:type="paragraph" w:styleId="ListParagraph">
    <w:name w:val="List Paragraph"/>
    <w:aliases w:val="GS: Promo - seznam služeb,Odrazky,Bullet List,lp1,Puce,Use Case List Paragraph,Heading2,Bullet for no #'s,Body Bullet,List bullet,List Paragraph 1,Ref,List Bullet1,Figure_name,Aufzählungszeichen1,Table Txt,Bullet 1,ZOZNAM"/>
    <w:basedOn w:val="Normal"/>
    <w:link w:val="ListParagraphChar"/>
    <w:uiPriority w:val="34"/>
    <w:qFormat/>
    <w:locked/>
    <w:rsid w:val="00C031E5"/>
    <w:pPr>
      <w:spacing w:after="160"/>
      <w:contextualSpacing/>
    </w:pPr>
    <w:rPr>
      <w:b/>
    </w:rPr>
  </w:style>
  <w:style w:type="paragraph" w:customStyle="1" w:styleId="GSPromo-Seznamslueb">
    <w:name w:val="GS: Promo - Seznam služeb"/>
    <w:basedOn w:val="Normal"/>
    <w:qFormat/>
    <w:locked/>
    <w:rsid w:val="008164EA"/>
    <w:pPr>
      <w:numPr>
        <w:numId w:val="1"/>
      </w:numPr>
      <w:spacing w:after="360" w:line="288" w:lineRule="auto"/>
      <w:ind w:left="357" w:right="57" w:hanging="357"/>
      <w:contextualSpacing/>
    </w:pPr>
    <w:rPr>
      <w:b/>
      <w:sz w:val="20"/>
    </w:rPr>
  </w:style>
  <w:style w:type="paragraph" w:styleId="DocumentMap">
    <w:name w:val="Document Map"/>
    <w:basedOn w:val="Normal"/>
    <w:link w:val="DocumentMapChar"/>
    <w:uiPriority w:val="99"/>
    <w:semiHidden/>
    <w:unhideWhenUsed/>
    <w:locked/>
    <w:rsid w:val="0031606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6067"/>
    <w:rPr>
      <w:rFonts w:ascii="Tahoma" w:hAnsi="Tahoma" w:cs="Tahoma"/>
      <w:sz w:val="16"/>
      <w:szCs w:val="16"/>
    </w:rPr>
  </w:style>
  <w:style w:type="paragraph" w:styleId="TOCHeading">
    <w:name w:val="TOC Heading"/>
    <w:basedOn w:val="Heading1"/>
    <w:next w:val="Normal"/>
    <w:uiPriority w:val="39"/>
    <w:unhideWhenUsed/>
    <w:qFormat/>
    <w:locked/>
    <w:rsid w:val="00A078AB"/>
    <w:pPr>
      <w:outlineLvl w:val="9"/>
    </w:pPr>
  </w:style>
  <w:style w:type="paragraph" w:customStyle="1" w:styleId="a">
    <w:name w:val="_"/>
    <w:basedOn w:val="Normal"/>
    <w:rsid w:val="007D0987"/>
    <w:pPr>
      <w:spacing w:line="240" w:lineRule="auto"/>
    </w:pPr>
    <w:rPr>
      <w:rFonts w:eastAsia="Times New Roman"/>
      <w:sz w:val="4"/>
    </w:rPr>
  </w:style>
  <w:style w:type="character" w:styleId="Hyperlink">
    <w:name w:val="Hyperlink"/>
    <w:basedOn w:val="DefaultParagraphFont"/>
    <w:uiPriority w:val="99"/>
    <w:unhideWhenUsed/>
    <w:locked/>
    <w:rsid w:val="00A078AB"/>
    <w:rPr>
      <w:color w:val="0000FF" w:themeColor="hyperlink"/>
      <w:u w:val="single"/>
    </w:rPr>
  </w:style>
  <w:style w:type="paragraph" w:styleId="TOC1">
    <w:name w:val="toc 1"/>
    <w:aliases w:val="GS: Tabulka obsahu"/>
    <w:basedOn w:val="Normal"/>
    <w:next w:val="Normal"/>
    <w:link w:val="TOC1Char"/>
    <w:autoRedefine/>
    <w:uiPriority w:val="39"/>
    <w:unhideWhenUsed/>
    <w:qFormat/>
    <w:locked/>
    <w:rsid w:val="00343F22"/>
    <w:pPr>
      <w:widowControl w:val="0"/>
      <w:tabs>
        <w:tab w:val="left" w:pos="454"/>
        <w:tab w:val="right" w:leader="dot" w:pos="9060"/>
      </w:tabs>
      <w:spacing w:line="240" w:lineRule="auto"/>
    </w:pPr>
  </w:style>
  <w:style w:type="paragraph" w:styleId="TOC2">
    <w:name w:val="toc 2"/>
    <w:aliases w:val="GS: Tabulka obsahu 2"/>
    <w:basedOn w:val="Normal"/>
    <w:next w:val="Normal"/>
    <w:autoRedefine/>
    <w:uiPriority w:val="39"/>
    <w:unhideWhenUsed/>
    <w:qFormat/>
    <w:locked/>
    <w:rsid w:val="00AE78B2"/>
    <w:pPr>
      <w:tabs>
        <w:tab w:val="left" w:pos="1134"/>
        <w:tab w:val="right" w:leader="dot" w:pos="10194"/>
      </w:tabs>
      <w:spacing w:line="240" w:lineRule="auto"/>
      <w:ind w:left="1134" w:hanging="680"/>
    </w:pPr>
  </w:style>
  <w:style w:type="paragraph" w:styleId="TOC4">
    <w:name w:val="toc 4"/>
    <w:aliases w:val="GS: Tabulka obsahu 4"/>
    <w:basedOn w:val="Normal"/>
    <w:next w:val="Normal"/>
    <w:autoRedefine/>
    <w:uiPriority w:val="39"/>
    <w:unhideWhenUsed/>
    <w:qFormat/>
    <w:locked/>
    <w:rsid w:val="00BB3B8F"/>
    <w:pPr>
      <w:ind w:left="1758"/>
    </w:pPr>
  </w:style>
  <w:style w:type="paragraph" w:styleId="TOC3">
    <w:name w:val="toc 3"/>
    <w:aliases w:val="GS: Tabulka obsahu 3"/>
    <w:basedOn w:val="Normal"/>
    <w:next w:val="Normal"/>
    <w:autoRedefine/>
    <w:uiPriority w:val="39"/>
    <w:unhideWhenUsed/>
    <w:qFormat/>
    <w:locked/>
    <w:rsid w:val="00116422"/>
    <w:pPr>
      <w:tabs>
        <w:tab w:val="left" w:pos="1843"/>
        <w:tab w:val="right" w:leader="dot" w:pos="10194"/>
      </w:tabs>
      <w:spacing w:after="20" w:line="240" w:lineRule="auto"/>
      <w:ind w:left="1134"/>
    </w:pPr>
  </w:style>
  <w:style w:type="paragraph" w:styleId="TOC6">
    <w:name w:val="toc 6"/>
    <w:basedOn w:val="Normal"/>
    <w:next w:val="Normal"/>
    <w:autoRedefine/>
    <w:uiPriority w:val="39"/>
    <w:unhideWhenUsed/>
    <w:locked/>
    <w:rsid w:val="00A078AB"/>
    <w:pPr>
      <w:ind w:left="1000"/>
    </w:pPr>
    <w:rPr>
      <w:rFonts w:asciiTheme="minorHAnsi" w:hAnsiTheme="minorHAnsi"/>
    </w:rPr>
  </w:style>
  <w:style w:type="paragraph" w:styleId="TOC7">
    <w:name w:val="toc 7"/>
    <w:basedOn w:val="Normal"/>
    <w:next w:val="Normal"/>
    <w:autoRedefine/>
    <w:uiPriority w:val="39"/>
    <w:unhideWhenUsed/>
    <w:locked/>
    <w:rsid w:val="00A078AB"/>
    <w:pPr>
      <w:ind w:left="1200"/>
    </w:pPr>
    <w:rPr>
      <w:rFonts w:asciiTheme="minorHAnsi" w:hAnsiTheme="minorHAnsi"/>
    </w:rPr>
  </w:style>
  <w:style w:type="paragraph" w:styleId="TOC8">
    <w:name w:val="toc 8"/>
    <w:basedOn w:val="Normal"/>
    <w:next w:val="Normal"/>
    <w:autoRedefine/>
    <w:uiPriority w:val="39"/>
    <w:unhideWhenUsed/>
    <w:locked/>
    <w:rsid w:val="00A078AB"/>
    <w:pPr>
      <w:ind w:left="1400"/>
    </w:pPr>
    <w:rPr>
      <w:rFonts w:asciiTheme="minorHAnsi" w:hAnsiTheme="minorHAnsi"/>
    </w:rPr>
  </w:style>
  <w:style w:type="paragraph" w:styleId="TOC9">
    <w:name w:val="toc 9"/>
    <w:basedOn w:val="Normal"/>
    <w:next w:val="Normal"/>
    <w:autoRedefine/>
    <w:uiPriority w:val="39"/>
    <w:unhideWhenUsed/>
    <w:locked/>
    <w:rsid w:val="00A078AB"/>
    <w:pPr>
      <w:ind w:left="1600"/>
    </w:pPr>
    <w:rPr>
      <w:rFonts w:asciiTheme="minorHAnsi" w:hAnsiTheme="minorHAnsi"/>
    </w:rPr>
  </w:style>
  <w:style w:type="paragraph" w:customStyle="1" w:styleId="EMPTY">
    <w:name w:val="EMPTY"/>
    <w:basedOn w:val="Normal"/>
    <w:locked/>
    <w:rsid w:val="007D0987"/>
    <w:pPr>
      <w:spacing w:line="240" w:lineRule="auto"/>
    </w:pPr>
    <w:rPr>
      <w:rFonts w:eastAsia="Times New Roman"/>
      <w:sz w:val="4"/>
    </w:rPr>
  </w:style>
  <w:style w:type="paragraph" w:customStyle="1" w:styleId="GSNadpis1">
    <w:name w:val="GS: Nadpis 1"/>
    <w:basedOn w:val="Heading1"/>
    <w:next w:val="GSOdstavec"/>
    <w:qFormat/>
    <w:rsid w:val="004F5221"/>
    <w:pPr>
      <w:numPr>
        <w:numId w:val="5"/>
      </w:numPr>
      <w:spacing w:before="240" w:after="240" w:line="240" w:lineRule="auto"/>
    </w:pPr>
    <w:rPr>
      <w:rFonts w:ascii="Arial" w:hAnsi="Arial" w:cs="Arial"/>
      <w:b w:val="0"/>
      <w:color w:val="232323"/>
      <w:sz w:val="32"/>
      <w:szCs w:val="32"/>
    </w:rPr>
  </w:style>
  <w:style w:type="paragraph" w:customStyle="1" w:styleId="GSOdstavec">
    <w:name w:val="GS: Odstavec"/>
    <w:basedOn w:val="PlainText"/>
    <w:qFormat/>
    <w:rsid w:val="000B6A97"/>
    <w:pPr>
      <w:spacing w:before="280" w:after="160"/>
    </w:pPr>
    <w:rPr>
      <w:rFonts w:ascii="Arial" w:hAnsi="Arial"/>
      <w:sz w:val="22"/>
    </w:rPr>
  </w:style>
  <w:style w:type="paragraph" w:customStyle="1" w:styleId="odrky-2-western">
    <w:name w:val="odrážky-2-western"/>
    <w:basedOn w:val="Normal"/>
    <w:locked/>
    <w:rsid w:val="00BE249E"/>
    <w:pPr>
      <w:spacing w:before="100" w:beforeAutospacing="1" w:line="259" w:lineRule="auto"/>
      <w:ind w:left="709" w:right="284" w:firstLine="709"/>
      <w:jc w:val="both"/>
    </w:pPr>
    <w:rPr>
      <w:rFonts w:eastAsia="Times New Roman"/>
      <w:lang w:eastAsia="cs-CZ"/>
    </w:rPr>
  </w:style>
  <w:style w:type="paragraph" w:styleId="PlainText">
    <w:name w:val="Plain Text"/>
    <w:basedOn w:val="Normal"/>
    <w:link w:val="PlainTextChar"/>
    <w:uiPriority w:val="99"/>
    <w:semiHidden/>
    <w:unhideWhenUsed/>
    <w:locked/>
    <w:rsid w:val="008F7D5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F7D59"/>
    <w:rPr>
      <w:rFonts w:ascii="Consolas" w:hAnsi="Consolas"/>
      <w:sz w:val="21"/>
      <w:szCs w:val="21"/>
    </w:rPr>
  </w:style>
  <w:style w:type="paragraph" w:customStyle="1" w:styleId="odrky-1-western">
    <w:name w:val="odrážky-1-western"/>
    <w:basedOn w:val="Normal"/>
    <w:locked/>
    <w:rsid w:val="00BE249E"/>
    <w:pPr>
      <w:spacing w:before="100" w:beforeAutospacing="1" w:line="259" w:lineRule="auto"/>
      <w:ind w:left="709" w:right="425" w:firstLine="709"/>
      <w:jc w:val="both"/>
    </w:pPr>
    <w:rPr>
      <w:rFonts w:eastAsia="Times New Roman"/>
      <w:lang w:eastAsia="cs-CZ"/>
    </w:rPr>
  </w:style>
  <w:style w:type="paragraph" w:customStyle="1" w:styleId="GSNeslovanseznam">
    <w:name w:val="GS: Nečíslovaný seznam"/>
    <w:basedOn w:val="List"/>
    <w:qFormat/>
    <w:rsid w:val="007B44B2"/>
    <w:pPr>
      <w:numPr>
        <w:numId w:val="2"/>
      </w:numPr>
      <w:spacing w:before="80" w:after="80"/>
      <w:contextualSpacing w:val="0"/>
    </w:pPr>
    <w:rPr>
      <w:sz w:val="22"/>
    </w:rPr>
  </w:style>
  <w:style w:type="paragraph" w:customStyle="1" w:styleId="GSslovanseznam">
    <w:name w:val="GS: Číslovaný seznam"/>
    <w:basedOn w:val="GSNeslovanseznam"/>
    <w:next w:val="GSNeslovanseznam"/>
    <w:qFormat/>
    <w:rsid w:val="008118FC"/>
    <w:pPr>
      <w:numPr>
        <w:numId w:val="3"/>
      </w:numPr>
      <w:spacing w:after="120"/>
    </w:pPr>
  </w:style>
  <w:style w:type="paragraph" w:styleId="List">
    <w:name w:val="List"/>
    <w:basedOn w:val="Normal"/>
    <w:uiPriority w:val="99"/>
    <w:semiHidden/>
    <w:unhideWhenUsed/>
    <w:locked/>
    <w:rsid w:val="00BE249E"/>
    <w:pPr>
      <w:ind w:left="283" w:hanging="283"/>
      <w:contextualSpacing/>
    </w:pPr>
  </w:style>
  <w:style w:type="character" w:customStyle="1" w:styleId="GSTun">
    <w:name w:val="GS: Tučné"/>
    <w:basedOn w:val="DefaultParagraphFont"/>
    <w:uiPriority w:val="1"/>
    <w:qFormat/>
    <w:rsid w:val="00AF640B"/>
    <w:rPr>
      <w:b/>
    </w:rPr>
  </w:style>
  <w:style w:type="character" w:customStyle="1" w:styleId="GSKurzvou">
    <w:name w:val="GS: Kurzívou"/>
    <w:uiPriority w:val="1"/>
    <w:qFormat/>
    <w:rsid w:val="00AF640B"/>
    <w:rPr>
      <w:i/>
    </w:rPr>
  </w:style>
  <w:style w:type="paragraph" w:customStyle="1" w:styleId="GSNadpis2">
    <w:name w:val="GS: Nadpis 2"/>
    <w:basedOn w:val="GSNadpis1"/>
    <w:next w:val="GSOdstavec"/>
    <w:qFormat/>
    <w:rsid w:val="003B4059"/>
    <w:pPr>
      <w:numPr>
        <w:ilvl w:val="1"/>
      </w:numPr>
      <w:spacing w:before="360"/>
      <w:outlineLvl w:val="1"/>
    </w:pPr>
    <w:rPr>
      <w:sz w:val="28"/>
      <w:szCs w:val="28"/>
    </w:rPr>
  </w:style>
  <w:style w:type="paragraph" w:customStyle="1" w:styleId="GSNadpis3">
    <w:name w:val="GS: Nadpis 3"/>
    <w:basedOn w:val="GSNadpis2"/>
    <w:next w:val="GSOdstavec"/>
    <w:qFormat/>
    <w:rsid w:val="001D25AD"/>
    <w:pPr>
      <w:numPr>
        <w:ilvl w:val="2"/>
      </w:numPr>
      <w:contextualSpacing/>
      <w:outlineLvl w:val="2"/>
    </w:pPr>
    <w:rPr>
      <w:sz w:val="24"/>
      <w:szCs w:val="24"/>
    </w:rPr>
  </w:style>
  <w:style w:type="paragraph" w:customStyle="1" w:styleId="GSNadpis4">
    <w:name w:val="GS: Nadpis 4"/>
    <w:basedOn w:val="GSNadpis3"/>
    <w:next w:val="GSOdstavec"/>
    <w:qFormat/>
    <w:rsid w:val="009A1A3F"/>
    <w:pPr>
      <w:numPr>
        <w:ilvl w:val="3"/>
      </w:numPr>
      <w:spacing w:after="200"/>
      <w:outlineLvl w:val="3"/>
    </w:pPr>
  </w:style>
  <w:style w:type="paragraph" w:customStyle="1" w:styleId="GSNadpis5">
    <w:name w:val="GS: Nadpis 5"/>
    <w:basedOn w:val="GSNadpis4"/>
    <w:next w:val="GSOdstavec"/>
    <w:qFormat/>
    <w:rsid w:val="000406E6"/>
    <w:pPr>
      <w:numPr>
        <w:ilvl w:val="4"/>
      </w:numPr>
      <w:outlineLvl w:val="4"/>
    </w:pPr>
    <w:rPr>
      <w:sz w:val="28"/>
    </w:rPr>
  </w:style>
  <w:style w:type="paragraph" w:styleId="TOC5">
    <w:name w:val="toc 5"/>
    <w:aliases w:val="GS: Tabulka obsahu 5"/>
    <w:basedOn w:val="Normal"/>
    <w:next w:val="Normal"/>
    <w:autoRedefine/>
    <w:uiPriority w:val="39"/>
    <w:unhideWhenUsed/>
    <w:qFormat/>
    <w:locked/>
    <w:rsid w:val="00BB3B8F"/>
    <w:pPr>
      <w:spacing w:after="100"/>
      <w:ind w:left="2665"/>
    </w:pPr>
  </w:style>
  <w:style w:type="character" w:customStyle="1" w:styleId="Heading2Char">
    <w:name w:val="Heading 2 Char"/>
    <w:basedOn w:val="DefaultParagraphFont"/>
    <w:link w:val="Heading2"/>
    <w:uiPriority w:val="9"/>
    <w:rsid w:val="00777F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7F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7F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7F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7F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7F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7F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77F93"/>
    <w:rPr>
      <w:rFonts w:asciiTheme="majorHAnsi" w:eastAsiaTheme="majorEastAsia" w:hAnsiTheme="majorHAnsi" w:cstheme="majorBidi"/>
      <w:i/>
      <w:iCs/>
      <w:color w:val="404040" w:themeColor="text1" w:themeTint="BF"/>
    </w:rPr>
  </w:style>
  <w:style w:type="character" w:customStyle="1" w:styleId="TOC1Char">
    <w:name w:val="TOC 1 Char"/>
    <w:aliases w:val="GS: Tabulka obsahu Char"/>
    <w:basedOn w:val="DefaultParagraphFont"/>
    <w:link w:val="TOC1"/>
    <w:uiPriority w:val="39"/>
    <w:rsid w:val="00343F22"/>
  </w:style>
  <w:style w:type="table" w:customStyle="1" w:styleId="GSTabulka">
    <w:name w:val="GS: Tabulka"/>
    <w:basedOn w:val="TableNormal"/>
    <w:uiPriority w:val="99"/>
    <w:qFormat/>
    <w:rsid w:val="00B06027"/>
    <w:pPr>
      <w:spacing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284" w:type="dxa"/>
        <w:left w:w="0" w:type="dxa"/>
        <w:bottom w:w="454" w:type="dxa"/>
        <w:right w:w="0" w:type="dxa"/>
      </w:tblCellMar>
    </w:tblPr>
    <w:tcPr>
      <w:tcMar>
        <w:top w:w="57" w:type="dxa"/>
        <w:left w:w="113" w:type="dxa"/>
        <w:bottom w:w="57" w:type="dxa"/>
        <w:right w:w="113" w:type="dxa"/>
      </w:tcMar>
      <w:vAlign w:val="center"/>
    </w:tcPr>
    <w:tblStylePr w:type="firstRow">
      <w:rPr>
        <w:b/>
      </w:rPr>
    </w:tblStylePr>
  </w:style>
  <w:style w:type="paragraph" w:customStyle="1" w:styleId="GSTabulka-nadpis">
    <w:name w:val="GS: Tabulka - nadpis"/>
    <w:basedOn w:val="GSOdstavec"/>
    <w:qFormat/>
    <w:rsid w:val="007B44B2"/>
    <w:pPr>
      <w:spacing w:before="0" w:after="0"/>
    </w:pPr>
  </w:style>
  <w:style w:type="paragraph" w:customStyle="1" w:styleId="GSTabulka-obsah">
    <w:name w:val="GS: Tabulka - obsah"/>
    <w:basedOn w:val="GSTabulka-nadpis"/>
    <w:qFormat/>
    <w:rsid w:val="00205BB8"/>
  </w:style>
  <w:style w:type="paragraph" w:customStyle="1" w:styleId="western">
    <w:name w:val="western"/>
    <w:basedOn w:val="Normal"/>
    <w:rsid w:val="006E4A94"/>
    <w:pPr>
      <w:spacing w:before="100" w:beforeAutospacing="1" w:after="119" w:line="240" w:lineRule="auto"/>
    </w:pPr>
    <w:rPr>
      <w:rFonts w:ascii="Times New Roman" w:eastAsia="Times New Roman" w:hAnsi="Times New Roman"/>
      <w:color w:val="auto"/>
      <w:lang w:val="en-US"/>
    </w:rPr>
  </w:style>
  <w:style w:type="paragraph" w:styleId="Caption">
    <w:name w:val="caption"/>
    <w:aliases w:val="Popisek tabulky/obrázku"/>
    <w:basedOn w:val="Normal"/>
    <w:next w:val="Normal"/>
    <w:unhideWhenUsed/>
    <w:qFormat/>
    <w:locked/>
    <w:rsid w:val="00912E30"/>
    <w:pPr>
      <w:spacing w:after="200" w:line="240" w:lineRule="auto"/>
    </w:pPr>
    <w:rPr>
      <w:rFonts w:eastAsia="Calibri"/>
      <w:b/>
      <w:bCs/>
      <w:color w:val="4F81BD" w:themeColor="accent1"/>
      <w:sz w:val="18"/>
      <w:szCs w:val="18"/>
    </w:rPr>
  </w:style>
  <w:style w:type="paragraph" w:customStyle="1" w:styleId="Titulnpodnadpis">
    <w:name w:val="Titulní podnadpis"/>
    <w:basedOn w:val="NoSpacing"/>
    <w:link w:val="TitulnpodnadpisChar"/>
    <w:qFormat/>
    <w:rsid w:val="00E020A1"/>
    <w:rPr>
      <w:rFonts w:eastAsia="Calibri" w:cs="Segoe UI"/>
      <w:color w:val="868685"/>
      <w:sz w:val="36"/>
      <w:szCs w:val="36"/>
      <w:lang w:eastAsia="cs-CZ"/>
    </w:rPr>
  </w:style>
  <w:style w:type="character" w:customStyle="1" w:styleId="TitulnpodnadpisChar">
    <w:name w:val="Titulní podnadpis Char"/>
    <w:basedOn w:val="DefaultParagraphFont"/>
    <w:link w:val="Titulnpodnadpis"/>
    <w:rsid w:val="00E020A1"/>
    <w:rPr>
      <w:rFonts w:eastAsia="Calibri" w:cs="Segoe UI"/>
      <w:color w:val="868685"/>
      <w:sz w:val="36"/>
      <w:szCs w:val="36"/>
      <w:lang w:eastAsia="cs-CZ"/>
    </w:rPr>
  </w:style>
  <w:style w:type="paragraph" w:customStyle="1" w:styleId="Textpsmene">
    <w:name w:val="Text písmene"/>
    <w:basedOn w:val="Normal"/>
    <w:uiPriority w:val="99"/>
    <w:rsid w:val="00E020A1"/>
    <w:pPr>
      <w:numPr>
        <w:ilvl w:val="1"/>
        <w:numId w:val="6"/>
      </w:numPr>
      <w:spacing w:line="240" w:lineRule="auto"/>
      <w:jc w:val="both"/>
      <w:outlineLvl w:val="7"/>
    </w:pPr>
    <w:rPr>
      <w:rFonts w:ascii="Times New Roman" w:eastAsia="Times New Roman" w:hAnsi="Times New Roman"/>
      <w:color w:val="auto"/>
      <w:lang w:eastAsia="cs-CZ"/>
    </w:rPr>
  </w:style>
  <w:style w:type="paragraph" w:customStyle="1" w:styleId="Textodstavce">
    <w:name w:val="Text odstavce"/>
    <w:basedOn w:val="Normal"/>
    <w:uiPriority w:val="99"/>
    <w:rsid w:val="00E020A1"/>
    <w:pPr>
      <w:numPr>
        <w:numId w:val="6"/>
      </w:numPr>
      <w:tabs>
        <w:tab w:val="left" w:pos="851"/>
      </w:tabs>
      <w:spacing w:before="120" w:after="120" w:line="240" w:lineRule="auto"/>
      <w:jc w:val="both"/>
      <w:outlineLvl w:val="6"/>
    </w:pPr>
    <w:rPr>
      <w:rFonts w:ascii="Times New Roman" w:eastAsia="Times New Roman" w:hAnsi="Times New Roman"/>
      <w:color w:val="auto"/>
      <w:lang w:eastAsia="cs-CZ"/>
    </w:rPr>
  </w:style>
  <w:style w:type="paragraph" w:customStyle="1" w:styleId="Numberedlist23">
    <w:name w:val="Numbered list 2.3"/>
    <w:basedOn w:val="Heading3"/>
    <w:next w:val="Normal"/>
    <w:rsid w:val="00E020A1"/>
    <w:pPr>
      <w:keepLines w:val="0"/>
      <w:numPr>
        <w:ilvl w:val="3"/>
        <w:numId w:val="6"/>
      </w:numPr>
      <w:tabs>
        <w:tab w:val="left" w:pos="1080"/>
      </w:tabs>
      <w:spacing w:before="240" w:after="60" w:line="240" w:lineRule="auto"/>
      <w:ind w:left="1080"/>
    </w:pPr>
    <w:rPr>
      <w:rFonts w:ascii="Cambria" w:eastAsia="Times New Roman" w:hAnsi="Cambria" w:cs="Times New Roman"/>
      <w:bCs w:val="0"/>
      <w:color w:val="auto"/>
      <w:sz w:val="22"/>
      <w:szCs w:val="20"/>
      <w:lang w:val="en-US"/>
    </w:rPr>
  </w:style>
  <w:style w:type="paragraph" w:customStyle="1" w:styleId="TableText10Single">
    <w:name w:val="*Table Text 10 Single"/>
    <w:basedOn w:val="Normal"/>
    <w:rsid w:val="00E020A1"/>
    <w:pPr>
      <w:spacing w:line="240" w:lineRule="auto"/>
    </w:pPr>
    <w:rPr>
      <w:rFonts w:ascii="Arial" w:eastAsia="Times New Roman" w:hAnsi="Arial"/>
      <w:color w:val="000000"/>
      <w:sz w:val="20"/>
      <w:szCs w:val="20"/>
      <w:lang w:val="en-US"/>
    </w:rPr>
  </w:style>
  <w:style w:type="paragraph" w:customStyle="1" w:styleId="TableText10Bold">
    <w:name w:val="*Table Text 10 Bold"/>
    <w:basedOn w:val="Normal"/>
    <w:rsid w:val="00E020A1"/>
    <w:pPr>
      <w:spacing w:line="240" w:lineRule="auto"/>
    </w:pPr>
    <w:rPr>
      <w:rFonts w:ascii="Arial" w:eastAsia="Times New Roman" w:hAnsi="Arial"/>
      <w:b/>
      <w:color w:val="000000"/>
      <w:sz w:val="20"/>
      <w:szCs w:val="20"/>
      <w:lang w:val="en-US"/>
    </w:rPr>
  </w:style>
  <w:style w:type="paragraph" w:styleId="NoSpacing">
    <w:name w:val="No Spacing"/>
    <w:uiPriority w:val="1"/>
    <w:qFormat/>
    <w:locked/>
    <w:rsid w:val="00E020A1"/>
    <w:pPr>
      <w:spacing w:line="240" w:lineRule="auto"/>
    </w:pPr>
  </w:style>
  <w:style w:type="paragraph" w:customStyle="1" w:styleId="Intro">
    <w:name w:val="Intro"/>
    <w:basedOn w:val="Normal"/>
    <w:next w:val="Normal"/>
    <w:qFormat/>
    <w:rsid w:val="00AB2AFE"/>
    <w:pPr>
      <w:suppressAutoHyphens/>
      <w:spacing w:after="450" w:line="320" w:lineRule="exact"/>
    </w:pPr>
    <w:rPr>
      <w:rFonts w:asciiTheme="minorHAnsi" w:eastAsiaTheme="minorEastAsia" w:hAnsiTheme="minorHAnsi" w:cstheme="minorBidi"/>
      <w:color w:val="auto"/>
      <w:sz w:val="28"/>
      <w:szCs w:val="28"/>
      <w:lang w:eastAsia="ja-JP"/>
    </w:rPr>
  </w:style>
  <w:style w:type="character" w:customStyle="1" w:styleId="ListParagraphChar">
    <w:name w:val="List Paragraph Char"/>
    <w:aliases w:val="GS: Promo - seznam služeb Char,Odrazky Char,Bullet List Char,lp1 Char,Puce Char,Use Case List Paragraph Char,Heading2 Char,Bullet for no #'s Char,Body Bullet Char,List bullet Char,List Paragraph 1 Char,Ref Char,List Bullet1 Char"/>
    <w:basedOn w:val="DefaultParagraphFont"/>
    <w:link w:val="ListParagraph"/>
    <w:uiPriority w:val="34"/>
    <w:locked/>
    <w:rsid w:val="00362E3F"/>
    <w:rPr>
      <w:b/>
    </w:rPr>
  </w:style>
  <w:style w:type="character" w:customStyle="1" w:styleId="Odrky1stlevelChar">
    <w:name w:val="Odrážky 1st level Char"/>
    <w:basedOn w:val="DefaultParagraphFont"/>
    <w:link w:val="Odrky1stlevel"/>
    <w:locked/>
    <w:rsid w:val="00B00C2C"/>
    <w:rPr>
      <w:rFonts w:ascii="Arial" w:eastAsia="Times New Roman" w:hAnsi="Arial"/>
      <w:lang w:eastAsia="ja-JP"/>
    </w:rPr>
  </w:style>
  <w:style w:type="paragraph" w:customStyle="1" w:styleId="Odrky1stlevel">
    <w:name w:val="Odrážky 1st level"/>
    <w:basedOn w:val="BodyText"/>
    <w:link w:val="Odrky1stlevelChar"/>
    <w:qFormat/>
    <w:rsid w:val="00B00C2C"/>
    <w:pPr>
      <w:numPr>
        <w:numId w:val="9"/>
      </w:numPr>
      <w:spacing w:after="60" w:line="240" w:lineRule="auto"/>
      <w:jc w:val="both"/>
    </w:pPr>
    <w:rPr>
      <w:rFonts w:ascii="Arial" w:eastAsia="Times New Roman" w:hAnsi="Arial"/>
      <w:lang w:eastAsia="ja-JP"/>
    </w:rPr>
  </w:style>
  <w:style w:type="paragraph" w:styleId="BodyText">
    <w:name w:val="Body Text"/>
    <w:basedOn w:val="Normal"/>
    <w:link w:val="BodyTextChar"/>
    <w:uiPriority w:val="99"/>
    <w:semiHidden/>
    <w:unhideWhenUsed/>
    <w:locked/>
    <w:rsid w:val="00B00C2C"/>
    <w:pPr>
      <w:spacing w:after="120"/>
    </w:pPr>
  </w:style>
  <w:style w:type="character" w:customStyle="1" w:styleId="BodyTextChar">
    <w:name w:val="Body Text Char"/>
    <w:basedOn w:val="DefaultParagraphFont"/>
    <w:link w:val="BodyText"/>
    <w:uiPriority w:val="99"/>
    <w:semiHidden/>
    <w:rsid w:val="00B00C2C"/>
  </w:style>
  <w:style w:type="paragraph" w:customStyle="1" w:styleId="Text">
    <w:name w:val="Text"/>
    <w:basedOn w:val="Normal"/>
    <w:link w:val="TextChar"/>
    <w:qFormat/>
    <w:rsid w:val="00B9688A"/>
    <w:pPr>
      <w:jc w:val="both"/>
    </w:pPr>
    <w:rPr>
      <w:rFonts w:ascii="HP Simplified" w:eastAsia="Times New Roman" w:hAnsi="HP Simplified" w:cs="Calibri"/>
      <w:color w:val="auto"/>
      <w:sz w:val="22"/>
      <w:szCs w:val="22"/>
      <w:lang w:eastAsia="cs-CZ"/>
    </w:rPr>
  </w:style>
  <w:style w:type="character" w:customStyle="1" w:styleId="TextChar">
    <w:name w:val="Text Char"/>
    <w:basedOn w:val="DefaultParagraphFont"/>
    <w:link w:val="Text"/>
    <w:rsid w:val="00B9688A"/>
    <w:rPr>
      <w:rFonts w:ascii="HP Simplified" w:eastAsia="Times New Roman" w:hAnsi="HP Simplified" w:cs="Calibri"/>
      <w:color w:val="auto"/>
      <w:sz w:val="22"/>
      <w:szCs w:val="22"/>
      <w:lang w:eastAsia="cs-CZ"/>
    </w:rPr>
  </w:style>
  <w:style w:type="paragraph" w:customStyle="1" w:styleId="H1">
    <w:name w:val="H1"/>
    <w:basedOn w:val="ListParagraph"/>
    <w:qFormat/>
    <w:rsid w:val="0034086B"/>
    <w:pPr>
      <w:numPr>
        <w:numId w:val="13"/>
      </w:numPr>
      <w:spacing w:before="240" w:after="240" w:line="240" w:lineRule="auto"/>
      <w:ind w:left="357" w:hanging="357"/>
      <w:jc w:val="both"/>
      <w:outlineLvl w:val="0"/>
    </w:pPr>
    <w:rPr>
      <w:rFonts w:ascii="Arial" w:eastAsia="Times New Roman" w:hAnsi="Arial" w:cs="Arial"/>
      <w:b w:val="0"/>
      <w:color w:val="auto"/>
      <w:sz w:val="32"/>
      <w:szCs w:val="22"/>
      <w:lang w:eastAsia="cs-CZ"/>
    </w:rPr>
  </w:style>
  <w:style w:type="paragraph" w:customStyle="1" w:styleId="H2">
    <w:name w:val="H2"/>
    <w:basedOn w:val="H1"/>
    <w:link w:val="H2Char"/>
    <w:qFormat/>
    <w:rsid w:val="0034086B"/>
    <w:pPr>
      <w:numPr>
        <w:ilvl w:val="1"/>
      </w:numPr>
      <w:ind w:left="431" w:hanging="431"/>
    </w:pPr>
    <w:rPr>
      <w:sz w:val="28"/>
      <w:szCs w:val="28"/>
    </w:rPr>
  </w:style>
  <w:style w:type="character" w:customStyle="1" w:styleId="H2Char">
    <w:name w:val="H2 Char"/>
    <w:basedOn w:val="DefaultParagraphFont"/>
    <w:link w:val="H2"/>
    <w:rsid w:val="0034086B"/>
    <w:rPr>
      <w:rFonts w:ascii="Arial" w:eastAsia="Times New Roman" w:hAnsi="Arial" w:cs="Arial"/>
      <w:color w:val="auto"/>
      <w:sz w:val="28"/>
      <w:szCs w:val="28"/>
      <w:lang w:eastAsia="cs-CZ"/>
    </w:rPr>
  </w:style>
  <w:style w:type="paragraph" w:customStyle="1" w:styleId="H3">
    <w:name w:val="H3"/>
    <w:basedOn w:val="H2"/>
    <w:qFormat/>
    <w:rsid w:val="0034086B"/>
    <w:pPr>
      <w:numPr>
        <w:ilvl w:val="2"/>
      </w:numPr>
      <w:ind w:left="505" w:hanging="505"/>
    </w:pPr>
    <w:rPr>
      <w:sz w:val="24"/>
      <w:szCs w:val="24"/>
    </w:rPr>
  </w:style>
  <w:style w:type="character" w:styleId="CommentReference">
    <w:name w:val="annotation reference"/>
    <w:basedOn w:val="DefaultParagraphFont"/>
    <w:uiPriority w:val="99"/>
    <w:unhideWhenUsed/>
    <w:locked/>
    <w:rsid w:val="00AC02E1"/>
    <w:rPr>
      <w:sz w:val="16"/>
      <w:szCs w:val="16"/>
    </w:rPr>
  </w:style>
  <w:style w:type="paragraph" w:styleId="CommentText">
    <w:name w:val="annotation text"/>
    <w:basedOn w:val="Normal"/>
    <w:link w:val="CommentTextChar"/>
    <w:uiPriority w:val="99"/>
    <w:unhideWhenUsed/>
    <w:locked/>
    <w:rsid w:val="00AC02E1"/>
    <w:pPr>
      <w:spacing w:line="240" w:lineRule="auto"/>
    </w:pPr>
    <w:rPr>
      <w:sz w:val="20"/>
      <w:szCs w:val="20"/>
    </w:rPr>
  </w:style>
  <w:style w:type="character" w:customStyle="1" w:styleId="CommentTextChar">
    <w:name w:val="Comment Text Char"/>
    <w:basedOn w:val="DefaultParagraphFont"/>
    <w:link w:val="CommentText"/>
    <w:uiPriority w:val="99"/>
    <w:rsid w:val="00AC02E1"/>
    <w:rPr>
      <w:sz w:val="20"/>
      <w:szCs w:val="20"/>
    </w:rPr>
  </w:style>
  <w:style w:type="paragraph" w:styleId="CommentSubject">
    <w:name w:val="annotation subject"/>
    <w:basedOn w:val="CommentText"/>
    <w:next w:val="CommentText"/>
    <w:link w:val="CommentSubjectChar"/>
    <w:uiPriority w:val="99"/>
    <w:semiHidden/>
    <w:unhideWhenUsed/>
    <w:locked/>
    <w:rsid w:val="00AC02E1"/>
    <w:rPr>
      <w:b/>
      <w:bCs/>
    </w:rPr>
  </w:style>
  <w:style w:type="character" w:customStyle="1" w:styleId="CommentSubjectChar">
    <w:name w:val="Comment Subject Char"/>
    <w:basedOn w:val="CommentTextChar"/>
    <w:link w:val="CommentSubject"/>
    <w:uiPriority w:val="99"/>
    <w:semiHidden/>
    <w:rsid w:val="00AC02E1"/>
    <w:rPr>
      <w:b/>
      <w:bCs/>
      <w:sz w:val="20"/>
      <w:szCs w:val="20"/>
    </w:rPr>
  </w:style>
  <w:style w:type="paragraph" w:styleId="Revision">
    <w:name w:val="Revision"/>
    <w:hidden/>
    <w:uiPriority w:val="99"/>
    <w:semiHidden/>
    <w:rsid w:val="001B7B3C"/>
    <w:pPr>
      <w:spacing w:line="240" w:lineRule="auto"/>
    </w:pPr>
  </w:style>
  <w:style w:type="paragraph" w:customStyle="1" w:styleId="atext">
    <w:name w:val="atext"/>
    <w:basedOn w:val="Normal"/>
    <w:rsid w:val="00F31BFF"/>
    <w:pPr>
      <w:spacing w:before="120" w:line="240" w:lineRule="atLeast"/>
      <w:ind w:firstLine="357"/>
      <w:jc w:val="center"/>
    </w:pPr>
    <w:rPr>
      <w:rFonts w:asciiTheme="minorHAnsi" w:eastAsiaTheme="minorEastAsia" w:hAnsiTheme="minorHAnsi" w:cstheme="minorBidi"/>
      <w:b/>
      <w:color w:val="auto"/>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343">
      <w:bodyDiv w:val="1"/>
      <w:marLeft w:val="0"/>
      <w:marRight w:val="0"/>
      <w:marTop w:val="0"/>
      <w:marBottom w:val="0"/>
      <w:divBdr>
        <w:top w:val="none" w:sz="0" w:space="0" w:color="auto"/>
        <w:left w:val="none" w:sz="0" w:space="0" w:color="auto"/>
        <w:bottom w:val="none" w:sz="0" w:space="0" w:color="auto"/>
        <w:right w:val="none" w:sz="0" w:space="0" w:color="auto"/>
      </w:divBdr>
    </w:div>
    <w:div w:id="25721750">
      <w:bodyDiv w:val="1"/>
      <w:marLeft w:val="0"/>
      <w:marRight w:val="0"/>
      <w:marTop w:val="0"/>
      <w:marBottom w:val="0"/>
      <w:divBdr>
        <w:top w:val="none" w:sz="0" w:space="0" w:color="auto"/>
        <w:left w:val="none" w:sz="0" w:space="0" w:color="auto"/>
        <w:bottom w:val="none" w:sz="0" w:space="0" w:color="auto"/>
        <w:right w:val="none" w:sz="0" w:space="0" w:color="auto"/>
      </w:divBdr>
    </w:div>
    <w:div w:id="36706911">
      <w:bodyDiv w:val="1"/>
      <w:marLeft w:val="0"/>
      <w:marRight w:val="0"/>
      <w:marTop w:val="0"/>
      <w:marBottom w:val="0"/>
      <w:divBdr>
        <w:top w:val="none" w:sz="0" w:space="0" w:color="auto"/>
        <w:left w:val="none" w:sz="0" w:space="0" w:color="auto"/>
        <w:bottom w:val="none" w:sz="0" w:space="0" w:color="auto"/>
        <w:right w:val="none" w:sz="0" w:space="0" w:color="auto"/>
      </w:divBdr>
    </w:div>
    <w:div w:id="37977316">
      <w:bodyDiv w:val="1"/>
      <w:marLeft w:val="0"/>
      <w:marRight w:val="0"/>
      <w:marTop w:val="0"/>
      <w:marBottom w:val="0"/>
      <w:divBdr>
        <w:top w:val="none" w:sz="0" w:space="0" w:color="auto"/>
        <w:left w:val="none" w:sz="0" w:space="0" w:color="auto"/>
        <w:bottom w:val="none" w:sz="0" w:space="0" w:color="auto"/>
        <w:right w:val="none" w:sz="0" w:space="0" w:color="auto"/>
      </w:divBdr>
    </w:div>
    <w:div w:id="55394803">
      <w:bodyDiv w:val="1"/>
      <w:marLeft w:val="0"/>
      <w:marRight w:val="0"/>
      <w:marTop w:val="0"/>
      <w:marBottom w:val="0"/>
      <w:divBdr>
        <w:top w:val="none" w:sz="0" w:space="0" w:color="auto"/>
        <w:left w:val="none" w:sz="0" w:space="0" w:color="auto"/>
        <w:bottom w:val="none" w:sz="0" w:space="0" w:color="auto"/>
        <w:right w:val="none" w:sz="0" w:space="0" w:color="auto"/>
      </w:divBdr>
    </w:div>
    <w:div w:id="58330775">
      <w:bodyDiv w:val="1"/>
      <w:marLeft w:val="0"/>
      <w:marRight w:val="0"/>
      <w:marTop w:val="0"/>
      <w:marBottom w:val="0"/>
      <w:divBdr>
        <w:top w:val="none" w:sz="0" w:space="0" w:color="auto"/>
        <w:left w:val="none" w:sz="0" w:space="0" w:color="auto"/>
        <w:bottom w:val="none" w:sz="0" w:space="0" w:color="auto"/>
        <w:right w:val="none" w:sz="0" w:space="0" w:color="auto"/>
      </w:divBdr>
    </w:div>
    <w:div w:id="58789518">
      <w:bodyDiv w:val="1"/>
      <w:marLeft w:val="0"/>
      <w:marRight w:val="0"/>
      <w:marTop w:val="0"/>
      <w:marBottom w:val="0"/>
      <w:divBdr>
        <w:top w:val="none" w:sz="0" w:space="0" w:color="auto"/>
        <w:left w:val="none" w:sz="0" w:space="0" w:color="auto"/>
        <w:bottom w:val="none" w:sz="0" w:space="0" w:color="auto"/>
        <w:right w:val="none" w:sz="0" w:space="0" w:color="auto"/>
      </w:divBdr>
    </w:div>
    <w:div w:id="163710533">
      <w:bodyDiv w:val="1"/>
      <w:marLeft w:val="0"/>
      <w:marRight w:val="0"/>
      <w:marTop w:val="0"/>
      <w:marBottom w:val="0"/>
      <w:divBdr>
        <w:top w:val="none" w:sz="0" w:space="0" w:color="auto"/>
        <w:left w:val="none" w:sz="0" w:space="0" w:color="auto"/>
        <w:bottom w:val="none" w:sz="0" w:space="0" w:color="auto"/>
        <w:right w:val="none" w:sz="0" w:space="0" w:color="auto"/>
      </w:divBdr>
    </w:div>
    <w:div w:id="241063447">
      <w:bodyDiv w:val="1"/>
      <w:marLeft w:val="0"/>
      <w:marRight w:val="0"/>
      <w:marTop w:val="0"/>
      <w:marBottom w:val="0"/>
      <w:divBdr>
        <w:top w:val="none" w:sz="0" w:space="0" w:color="auto"/>
        <w:left w:val="none" w:sz="0" w:space="0" w:color="auto"/>
        <w:bottom w:val="none" w:sz="0" w:space="0" w:color="auto"/>
        <w:right w:val="none" w:sz="0" w:space="0" w:color="auto"/>
      </w:divBdr>
    </w:div>
    <w:div w:id="284040298">
      <w:bodyDiv w:val="1"/>
      <w:marLeft w:val="0"/>
      <w:marRight w:val="0"/>
      <w:marTop w:val="0"/>
      <w:marBottom w:val="0"/>
      <w:divBdr>
        <w:top w:val="none" w:sz="0" w:space="0" w:color="auto"/>
        <w:left w:val="none" w:sz="0" w:space="0" w:color="auto"/>
        <w:bottom w:val="none" w:sz="0" w:space="0" w:color="auto"/>
        <w:right w:val="none" w:sz="0" w:space="0" w:color="auto"/>
      </w:divBdr>
    </w:div>
    <w:div w:id="344869538">
      <w:bodyDiv w:val="1"/>
      <w:marLeft w:val="0"/>
      <w:marRight w:val="0"/>
      <w:marTop w:val="0"/>
      <w:marBottom w:val="0"/>
      <w:divBdr>
        <w:top w:val="none" w:sz="0" w:space="0" w:color="auto"/>
        <w:left w:val="none" w:sz="0" w:space="0" w:color="auto"/>
        <w:bottom w:val="none" w:sz="0" w:space="0" w:color="auto"/>
        <w:right w:val="none" w:sz="0" w:space="0" w:color="auto"/>
      </w:divBdr>
    </w:div>
    <w:div w:id="352726899">
      <w:bodyDiv w:val="1"/>
      <w:marLeft w:val="0"/>
      <w:marRight w:val="0"/>
      <w:marTop w:val="0"/>
      <w:marBottom w:val="0"/>
      <w:divBdr>
        <w:top w:val="none" w:sz="0" w:space="0" w:color="auto"/>
        <w:left w:val="none" w:sz="0" w:space="0" w:color="auto"/>
        <w:bottom w:val="none" w:sz="0" w:space="0" w:color="auto"/>
        <w:right w:val="none" w:sz="0" w:space="0" w:color="auto"/>
      </w:divBdr>
    </w:div>
    <w:div w:id="357586752">
      <w:bodyDiv w:val="1"/>
      <w:marLeft w:val="0"/>
      <w:marRight w:val="0"/>
      <w:marTop w:val="0"/>
      <w:marBottom w:val="0"/>
      <w:divBdr>
        <w:top w:val="none" w:sz="0" w:space="0" w:color="auto"/>
        <w:left w:val="none" w:sz="0" w:space="0" w:color="auto"/>
        <w:bottom w:val="none" w:sz="0" w:space="0" w:color="auto"/>
        <w:right w:val="none" w:sz="0" w:space="0" w:color="auto"/>
      </w:divBdr>
    </w:div>
    <w:div w:id="377977366">
      <w:bodyDiv w:val="1"/>
      <w:marLeft w:val="0"/>
      <w:marRight w:val="0"/>
      <w:marTop w:val="0"/>
      <w:marBottom w:val="0"/>
      <w:divBdr>
        <w:top w:val="none" w:sz="0" w:space="0" w:color="auto"/>
        <w:left w:val="none" w:sz="0" w:space="0" w:color="auto"/>
        <w:bottom w:val="none" w:sz="0" w:space="0" w:color="auto"/>
        <w:right w:val="none" w:sz="0" w:space="0" w:color="auto"/>
      </w:divBdr>
    </w:div>
    <w:div w:id="379942996">
      <w:bodyDiv w:val="1"/>
      <w:marLeft w:val="0"/>
      <w:marRight w:val="0"/>
      <w:marTop w:val="0"/>
      <w:marBottom w:val="0"/>
      <w:divBdr>
        <w:top w:val="none" w:sz="0" w:space="0" w:color="auto"/>
        <w:left w:val="none" w:sz="0" w:space="0" w:color="auto"/>
        <w:bottom w:val="none" w:sz="0" w:space="0" w:color="auto"/>
        <w:right w:val="none" w:sz="0" w:space="0" w:color="auto"/>
      </w:divBdr>
    </w:div>
    <w:div w:id="388068457">
      <w:bodyDiv w:val="1"/>
      <w:marLeft w:val="0"/>
      <w:marRight w:val="0"/>
      <w:marTop w:val="0"/>
      <w:marBottom w:val="0"/>
      <w:divBdr>
        <w:top w:val="none" w:sz="0" w:space="0" w:color="auto"/>
        <w:left w:val="none" w:sz="0" w:space="0" w:color="auto"/>
        <w:bottom w:val="none" w:sz="0" w:space="0" w:color="auto"/>
        <w:right w:val="none" w:sz="0" w:space="0" w:color="auto"/>
      </w:divBdr>
    </w:div>
    <w:div w:id="435946713">
      <w:bodyDiv w:val="1"/>
      <w:marLeft w:val="0"/>
      <w:marRight w:val="0"/>
      <w:marTop w:val="0"/>
      <w:marBottom w:val="0"/>
      <w:divBdr>
        <w:top w:val="none" w:sz="0" w:space="0" w:color="auto"/>
        <w:left w:val="none" w:sz="0" w:space="0" w:color="auto"/>
        <w:bottom w:val="none" w:sz="0" w:space="0" w:color="auto"/>
        <w:right w:val="none" w:sz="0" w:space="0" w:color="auto"/>
      </w:divBdr>
    </w:div>
    <w:div w:id="472253575">
      <w:bodyDiv w:val="1"/>
      <w:marLeft w:val="0"/>
      <w:marRight w:val="0"/>
      <w:marTop w:val="0"/>
      <w:marBottom w:val="0"/>
      <w:divBdr>
        <w:top w:val="none" w:sz="0" w:space="0" w:color="auto"/>
        <w:left w:val="none" w:sz="0" w:space="0" w:color="auto"/>
        <w:bottom w:val="none" w:sz="0" w:space="0" w:color="auto"/>
        <w:right w:val="none" w:sz="0" w:space="0" w:color="auto"/>
      </w:divBdr>
    </w:div>
    <w:div w:id="536426866">
      <w:bodyDiv w:val="1"/>
      <w:marLeft w:val="0"/>
      <w:marRight w:val="0"/>
      <w:marTop w:val="0"/>
      <w:marBottom w:val="0"/>
      <w:divBdr>
        <w:top w:val="none" w:sz="0" w:space="0" w:color="auto"/>
        <w:left w:val="none" w:sz="0" w:space="0" w:color="auto"/>
        <w:bottom w:val="none" w:sz="0" w:space="0" w:color="auto"/>
        <w:right w:val="none" w:sz="0" w:space="0" w:color="auto"/>
      </w:divBdr>
    </w:div>
    <w:div w:id="551966757">
      <w:bodyDiv w:val="1"/>
      <w:marLeft w:val="0"/>
      <w:marRight w:val="0"/>
      <w:marTop w:val="0"/>
      <w:marBottom w:val="0"/>
      <w:divBdr>
        <w:top w:val="none" w:sz="0" w:space="0" w:color="auto"/>
        <w:left w:val="none" w:sz="0" w:space="0" w:color="auto"/>
        <w:bottom w:val="none" w:sz="0" w:space="0" w:color="auto"/>
        <w:right w:val="none" w:sz="0" w:space="0" w:color="auto"/>
      </w:divBdr>
    </w:div>
    <w:div w:id="609825815">
      <w:bodyDiv w:val="1"/>
      <w:marLeft w:val="0"/>
      <w:marRight w:val="0"/>
      <w:marTop w:val="0"/>
      <w:marBottom w:val="0"/>
      <w:divBdr>
        <w:top w:val="none" w:sz="0" w:space="0" w:color="auto"/>
        <w:left w:val="none" w:sz="0" w:space="0" w:color="auto"/>
        <w:bottom w:val="none" w:sz="0" w:space="0" w:color="auto"/>
        <w:right w:val="none" w:sz="0" w:space="0" w:color="auto"/>
      </w:divBdr>
    </w:div>
    <w:div w:id="627473165">
      <w:bodyDiv w:val="1"/>
      <w:marLeft w:val="0"/>
      <w:marRight w:val="0"/>
      <w:marTop w:val="0"/>
      <w:marBottom w:val="0"/>
      <w:divBdr>
        <w:top w:val="none" w:sz="0" w:space="0" w:color="auto"/>
        <w:left w:val="none" w:sz="0" w:space="0" w:color="auto"/>
        <w:bottom w:val="none" w:sz="0" w:space="0" w:color="auto"/>
        <w:right w:val="none" w:sz="0" w:space="0" w:color="auto"/>
      </w:divBdr>
    </w:div>
    <w:div w:id="662662680">
      <w:bodyDiv w:val="1"/>
      <w:marLeft w:val="0"/>
      <w:marRight w:val="0"/>
      <w:marTop w:val="0"/>
      <w:marBottom w:val="0"/>
      <w:divBdr>
        <w:top w:val="none" w:sz="0" w:space="0" w:color="auto"/>
        <w:left w:val="none" w:sz="0" w:space="0" w:color="auto"/>
        <w:bottom w:val="none" w:sz="0" w:space="0" w:color="auto"/>
        <w:right w:val="none" w:sz="0" w:space="0" w:color="auto"/>
      </w:divBdr>
    </w:div>
    <w:div w:id="694693583">
      <w:bodyDiv w:val="1"/>
      <w:marLeft w:val="0"/>
      <w:marRight w:val="0"/>
      <w:marTop w:val="0"/>
      <w:marBottom w:val="0"/>
      <w:divBdr>
        <w:top w:val="none" w:sz="0" w:space="0" w:color="auto"/>
        <w:left w:val="none" w:sz="0" w:space="0" w:color="auto"/>
        <w:bottom w:val="none" w:sz="0" w:space="0" w:color="auto"/>
        <w:right w:val="none" w:sz="0" w:space="0" w:color="auto"/>
      </w:divBdr>
    </w:div>
    <w:div w:id="699477169">
      <w:bodyDiv w:val="1"/>
      <w:marLeft w:val="0"/>
      <w:marRight w:val="0"/>
      <w:marTop w:val="0"/>
      <w:marBottom w:val="0"/>
      <w:divBdr>
        <w:top w:val="none" w:sz="0" w:space="0" w:color="auto"/>
        <w:left w:val="none" w:sz="0" w:space="0" w:color="auto"/>
        <w:bottom w:val="none" w:sz="0" w:space="0" w:color="auto"/>
        <w:right w:val="none" w:sz="0" w:space="0" w:color="auto"/>
      </w:divBdr>
    </w:div>
    <w:div w:id="701445317">
      <w:bodyDiv w:val="1"/>
      <w:marLeft w:val="0"/>
      <w:marRight w:val="0"/>
      <w:marTop w:val="0"/>
      <w:marBottom w:val="0"/>
      <w:divBdr>
        <w:top w:val="none" w:sz="0" w:space="0" w:color="auto"/>
        <w:left w:val="none" w:sz="0" w:space="0" w:color="auto"/>
        <w:bottom w:val="none" w:sz="0" w:space="0" w:color="auto"/>
        <w:right w:val="none" w:sz="0" w:space="0" w:color="auto"/>
      </w:divBdr>
    </w:div>
    <w:div w:id="702945055">
      <w:bodyDiv w:val="1"/>
      <w:marLeft w:val="0"/>
      <w:marRight w:val="0"/>
      <w:marTop w:val="0"/>
      <w:marBottom w:val="0"/>
      <w:divBdr>
        <w:top w:val="none" w:sz="0" w:space="0" w:color="auto"/>
        <w:left w:val="none" w:sz="0" w:space="0" w:color="auto"/>
        <w:bottom w:val="none" w:sz="0" w:space="0" w:color="auto"/>
        <w:right w:val="none" w:sz="0" w:space="0" w:color="auto"/>
      </w:divBdr>
    </w:div>
    <w:div w:id="703751285">
      <w:bodyDiv w:val="1"/>
      <w:marLeft w:val="0"/>
      <w:marRight w:val="0"/>
      <w:marTop w:val="0"/>
      <w:marBottom w:val="0"/>
      <w:divBdr>
        <w:top w:val="none" w:sz="0" w:space="0" w:color="auto"/>
        <w:left w:val="none" w:sz="0" w:space="0" w:color="auto"/>
        <w:bottom w:val="none" w:sz="0" w:space="0" w:color="auto"/>
        <w:right w:val="none" w:sz="0" w:space="0" w:color="auto"/>
      </w:divBdr>
    </w:div>
    <w:div w:id="724332227">
      <w:bodyDiv w:val="1"/>
      <w:marLeft w:val="0"/>
      <w:marRight w:val="0"/>
      <w:marTop w:val="0"/>
      <w:marBottom w:val="0"/>
      <w:divBdr>
        <w:top w:val="none" w:sz="0" w:space="0" w:color="auto"/>
        <w:left w:val="none" w:sz="0" w:space="0" w:color="auto"/>
        <w:bottom w:val="none" w:sz="0" w:space="0" w:color="auto"/>
        <w:right w:val="none" w:sz="0" w:space="0" w:color="auto"/>
      </w:divBdr>
    </w:div>
    <w:div w:id="742602781">
      <w:bodyDiv w:val="1"/>
      <w:marLeft w:val="0"/>
      <w:marRight w:val="0"/>
      <w:marTop w:val="0"/>
      <w:marBottom w:val="0"/>
      <w:divBdr>
        <w:top w:val="none" w:sz="0" w:space="0" w:color="auto"/>
        <w:left w:val="none" w:sz="0" w:space="0" w:color="auto"/>
        <w:bottom w:val="none" w:sz="0" w:space="0" w:color="auto"/>
        <w:right w:val="none" w:sz="0" w:space="0" w:color="auto"/>
      </w:divBdr>
    </w:div>
    <w:div w:id="763574389">
      <w:bodyDiv w:val="1"/>
      <w:marLeft w:val="0"/>
      <w:marRight w:val="0"/>
      <w:marTop w:val="0"/>
      <w:marBottom w:val="0"/>
      <w:divBdr>
        <w:top w:val="none" w:sz="0" w:space="0" w:color="auto"/>
        <w:left w:val="none" w:sz="0" w:space="0" w:color="auto"/>
        <w:bottom w:val="none" w:sz="0" w:space="0" w:color="auto"/>
        <w:right w:val="none" w:sz="0" w:space="0" w:color="auto"/>
      </w:divBdr>
    </w:div>
    <w:div w:id="803889799">
      <w:bodyDiv w:val="1"/>
      <w:marLeft w:val="0"/>
      <w:marRight w:val="0"/>
      <w:marTop w:val="0"/>
      <w:marBottom w:val="0"/>
      <w:divBdr>
        <w:top w:val="none" w:sz="0" w:space="0" w:color="auto"/>
        <w:left w:val="none" w:sz="0" w:space="0" w:color="auto"/>
        <w:bottom w:val="none" w:sz="0" w:space="0" w:color="auto"/>
        <w:right w:val="none" w:sz="0" w:space="0" w:color="auto"/>
      </w:divBdr>
    </w:div>
    <w:div w:id="859733473">
      <w:bodyDiv w:val="1"/>
      <w:marLeft w:val="0"/>
      <w:marRight w:val="0"/>
      <w:marTop w:val="0"/>
      <w:marBottom w:val="0"/>
      <w:divBdr>
        <w:top w:val="none" w:sz="0" w:space="0" w:color="auto"/>
        <w:left w:val="none" w:sz="0" w:space="0" w:color="auto"/>
        <w:bottom w:val="none" w:sz="0" w:space="0" w:color="auto"/>
        <w:right w:val="none" w:sz="0" w:space="0" w:color="auto"/>
      </w:divBdr>
    </w:div>
    <w:div w:id="863326267">
      <w:bodyDiv w:val="1"/>
      <w:marLeft w:val="0"/>
      <w:marRight w:val="0"/>
      <w:marTop w:val="0"/>
      <w:marBottom w:val="0"/>
      <w:divBdr>
        <w:top w:val="none" w:sz="0" w:space="0" w:color="auto"/>
        <w:left w:val="none" w:sz="0" w:space="0" w:color="auto"/>
        <w:bottom w:val="none" w:sz="0" w:space="0" w:color="auto"/>
        <w:right w:val="none" w:sz="0" w:space="0" w:color="auto"/>
      </w:divBdr>
    </w:div>
    <w:div w:id="876696136">
      <w:bodyDiv w:val="1"/>
      <w:marLeft w:val="0"/>
      <w:marRight w:val="0"/>
      <w:marTop w:val="0"/>
      <w:marBottom w:val="0"/>
      <w:divBdr>
        <w:top w:val="none" w:sz="0" w:space="0" w:color="auto"/>
        <w:left w:val="none" w:sz="0" w:space="0" w:color="auto"/>
        <w:bottom w:val="none" w:sz="0" w:space="0" w:color="auto"/>
        <w:right w:val="none" w:sz="0" w:space="0" w:color="auto"/>
      </w:divBdr>
    </w:div>
    <w:div w:id="911310262">
      <w:bodyDiv w:val="1"/>
      <w:marLeft w:val="0"/>
      <w:marRight w:val="0"/>
      <w:marTop w:val="0"/>
      <w:marBottom w:val="0"/>
      <w:divBdr>
        <w:top w:val="none" w:sz="0" w:space="0" w:color="auto"/>
        <w:left w:val="none" w:sz="0" w:space="0" w:color="auto"/>
        <w:bottom w:val="none" w:sz="0" w:space="0" w:color="auto"/>
        <w:right w:val="none" w:sz="0" w:space="0" w:color="auto"/>
      </w:divBdr>
    </w:div>
    <w:div w:id="917597083">
      <w:bodyDiv w:val="1"/>
      <w:marLeft w:val="0"/>
      <w:marRight w:val="0"/>
      <w:marTop w:val="0"/>
      <w:marBottom w:val="0"/>
      <w:divBdr>
        <w:top w:val="none" w:sz="0" w:space="0" w:color="auto"/>
        <w:left w:val="none" w:sz="0" w:space="0" w:color="auto"/>
        <w:bottom w:val="none" w:sz="0" w:space="0" w:color="auto"/>
        <w:right w:val="none" w:sz="0" w:space="0" w:color="auto"/>
      </w:divBdr>
    </w:div>
    <w:div w:id="927924830">
      <w:bodyDiv w:val="1"/>
      <w:marLeft w:val="0"/>
      <w:marRight w:val="0"/>
      <w:marTop w:val="0"/>
      <w:marBottom w:val="0"/>
      <w:divBdr>
        <w:top w:val="none" w:sz="0" w:space="0" w:color="auto"/>
        <w:left w:val="none" w:sz="0" w:space="0" w:color="auto"/>
        <w:bottom w:val="none" w:sz="0" w:space="0" w:color="auto"/>
        <w:right w:val="none" w:sz="0" w:space="0" w:color="auto"/>
      </w:divBdr>
    </w:div>
    <w:div w:id="929432500">
      <w:bodyDiv w:val="1"/>
      <w:marLeft w:val="0"/>
      <w:marRight w:val="0"/>
      <w:marTop w:val="0"/>
      <w:marBottom w:val="0"/>
      <w:divBdr>
        <w:top w:val="none" w:sz="0" w:space="0" w:color="auto"/>
        <w:left w:val="none" w:sz="0" w:space="0" w:color="auto"/>
        <w:bottom w:val="none" w:sz="0" w:space="0" w:color="auto"/>
        <w:right w:val="none" w:sz="0" w:space="0" w:color="auto"/>
      </w:divBdr>
    </w:div>
    <w:div w:id="969744090">
      <w:bodyDiv w:val="1"/>
      <w:marLeft w:val="0"/>
      <w:marRight w:val="0"/>
      <w:marTop w:val="0"/>
      <w:marBottom w:val="0"/>
      <w:divBdr>
        <w:top w:val="none" w:sz="0" w:space="0" w:color="auto"/>
        <w:left w:val="none" w:sz="0" w:space="0" w:color="auto"/>
        <w:bottom w:val="none" w:sz="0" w:space="0" w:color="auto"/>
        <w:right w:val="none" w:sz="0" w:space="0" w:color="auto"/>
      </w:divBdr>
    </w:div>
    <w:div w:id="1005013201">
      <w:bodyDiv w:val="1"/>
      <w:marLeft w:val="0"/>
      <w:marRight w:val="0"/>
      <w:marTop w:val="0"/>
      <w:marBottom w:val="0"/>
      <w:divBdr>
        <w:top w:val="none" w:sz="0" w:space="0" w:color="auto"/>
        <w:left w:val="none" w:sz="0" w:space="0" w:color="auto"/>
        <w:bottom w:val="none" w:sz="0" w:space="0" w:color="auto"/>
        <w:right w:val="none" w:sz="0" w:space="0" w:color="auto"/>
      </w:divBdr>
    </w:div>
    <w:div w:id="1029263715">
      <w:bodyDiv w:val="1"/>
      <w:marLeft w:val="0"/>
      <w:marRight w:val="0"/>
      <w:marTop w:val="0"/>
      <w:marBottom w:val="0"/>
      <w:divBdr>
        <w:top w:val="none" w:sz="0" w:space="0" w:color="auto"/>
        <w:left w:val="none" w:sz="0" w:space="0" w:color="auto"/>
        <w:bottom w:val="none" w:sz="0" w:space="0" w:color="auto"/>
        <w:right w:val="none" w:sz="0" w:space="0" w:color="auto"/>
      </w:divBdr>
    </w:div>
    <w:div w:id="1043941109">
      <w:bodyDiv w:val="1"/>
      <w:marLeft w:val="0"/>
      <w:marRight w:val="0"/>
      <w:marTop w:val="0"/>
      <w:marBottom w:val="0"/>
      <w:divBdr>
        <w:top w:val="none" w:sz="0" w:space="0" w:color="auto"/>
        <w:left w:val="none" w:sz="0" w:space="0" w:color="auto"/>
        <w:bottom w:val="none" w:sz="0" w:space="0" w:color="auto"/>
        <w:right w:val="none" w:sz="0" w:space="0" w:color="auto"/>
      </w:divBdr>
    </w:div>
    <w:div w:id="1044211154">
      <w:bodyDiv w:val="1"/>
      <w:marLeft w:val="0"/>
      <w:marRight w:val="0"/>
      <w:marTop w:val="0"/>
      <w:marBottom w:val="0"/>
      <w:divBdr>
        <w:top w:val="none" w:sz="0" w:space="0" w:color="auto"/>
        <w:left w:val="none" w:sz="0" w:space="0" w:color="auto"/>
        <w:bottom w:val="none" w:sz="0" w:space="0" w:color="auto"/>
        <w:right w:val="none" w:sz="0" w:space="0" w:color="auto"/>
      </w:divBdr>
    </w:div>
    <w:div w:id="1049913816">
      <w:bodyDiv w:val="1"/>
      <w:marLeft w:val="0"/>
      <w:marRight w:val="0"/>
      <w:marTop w:val="0"/>
      <w:marBottom w:val="0"/>
      <w:divBdr>
        <w:top w:val="none" w:sz="0" w:space="0" w:color="auto"/>
        <w:left w:val="none" w:sz="0" w:space="0" w:color="auto"/>
        <w:bottom w:val="none" w:sz="0" w:space="0" w:color="auto"/>
        <w:right w:val="none" w:sz="0" w:space="0" w:color="auto"/>
      </w:divBdr>
    </w:div>
    <w:div w:id="1060320800">
      <w:bodyDiv w:val="1"/>
      <w:marLeft w:val="0"/>
      <w:marRight w:val="0"/>
      <w:marTop w:val="0"/>
      <w:marBottom w:val="0"/>
      <w:divBdr>
        <w:top w:val="none" w:sz="0" w:space="0" w:color="auto"/>
        <w:left w:val="none" w:sz="0" w:space="0" w:color="auto"/>
        <w:bottom w:val="none" w:sz="0" w:space="0" w:color="auto"/>
        <w:right w:val="none" w:sz="0" w:space="0" w:color="auto"/>
      </w:divBdr>
    </w:div>
    <w:div w:id="1077241594">
      <w:bodyDiv w:val="1"/>
      <w:marLeft w:val="0"/>
      <w:marRight w:val="0"/>
      <w:marTop w:val="0"/>
      <w:marBottom w:val="0"/>
      <w:divBdr>
        <w:top w:val="none" w:sz="0" w:space="0" w:color="auto"/>
        <w:left w:val="none" w:sz="0" w:space="0" w:color="auto"/>
        <w:bottom w:val="none" w:sz="0" w:space="0" w:color="auto"/>
        <w:right w:val="none" w:sz="0" w:space="0" w:color="auto"/>
      </w:divBdr>
    </w:div>
    <w:div w:id="1079252727">
      <w:bodyDiv w:val="1"/>
      <w:marLeft w:val="0"/>
      <w:marRight w:val="0"/>
      <w:marTop w:val="0"/>
      <w:marBottom w:val="0"/>
      <w:divBdr>
        <w:top w:val="none" w:sz="0" w:space="0" w:color="auto"/>
        <w:left w:val="none" w:sz="0" w:space="0" w:color="auto"/>
        <w:bottom w:val="none" w:sz="0" w:space="0" w:color="auto"/>
        <w:right w:val="none" w:sz="0" w:space="0" w:color="auto"/>
      </w:divBdr>
    </w:div>
    <w:div w:id="1083378537">
      <w:bodyDiv w:val="1"/>
      <w:marLeft w:val="0"/>
      <w:marRight w:val="0"/>
      <w:marTop w:val="0"/>
      <w:marBottom w:val="0"/>
      <w:divBdr>
        <w:top w:val="none" w:sz="0" w:space="0" w:color="auto"/>
        <w:left w:val="none" w:sz="0" w:space="0" w:color="auto"/>
        <w:bottom w:val="none" w:sz="0" w:space="0" w:color="auto"/>
        <w:right w:val="none" w:sz="0" w:space="0" w:color="auto"/>
      </w:divBdr>
    </w:div>
    <w:div w:id="1194733960">
      <w:bodyDiv w:val="1"/>
      <w:marLeft w:val="0"/>
      <w:marRight w:val="0"/>
      <w:marTop w:val="0"/>
      <w:marBottom w:val="0"/>
      <w:divBdr>
        <w:top w:val="none" w:sz="0" w:space="0" w:color="auto"/>
        <w:left w:val="none" w:sz="0" w:space="0" w:color="auto"/>
        <w:bottom w:val="none" w:sz="0" w:space="0" w:color="auto"/>
        <w:right w:val="none" w:sz="0" w:space="0" w:color="auto"/>
      </w:divBdr>
    </w:div>
    <w:div w:id="1196503880">
      <w:bodyDiv w:val="1"/>
      <w:marLeft w:val="0"/>
      <w:marRight w:val="0"/>
      <w:marTop w:val="0"/>
      <w:marBottom w:val="0"/>
      <w:divBdr>
        <w:top w:val="none" w:sz="0" w:space="0" w:color="auto"/>
        <w:left w:val="none" w:sz="0" w:space="0" w:color="auto"/>
        <w:bottom w:val="none" w:sz="0" w:space="0" w:color="auto"/>
        <w:right w:val="none" w:sz="0" w:space="0" w:color="auto"/>
      </w:divBdr>
    </w:div>
    <w:div w:id="1197693567">
      <w:bodyDiv w:val="1"/>
      <w:marLeft w:val="0"/>
      <w:marRight w:val="0"/>
      <w:marTop w:val="0"/>
      <w:marBottom w:val="0"/>
      <w:divBdr>
        <w:top w:val="none" w:sz="0" w:space="0" w:color="auto"/>
        <w:left w:val="none" w:sz="0" w:space="0" w:color="auto"/>
        <w:bottom w:val="none" w:sz="0" w:space="0" w:color="auto"/>
        <w:right w:val="none" w:sz="0" w:space="0" w:color="auto"/>
      </w:divBdr>
    </w:div>
    <w:div w:id="1247033213">
      <w:bodyDiv w:val="1"/>
      <w:marLeft w:val="0"/>
      <w:marRight w:val="0"/>
      <w:marTop w:val="0"/>
      <w:marBottom w:val="0"/>
      <w:divBdr>
        <w:top w:val="none" w:sz="0" w:space="0" w:color="auto"/>
        <w:left w:val="none" w:sz="0" w:space="0" w:color="auto"/>
        <w:bottom w:val="none" w:sz="0" w:space="0" w:color="auto"/>
        <w:right w:val="none" w:sz="0" w:space="0" w:color="auto"/>
      </w:divBdr>
    </w:div>
    <w:div w:id="1263027205">
      <w:bodyDiv w:val="1"/>
      <w:marLeft w:val="0"/>
      <w:marRight w:val="0"/>
      <w:marTop w:val="0"/>
      <w:marBottom w:val="0"/>
      <w:divBdr>
        <w:top w:val="none" w:sz="0" w:space="0" w:color="auto"/>
        <w:left w:val="none" w:sz="0" w:space="0" w:color="auto"/>
        <w:bottom w:val="none" w:sz="0" w:space="0" w:color="auto"/>
        <w:right w:val="none" w:sz="0" w:space="0" w:color="auto"/>
      </w:divBdr>
    </w:div>
    <w:div w:id="1291401771">
      <w:bodyDiv w:val="1"/>
      <w:marLeft w:val="0"/>
      <w:marRight w:val="0"/>
      <w:marTop w:val="0"/>
      <w:marBottom w:val="0"/>
      <w:divBdr>
        <w:top w:val="none" w:sz="0" w:space="0" w:color="auto"/>
        <w:left w:val="none" w:sz="0" w:space="0" w:color="auto"/>
        <w:bottom w:val="none" w:sz="0" w:space="0" w:color="auto"/>
        <w:right w:val="none" w:sz="0" w:space="0" w:color="auto"/>
      </w:divBdr>
    </w:div>
    <w:div w:id="1297832181">
      <w:bodyDiv w:val="1"/>
      <w:marLeft w:val="0"/>
      <w:marRight w:val="0"/>
      <w:marTop w:val="0"/>
      <w:marBottom w:val="0"/>
      <w:divBdr>
        <w:top w:val="none" w:sz="0" w:space="0" w:color="auto"/>
        <w:left w:val="none" w:sz="0" w:space="0" w:color="auto"/>
        <w:bottom w:val="none" w:sz="0" w:space="0" w:color="auto"/>
        <w:right w:val="none" w:sz="0" w:space="0" w:color="auto"/>
      </w:divBdr>
    </w:div>
    <w:div w:id="1298298910">
      <w:bodyDiv w:val="1"/>
      <w:marLeft w:val="0"/>
      <w:marRight w:val="0"/>
      <w:marTop w:val="0"/>
      <w:marBottom w:val="0"/>
      <w:divBdr>
        <w:top w:val="none" w:sz="0" w:space="0" w:color="auto"/>
        <w:left w:val="none" w:sz="0" w:space="0" w:color="auto"/>
        <w:bottom w:val="none" w:sz="0" w:space="0" w:color="auto"/>
        <w:right w:val="none" w:sz="0" w:space="0" w:color="auto"/>
      </w:divBdr>
    </w:div>
    <w:div w:id="1318149417">
      <w:bodyDiv w:val="1"/>
      <w:marLeft w:val="0"/>
      <w:marRight w:val="0"/>
      <w:marTop w:val="0"/>
      <w:marBottom w:val="0"/>
      <w:divBdr>
        <w:top w:val="none" w:sz="0" w:space="0" w:color="auto"/>
        <w:left w:val="none" w:sz="0" w:space="0" w:color="auto"/>
        <w:bottom w:val="none" w:sz="0" w:space="0" w:color="auto"/>
        <w:right w:val="none" w:sz="0" w:space="0" w:color="auto"/>
      </w:divBdr>
    </w:div>
    <w:div w:id="1321153130">
      <w:bodyDiv w:val="1"/>
      <w:marLeft w:val="0"/>
      <w:marRight w:val="0"/>
      <w:marTop w:val="0"/>
      <w:marBottom w:val="0"/>
      <w:divBdr>
        <w:top w:val="none" w:sz="0" w:space="0" w:color="auto"/>
        <w:left w:val="none" w:sz="0" w:space="0" w:color="auto"/>
        <w:bottom w:val="none" w:sz="0" w:space="0" w:color="auto"/>
        <w:right w:val="none" w:sz="0" w:space="0" w:color="auto"/>
      </w:divBdr>
    </w:div>
    <w:div w:id="1381057845">
      <w:bodyDiv w:val="1"/>
      <w:marLeft w:val="0"/>
      <w:marRight w:val="0"/>
      <w:marTop w:val="0"/>
      <w:marBottom w:val="0"/>
      <w:divBdr>
        <w:top w:val="none" w:sz="0" w:space="0" w:color="auto"/>
        <w:left w:val="none" w:sz="0" w:space="0" w:color="auto"/>
        <w:bottom w:val="none" w:sz="0" w:space="0" w:color="auto"/>
        <w:right w:val="none" w:sz="0" w:space="0" w:color="auto"/>
      </w:divBdr>
    </w:div>
    <w:div w:id="1384519020">
      <w:bodyDiv w:val="1"/>
      <w:marLeft w:val="0"/>
      <w:marRight w:val="0"/>
      <w:marTop w:val="0"/>
      <w:marBottom w:val="0"/>
      <w:divBdr>
        <w:top w:val="none" w:sz="0" w:space="0" w:color="auto"/>
        <w:left w:val="none" w:sz="0" w:space="0" w:color="auto"/>
        <w:bottom w:val="none" w:sz="0" w:space="0" w:color="auto"/>
        <w:right w:val="none" w:sz="0" w:space="0" w:color="auto"/>
      </w:divBdr>
    </w:div>
    <w:div w:id="1385715222">
      <w:bodyDiv w:val="1"/>
      <w:marLeft w:val="0"/>
      <w:marRight w:val="0"/>
      <w:marTop w:val="0"/>
      <w:marBottom w:val="0"/>
      <w:divBdr>
        <w:top w:val="none" w:sz="0" w:space="0" w:color="auto"/>
        <w:left w:val="none" w:sz="0" w:space="0" w:color="auto"/>
        <w:bottom w:val="none" w:sz="0" w:space="0" w:color="auto"/>
        <w:right w:val="none" w:sz="0" w:space="0" w:color="auto"/>
      </w:divBdr>
    </w:div>
    <w:div w:id="1427000682">
      <w:bodyDiv w:val="1"/>
      <w:marLeft w:val="0"/>
      <w:marRight w:val="0"/>
      <w:marTop w:val="0"/>
      <w:marBottom w:val="0"/>
      <w:divBdr>
        <w:top w:val="none" w:sz="0" w:space="0" w:color="auto"/>
        <w:left w:val="none" w:sz="0" w:space="0" w:color="auto"/>
        <w:bottom w:val="none" w:sz="0" w:space="0" w:color="auto"/>
        <w:right w:val="none" w:sz="0" w:space="0" w:color="auto"/>
      </w:divBdr>
    </w:div>
    <w:div w:id="1432821375">
      <w:bodyDiv w:val="1"/>
      <w:marLeft w:val="0"/>
      <w:marRight w:val="0"/>
      <w:marTop w:val="0"/>
      <w:marBottom w:val="0"/>
      <w:divBdr>
        <w:top w:val="none" w:sz="0" w:space="0" w:color="auto"/>
        <w:left w:val="none" w:sz="0" w:space="0" w:color="auto"/>
        <w:bottom w:val="none" w:sz="0" w:space="0" w:color="auto"/>
        <w:right w:val="none" w:sz="0" w:space="0" w:color="auto"/>
      </w:divBdr>
    </w:div>
    <w:div w:id="1447887557">
      <w:bodyDiv w:val="1"/>
      <w:marLeft w:val="0"/>
      <w:marRight w:val="0"/>
      <w:marTop w:val="0"/>
      <w:marBottom w:val="0"/>
      <w:divBdr>
        <w:top w:val="none" w:sz="0" w:space="0" w:color="auto"/>
        <w:left w:val="none" w:sz="0" w:space="0" w:color="auto"/>
        <w:bottom w:val="none" w:sz="0" w:space="0" w:color="auto"/>
        <w:right w:val="none" w:sz="0" w:space="0" w:color="auto"/>
      </w:divBdr>
    </w:div>
    <w:div w:id="1470323447">
      <w:bodyDiv w:val="1"/>
      <w:marLeft w:val="0"/>
      <w:marRight w:val="0"/>
      <w:marTop w:val="0"/>
      <w:marBottom w:val="0"/>
      <w:divBdr>
        <w:top w:val="none" w:sz="0" w:space="0" w:color="auto"/>
        <w:left w:val="none" w:sz="0" w:space="0" w:color="auto"/>
        <w:bottom w:val="none" w:sz="0" w:space="0" w:color="auto"/>
        <w:right w:val="none" w:sz="0" w:space="0" w:color="auto"/>
      </w:divBdr>
    </w:div>
    <w:div w:id="1598169992">
      <w:bodyDiv w:val="1"/>
      <w:marLeft w:val="0"/>
      <w:marRight w:val="0"/>
      <w:marTop w:val="0"/>
      <w:marBottom w:val="0"/>
      <w:divBdr>
        <w:top w:val="none" w:sz="0" w:space="0" w:color="auto"/>
        <w:left w:val="none" w:sz="0" w:space="0" w:color="auto"/>
        <w:bottom w:val="none" w:sz="0" w:space="0" w:color="auto"/>
        <w:right w:val="none" w:sz="0" w:space="0" w:color="auto"/>
      </w:divBdr>
    </w:div>
    <w:div w:id="1600792117">
      <w:bodyDiv w:val="1"/>
      <w:marLeft w:val="0"/>
      <w:marRight w:val="0"/>
      <w:marTop w:val="0"/>
      <w:marBottom w:val="0"/>
      <w:divBdr>
        <w:top w:val="none" w:sz="0" w:space="0" w:color="auto"/>
        <w:left w:val="none" w:sz="0" w:space="0" w:color="auto"/>
        <w:bottom w:val="none" w:sz="0" w:space="0" w:color="auto"/>
        <w:right w:val="none" w:sz="0" w:space="0" w:color="auto"/>
      </w:divBdr>
    </w:div>
    <w:div w:id="1671256999">
      <w:bodyDiv w:val="1"/>
      <w:marLeft w:val="0"/>
      <w:marRight w:val="0"/>
      <w:marTop w:val="0"/>
      <w:marBottom w:val="0"/>
      <w:divBdr>
        <w:top w:val="none" w:sz="0" w:space="0" w:color="auto"/>
        <w:left w:val="none" w:sz="0" w:space="0" w:color="auto"/>
        <w:bottom w:val="none" w:sz="0" w:space="0" w:color="auto"/>
        <w:right w:val="none" w:sz="0" w:space="0" w:color="auto"/>
      </w:divBdr>
    </w:div>
    <w:div w:id="1693410114">
      <w:bodyDiv w:val="1"/>
      <w:marLeft w:val="0"/>
      <w:marRight w:val="0"/>
      <w:marTop w:val="0"/>
      <w:marBottom w:val="0"/>
      <w:divBdr>
        <w:top w:val="none" w:sz="0" w:space="0" w:color="auto"/>
        <w:left w:val="none" w:sz="0" w:space="0" w:color="auto"/>
        <w:bottom w:val="none" w:sz="0" w:space="0" w:color="auto"/>
        <w:right w:val="none" w:sz="0" w:space="0" w:color="auto"/>
      </w:divBdr>
    </w:div>
    <w:div w:id="1698968370">
      <w:bodyDiv w:val="1"/>
      <w:marLeft w:val="0"/>
      <w:marRight w:val="0"/>
      <w:marTop w:val="0"/>
      <w:marBottom w:val="0"/>
      <w:divBdr>
        <w:top w:val="none" w:sz="0" w:space="0" w:color="auto"/>
        <w:left w:val="none" w:sz="0" w:space="0" w:color="auto"/>
        <w:bottom w:val="none" w:sz="0" w:space="0" w:color="auto"/>
        <w:right w:val="none" w:sz="0" w:space="0" w:color="auto"/>
      </w:divBdr>
    </w:div>
    <w:div w:id="1720058386">
      <w:bodyDiv w:val="1"/>
      <w:marLeft w:val="0"/>
      <w:marRight w:val="0"/>
      <w:marTop w:val="0"/>
      <w:marBottom w:val="0"/>
      <w:divBdr>
        <w:top w:val="none" w:sz="0" w:space="0" w:color="auto"/>
        <w:left w:val="none" w:sz="0" w:space="0" w:color="auto"/>
        <w:bottom w:val="none" w:sz="0" w:space="0" w:color="auto"/>
        <w:right w:val="none" w:sz="0" w:space="0" w:color="auto"/>
      </w:divBdr>
    </w:div>
    <w:div w:id="1734355078">
      <w:bodyDiv w:val="1"/>
      <w:marLeft w:val="0"/>
      <w:marRight w:val="0"/>
      <w:marTop w:val="0"/>
      <w:marBottom w:val="0"/>
      <w:divBdr>
        <w:top w:val="none" w:sz="0" w:space="0" w:color="auto"/>
        <w:left w:val="none" w:sz="0" w:space="0" w:color="auto"/>
        <w:bottom w:val="none" w:sz="0" w:space="0" w:color="auto"/>
        <w:right w:val="none" w:sz="0" w:space="0" w:color="auto"/>
      </w:divBdr>
    </w:div>
    <w:div w:id="1776242085">
      <w:bodyDiv w:val="1"/>
      <w:marLeft w:val="0"/>
      <w:marRight w:val="0"/>
      <w:marTop w:val="0"/>
      <w:marBottom w:val="0"/>
      <w:divBdr>
        <w:top w:val="none" w:sz="0" w:space="0" w:color="auto"/>
        <w:left w:val="none" w:sz="0" w:space="0" w:color="auto"/>
        <w:bottom w:val="none" w:sz="0" w:space="0" w:color="auto"/>
        <w:right w:val="none" w:sz="0" w:space="0" w:color="auto"/>
      </w:divBdr>
    </w:div>
    <w:div w:id="1796556205">
      <w:bodyDiv w:val="1"/>
      <w:marLeft w:val="0"/>
      <w:marRight w:val="0"/>
      <w:marTop w:val="0"/>
      <w:marBottom w:val="0"/>
      <w:divBdr>
        <w:top w:val="none" w:sz="0" w:space="0" w:color="auto"/>
        <w:left w:val="none" w:sz="0" w:space="0" w:color="auto"/>
        <w:bottom w:val="none" w:sz="0" w:space="0" w:color="auto"/>
        <w:right w:val="none" w:sz="0" w:space="0" w:color="auto"/>
      </w:divBdr>
    </w:div>
    <w:div w:id="1831561505">
      <w:bodyDiv w:val="1"/>
      <w:marLeft w:val="0"/>
      <w:marRight w:val="0"/>
      <w:marTop w:val="0"/>
      <w:marBottom w:val="0"/>
      <w:divBdr>
        <w:top w:val="none" w:sz="0" w:space="0" w:color="auto"/>
        <w:left w:val="none" w:sz="0" w:space="0" w:color="auto"/>
        <w:bottom w:val="none" w:sz="0" w:space="0" w:color="auto"/>
        <w:right w:val="none" w:sz="0" w:space="0" w:color="auto"/>
      </w:divBdr>
    </w:div>
    <w:div w:id="1883324331">
      <w:bodyDiv w:val="1"/>
      <w:marLeft w:val="0"/>
      <w:marRight w:val="0"/>
      <w:marTop w:val="0"/>
      <w:marBottom w:val="0"/>
      <w:divBdr>
        <w:top w:val="none" w:sz="0" w:space="0" w:color="auto"/>
        <w:left w:val="none" w:sz="0" w:space="0" w:color="auto"/>
        <w:bottom w:val="none" w:sz="0" w:space="0" w:color="auto"/>
        <w:right w:val="none" w:sz="0" w:space="0" w:color="auto"/>
      </w:divBdr>
    </w:div>
    <w:div w:id="1885016571">
      <w:bodyDiv w:val="1"/>
      <w:marLeft w:val="0"/>
      <w:marRight w:val="0"/>
      <w:marTop w:val="0"/>
      <w:marBottom w:val="0"/>
      <w:divBdr>
        <w:top w:val="none" w:sz="0" w:space="0" w:color="auto"/>
        <w:left w:val="none" w:sz="0" w:space="0" w:color="auto"/>
        <w:bottom w:val="none" w:sz="0" w:space="0" w:color="auto"/>
        <w:right w:val="none" w:sz="0" w:space="0" w:color="auto"/>
      </w:divBdr>
    </w:div>
    <w:div w:id="1902522087">
      <w:bodyDiv w:val="1"/>
      <w:marLeft w:val="0"/>
      <w:marRight w:val="0"/>
      <w:marTop w:val="0"/>
      <w:marBottom w:val="0"/>
      <w:divBdr>
        <w:top w:val="none" w:sz="0" w:space="0" w:color="auto"/>
        <w:left w:val="none" w:sz="0" w:space="0" w:color="auto"/>
        <w:bottom w:val="none" w:sz="0" w:space="0" w:color="auto"/>
        <w:right w:val="none" w:sz="0" w:space="0" w:color="auto"/>
      </w:divBdr>
    </w:div>
    <w:div w:id="1968050825">
      <w:bodyDiv w:val="1"/>
      <w:marLeft w:val="0"/>
      <w:marRight w:val="0"/>
      <w:marTop w:val="0"/>
      <w:marBottom w:val="0"/>
      <w:divBdr>
        <w:top w:val="none" w:sz="0" w:space="0" w:color="auto"/>
        <w:left w:val="none" w:sz="0" w:space="0" w:color="auto"/>
        <w:bottom w:val="none" w:sz="0" w:space="0" w:color="auto"/>
        <w:right w:val="none" w:sz="0" w:space="0" w:color="auto"/>
      </w:divBdr>
    </w:div>
    <w:div w:id="1970935713">
      <w:bodyDiv w:val="1"/>
      <w:marLeft w:val="0"/>
      <w:marRight w:val="0"/>
      <w:marTop w:val="0"/>
      <w:marBottom w:val="0"/>
      <w:divBdr>
        <w:top w:val="none" w:sz="0" w:space="0" w:color="auto"/>
        <w:left w:val="none" w:sz="0" w:space="0" w:color="auto"/>
        <w:bottom w:val="none" w:sz="0" w:space="0" w:color="auto"/>
        <w:right w:val="none" w:sz="0" w:space="0" w:color="auto"/>
      </w:divBdr>
    </w:div>
    <w:div w:id="1972440452">
      <w:bodyDiv w:val="1"/>
      <w:marLeft w:val="0"/>
      <w:marRight w:val="0"/>
      <w:marTop w:val="0"/>
      <w:marBottom w:val="0"/>
      <w:divBdr>
        <w:top w:val="none" w:sz="0" w:space="0" w:color="auto"/>
        <w:left w:val="none" w:sz="0" w:space="0" w:color="auto"/>
        <w:bottom w:val="none" w:sz="0" w:space="0" w:color="auto"/>
        <w:right w:val="none" w:sz="0" w:space="0" w:color="auto"/>
      </w:divBdr>
    </w:div>
    <w:div w:id="1984188256">
      <w:bodyDiv w:val="1"/>
      <w:marLeft w:val="0"/>
      <w:marRight w:val="0"/>
      <w:marTop w:val="0"/>
      <w:marBottom w:val="0"/>
      <w:divBdr>
        <w:top w:val="none" w:sz="0" w:space="0" w:color="auto"/>
        <w:left w:val="none" w:sz="0" w:space="0" w:color="auto"/>
        <w:bottom w:val="none" w:sz="0" w:space="0" w:color="auto"/>
        <w:right w:val="none" w:sz="0" w:space="0" w:color="auto"/>
      </w:divBdr>
    </w:div>
    <w:div w:id="2080057924">
      <w:bodyDiv w:val="1"/>
      <w:marLeft w:val="0"/>
      <w:marRight w:val="0"/>
      <w:marTop w:val="0"/>
      <w:marBottom w:val="0"/>
      <w:divBdr>
        <w:top w:val="none" w:sz="0" w:space="0" w:color="auto"/>
        <w:left w:val="none" w:sz="0" w:space="0" w:color="auto"/>
        <w:bottom w:val="none" w:sz="0" w:space="0" w:color="auto"/>
        <w:right w:val="none" w:sz="0" w:space="0" w:color="auto"/>
      </w:divBdr>
    </w:div>
    <w:div w:id="2081973590">
      <w:bodyDiv w:val="1"/>
      <w:marLeft w:val="0"/>
      <w:marRight w:val="0"/>
      <w:marTop w:val="0"/>
      <w:marBottom w:val="0"/>
      <w:divBdr>
        <w:top w:val="none" w:sz="0" w:space="0" w:color="auto"/>
        <w:left w:val="none" w:sz="0" w:space="0" w:color="auto"/>
        <w:bottom w:val="none" w:sz="0" w:space="0" w:color="auto"/>
        <w:right w:val="none" w:sz="0" w:space="0" w:color="auto"/>
      </w:divBdr>
    </w:div>
    <w:div w:id="208544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44A0D-8978-4854-9AD6-40E1483D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15493</Words>
  <Characters>91410</Characters>
  <Application>Microsoft Office Word</Application>
  <DocSecurity>0</DocSecurity>
  <Lines>761</Lines>
  <Paragraphs>213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(tato kapitola je záměrně ponechána prázdná)</vt:lpstr>
      <vt:lpstr>Specifikace plnění</vt:lpstr>
      <vt:lpstr>    Další činnosti LIS pro IS ZAM</vt:lpstr>
      <vt:lpstr>        Průběžné činnosti</vt:lpstr>
      <vt:lpstr>        Přizpůsobení stávajícího zpracování dat aktuálnímu stavu</vt:lpstr>
      <vt:lpstr>        Vytvoření GAP analýzy</vt:lpstr>
      <vt:lpstr>        Analýza a návrh řešení rozdělení živá a archivní dat</vt:lpstr>
      <vt:lpstr>        Analýza a návrh řešení vedení dokumentace dle nové metodiky MPSV</vt:lpstr>
      <vt:lpstr>        xxxxxxxxxx xxxxxxxxxxx xxxxxxxxx xxxxxxxxxxxxxxxxxxx xxxxxxxx</vt:lpstr>
      <vt:lpstr>        Rozšíření kontrol načítaných dat do L0</vt:lpstr>
      <vt:lpstr>        Optimalizace stahování dat ze zdrojových systémů do L0</vt:lpstr>
      <vt:lpstr>        Příprava testovacích scénářů</vt:lpstr>
      <vt:lpstr>        Aktualizace bezpečnostního modelu</vt:lpstr>
      <vt:lpstr>        Vytvoření bezpečnostní dokumentace</vt:lpstr>
      <vt:lpstr>        Vystavení čistých dat IS ZAM pro ověřovací provoz</vt:lpstr>
      <vt:lpstr>        Vytvoření rozšířené dokumentace projektu</vt:lpstr>
      <vt:lpstr>        Exitové práce</vt:lpstr>
      <vt:lpstr>        Další rozvojové práce</vt:lpstr>
      <vt:lpstr>        Ostatní</vt:lpstr>
      <vt:lpstr>Společné prvky plnění</vt:lpstr>
      <vt:lpstr>Součinnost Objednatele</vt:lpstr>
    </vt:vector>
  </TitlesOfParts>
  <Company/>
  <LinksUpToDate>false</LinksUpToDate>
  <CharactersWithSpaces>106690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2018-09-17T14:39:00Z</dcterms:created>
  <dcterms:modified xsi:type="dcterms:W3CDTF">2018-09-17T14:39:00Z</dcterms:modified>
</cp:coreProperties>
</file>