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FA523D">
      <w:pPr>
        <w:pStyle w:val="Nadpis1"/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512FC6" w:rsidRDefault="005D0296" w:rsidP="005D0296">
      <w:pPr>
        <w:jc w:val="both"/>
        <w:rPr>
          <w:rFonts w:ascii="Arial" w:hAnsi="Arial" w:cs="Arial"/>
          <w:b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</w:t>
      </w:r>
      <w:r w:rsidR="00512FC6">
        <w:rPr>
          <w:rFonts w:ascii="Arial" w:hAnsi="Arial" w:cs="Arial"/>
          <w:b/>
          <w:iCs/>
          <w:sz w:val="20"/>
        </w:rPr>
        <w:t xml:space="preserve"> 413/2018/O/24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 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  <w:r w:rsidR="00512FC6">
        <w:rPr>
          <w:rFonts w:ascii="Arial" w:hAnsi="Arial" w:cs="Arial"/>
          <w:i/>
          <w:iCs/>
          <w:sz w:val="20"/>
        </w:rPr>
        <w:t xml:space="preserve"> </w:t>
      </w:r>
      <w:r w:rsidR="00A408CD" w:rsidRPr="00512FC6">
        <w:rPr>
          <w:rFonts w:ascii="Arial" w:hAnsi="Arial" w:cs="Arial"/>
          <w:b/>
          <w:iCs/>
          <w:sz w:val="20"/>
        </w:rPr>
        <w:t>VUV180817</w:t>
      </w:r>
      <w:r w:rsidR="00A5107F" w:rsidRPr="00512FC6">
        <w:rPr>
          <w:rFonts w:ascii="Arial" w:hAnsi="Arial" w:cs="Arial"/>
          <w:b/>
          <w:iCs/>
          <w:sz w:val="20"/>
        </w:rPr>
        <w:t>_01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CF6F68">
        <w:rPr>
          <w:rFonts w:ascii="Arial" w:hAnsi="Arial" w:cs="Arial"/>
        </w:rPr>
        <w:t>Ing. Tomáš Urban, 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52487C">
        <w:rPr>
          <w:rFonts w:ascii="Arial" w:hAnsi="Arial" w:cs="Arial"/>
        </w:rPr>
        <w:t>Ing. Jiří Picek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CF6F68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CF6F68">
        <w:rPr>
          <w:rFonts w:ascii="Arial" w:hAnsi="Arial" w:cs="Arial"/>
          <w:sz w:val="20"/>
          <w:szCs w:val="20"/>
        </w:rPr>
        <w:t xml:space="preserve">od 1.6.2007 (dle zákona č.235/2004 </w:t>
      </w:r>
      <w:proofErr w:type="spellStart"/>
      <w:proofErr w:type="gramStart"/>
      <w:r w:rsidRPr="00CF6F68">
        <w:rPr>
          <w:rFonts w:ascii="Arial" w:hAnsi="Arial" w:cs="Arial"/>
          <w:sz w:val="20"/>
          <w:szCs w:val="20"/>
        </w:rPr>
        <w:t>Sb.včetně</w:t>
      </w:r>
      <w:proofErr w:type="spellEnd"/>
      <w:proofErr w:type="gramEnd"/>
      <w:r w:rsidRPr="00CF6F68">
        <w:rPr>
          <w:rFonts w:ascii="Arial" w:hAnsi="Arial" w:cs="Arial"/>
          <w:sz w:val="20"/>
          <w:szCs w:val="20"/>
        </w:rPr>
        <w:t xml:space="preserve">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A02915">
        <w:rPr>
          <w:rFonts w:ascii="Arial" w:hAnsi="Arial" w:cs="Arial"/>
          <w:b/>
          <w:bCs/>
          <w:sz w:val="22"/>
          <w:szCs w:val="22"/>
        </w:rPr>
        <w:t>HYDROSOFT</w:t>
      </w:r>
      <w:r w:rsidR="00040F6C" w:rsidRPr="00F7299E">
        <w:rPr>
          <w:rFonts w:ascii="Arial" w:hAnsi="Arial" w:cs="Arial"/>
          <w:b/>
          <w:bCs/>
          <w:sz w:val="22"/>
          <w:szCs w:val="22"/>
        </w:rPr>
        <w:t xml:space="preserve"> Veleslavín s.r.o.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Zapsán</w:t>
      </w:r>
      <w:r w:rsidR="00040F6C">
        <w:rPr>
          <w:rFonts w:ascii="Arial" w:hAnsi="Arial" w:cs="Arial"/>
        </w:rPr>
        <w:t>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u Městského soudu v Praze oddíl C, vložka 43062</w:t>
      </w:r>
    </w:p>
    <w:p w:rsidR="00040F6C" w:rsidRPr="00F7299E" w:rsidRDefault="005D0296" w:rsidP="00040F6C">
      <w:pPr>
        <w:tabs>
          <w:tab w:val="left" w:pos="3544"/>
        </w:tabs>
        <w:ind w:left="3686" w:hanging="3686"/>
        <w:rPr>
          <w:rFonts w:ascii="Arial" w:hAnsi="Arial" w:cs="Arial"/>
          <w:sz w:val="22"/>
          <w:szCs w:val="22"/>
        </w:rPr>
      </w:pPr>
      <w:r w:rsidRPr="0011703C">
        <w:rPr>
          <w:rFonts w:ascii="Arial" w:hAnsi="Arial" w:cs="Arial"/>
        </w:rPr>
        <w:t>Sídlem:</w:t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z w:val="22"/>
          <w:szCs w:val="22"/>
        </w:rPr>
        <w:t>U Sadu 13, 162 00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3B1B75">
        <w:rPr>
          <w:rFonts w:ascii="Arial" w:hAnsi="Arial" w:cs="Arial"/>
        </w:rPr>
        <w:t xml:space="preserve"> </w:t>
      </w:r>
      <w:r w:rsidR="00492BC9">
        <w:rPr>
          <w:rFonts w:ascii="Arial" w:hAnsi="Arial" w:cs="Arial"/>
        </w:rPr>
        <w:t>Mgr</w:t>
      </w:r>
      <w:r w:rsidR="00BC236B">
        <w:rPr>
          <w:rFonts w:ascii="Arial" w:hAnsi="Arial" w:cs="Arial"/>
        </w:rPr>
        <w:t>. Josef Beneš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ČSOB Praha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162295091/0300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CZ61061557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040F6C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lastRenderedPageBreak/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2487C" w:rsidRDefault="005D0296" w:rsidP="0052487C">
      <w:pPr>
        <w:pStyle w:val="Odstavecseseznamem"/>
        <w:numPr>
          <w:ilvl w:val="1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>Předmětem smlouvy je závaz</w:t>
      </w:r>
      <w:r w:rsidR="0052487C" w:rsidRPr="0052487C">
        <w:rPr>
          <w:rFonts w:ascii="Arial" w:hAnsi="Arial" w:cs="Arial"/>
        </w:rPr>
        <w:t xml:space="preserve">ek zhotovitele k rozšíření funkčnosti editoru dat simulačního modelu jakosti povrchových vod pro potřeby realizace projektu </w:t>
      </w:r>
      <w:r w:rsidR="00B01DCC" w:rsidRPr="00B01DCC">
        <w:rPr>
          <w:rFonts w:ascii="Arial" w:hAnsi="Arial" w:cs="Arial"/>
        </w:rPr>
        <w:t xml:space="preserve">CZ.07.1.02/0.0/0.0/16_040/0000382 – „Rekreační potenciál vody v Praze - stav a výhledy“ </w:t>
      </w:r>
      <w:r w:rsidR="00F33BD1">
        <w:rPr>
          <w:rFonts w:ascii="Arial" w:hAnsi="Arial" w:cs="Arial"/>
        </w:rPr>
        <w:t xml:space="preserve">o funkce webového propojení a zobrazení dat </w:t>
      </w:r>
      <w:r w:rsidR="0052487C" w:rsidRPr="0052487C">
        <w:rPr>
          <w:rFonts w:ascii="Arial" w:hAnsi="Arial" w:cs="Arial"/>
        </w:rPr>
        <w:t>v rozsahu:</w:t>
      </w:r>
    </w:p>
    <w:p w:rsidR="00721607" w:rsidRDefault="00F33BD1" w:rsidP="009057EB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implementace funkce </w:t>
      </w:r>
      <w:r w:rsidR="0045526C">
        <w:rPr>
          <w:rFonts w:ascii="Arial" w:hAnsi="Arial" w:cs="Arial"/>
        </w:rPr>
        <w:t>p</w:t>
      </w:r>
      <w:r w:rsidR="00AE5E00">
        <w:rPr>
          <w:rFonts w:ascii="Arial" w:hAnsi="Arial" w:cs="Arial"/>
        </w:rPr>
        <w:t>ři</w:t>
      </w:r>
      <w:r w:rsidR="0045526C">
        <w:rPr>
          <w:rFonts w:ascii="Arial" w:hAnsi="Arial" w:cs="Arial"/>
        </w:rPr>
        <w:t>pojení podkladových</w:t>
      </w:r>
      <w:r w:rsidR="009057EB" w:rsidRPr="009057EB">
        <w:rPr>
          <w:rFonts w:ascii="Arial" w:hAnsi="Arial" w:cs="Arial"/>
        </w:rPr>
        <w:t xml:space="preserve"> map prostřednictvím </w:t>
      </w:r>
      <w:r>
        <w:rPr>
          <w:rFonts w:ascii="Arial" w:hAnsi="Arial" w:cs="Arial"/>
        </w:rPr>
        <w:t>webových (WMS)</w:t>
      </w:r>
      <w:r w:rsidR="009057EB" w:rsidRPr="009057EB">
        <w:rPr>
          <w:rFonts w:ascii="Arial" w:hAnsi="Arial" w:cs="Arial"/>
        </w:rPr>
        <w:t xml:space="preserve"> služ</w:t>
      </w:r>
      <w:r w:rsidR="0045526C">
        <w:rPr>
          <w:rFonts w:ascii="Arial" w:hAnsi="Arial" w:cs="Arial"/>
        </w:rPr>
        <w:t>e</w:t>
      </w:r>
      <w:r w:rsidR="009057EB" w:rsidRPr="009057EB">
        <w:rPr>
          <w:rFonts w:ascii="Arial" w:hAnsi="Arial" w:cs="Arial"/>
        </w:rPr>
        <w:t>b</w:t>
      </w:r>
      <w:r w:rsidR="00721607">
        <w:rPr>
          <w:rFonts w:ascii="Arial" w:hAnsi="Arial" w:cs="Arial"/>
        </w:rPr>
        <w:t>,</w:t>
      </w:r>
    </w:p>
    <w:p w:rsidR="0052487C" w:rsidRPr="00721607" w:rsidRDefault="00F33BD1" w:rsidP="009057EB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implementace dynamické</w:t>
      </w:r>
      <w:r w:rsidR="009057EB" w:rsidRPr="009057EB">
        <w:rPr>
          <w:rFonts w:ascii="Arial" w:hAnsi="Arial" w:cs="Arial"/>
        </w:rPr>
        <w:t xml:space="preserve"> velikost</w:t>
      </w:r>
      <w:r>
        <w:rPr>
          <w:rFonts w:ascii="Arial" w:hAnsi="Arial" w:cs="Arial"/>
        </w:rPr>
        <w:t>i</w:t>
      </w:r>
      <w:r w:rsidR="009057EB" w:rsidRPr="009057EB">
        <w:rPr>
          <w:rFonts w:ascii="Arial" w:hAnsi="Arial" w:cs="Arial"/>
        </w:rPr>
        <w:t xml:space="preserve"> značek</w:t>
      </w:r>
      <w:r>
        <w:rPr>
          <w:rFonts w:ascii="Arial" w:hAnsi="Arial" w:cs="Arial"/>
        </w:rPr>
        <w:t xml:space="preserve"> bodových objektů (velikost značek v závislosti na měřítku zobrazení mapového okna)</w:t>
      </w:r>
      <w:r w:rsidR="009057EB">
        <w:rPr>
          <w:rFonts w:ascii="Arial" w:hAnsi="Arial" w:cs="Arial"/>
        </w:rPr>
        <w:t>.</w:t>
      </w:r>
    </w:p>
    <w:p w:rsidR="005D0296" w:rsidRPr="00C86567" w:rsidRDefault="005D0296" w:rsidP="005D0296">
      <w:pPr>
        <w:pStyle w:val="Zkladntextodsazen1"/>
        <w:rPr>
          <w:rFonts w:ascii="Arial" w:hAnsi="Arial" w:cs="Arial"/>
          <w:i w:val="0"/>
          <w:sz w:val="22"/>
          <w:szCs w:val="22"/>
        </w:rPr>
      </w:pPr>
    </w:p>
    <w:p w:rsidR="00C86567" w:rsidRPr="00C86567" w:rsidRDefault="005D0296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12FC6" w:rsidRDefault="005D0296" w:rsidP="005D02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 v celém ro</w:t>
      </w:r>
      <w:r w:rsidR="009F559D">
        <w:rPr>
          <w:rFonts w:ascii="Arial" w:hAnsi="Arial" w:cs="Arial"/>
          <w:sz w:val="22"/>
          <w:szCs w:val="22"/>
        </w:rPr>
        <w:t xml:space="preserve">zsahu nejpozději </w:t>
      </w:r>
      <w:r w:rsidR="009F559D" w:rsidRPr="00512FC6">
        <w:rPr>
          <w:rFonts w:ascii="Arial" w:hAnsi="Arial" w:cs="Arial"/>
          <w:b/>
          <w:sz w:val="22"/>
          <w:szCs w:val="22"/>
        </w:rPr>
        <w:t>do 31.10.2018.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 w:rsidR="00450B44">
        <w:rPr>
          <w:rFonts w:ascii="Arial" w:hAnsi="Arial" w:cs="Arial"/>
          <w:sz w:val="22"/>
          <w:szCs w:val="22"/>
        </w:rPr>
        <w:t xml:space="preserve"> elektronické </w:t>
      </w:r>
      <w:r w:rsidRPr="00C86567">
        <w:rPr>
          <w:rFonts w:ascii="Arial" w:hAnsi="Arial" w:cs="Arial"/>
          <w:sz w:val="22"/>
          <w:szCs w:val="22"/>
        </w:rPr>
        <w:t>podobě</w:t>
      </w:r>
      <w:r w:rsidR="00450B44">
        <w:rPr>
          <w:rFonts w:ascii="Arial" w:hAnsi="Arial" w:cs="Arial"/>
          <w:sz w:val="22"/>
          <w:szCs w:val="22"/>
        </w:rPr>
        <w:t xml:space="preserve"> prostřednictvím e-mailu.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Pro případ bezdůvodného odmítnutí převzetí díla platí, že dílo je předáno třetí den následující po podání písemné výzvy zhotovitele k pošto</w:t>
      </w:r>
      <w:r w:rsidR="008C6279">
        <w:rPr>
          <w:rFonts w:ascii="Arial" w:hAnsi="Arial" w:cs="Arial"/>
          <w:sz w:val="22"/>
          <w:szCs w:val="22"/>
        </w:rPr>
        <w:t>vní přepravě.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512FC6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C86577" w:rsidRPr="00512FC6">
        <w:rPr>
          <w:rFonts w:ascii="Arial" w:hAnsi="Arial" w:cs="Arial"/>
          <w:b/>
          <w:sz w:val="22"/>
          <w:szCs w:val="22"/>
        </w:rPr>
        <w:t>1</w:t>
      </w:r>
      <w:r w:rsidR="00D17494" w:rsidRPr="00512FC6">
        <w:rPr>
          <w:rFonts w:ascii="Arial" w:hAnsi="Arial" w:cs="Arial"/>
          <w:b/>
          <w:sz w:val="22"/>
          <w:szCs w:val="22"/>
        </w:rPr>
        <w:t>0</w:t>
      </w:r>
      <w:r w:rsidR="00C86577" w:rsidRPr="00512FC6">
        <w:rPr>
          <w:rFonts w:ascii="Arial" w:hAnsi="Arial" w:cs="Arial"/>
          <w:b/>
          <w:sz w:val="22"/>
          <w:szCs w:val="22"/>
        </w:rPr>
        <w:t xml:space="preserve">0 000,- </w:t>
      </w:r>
      <w:r w:rsidRPr="00512FC6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8375DC" w:rsidRPr="00512FC6">
        <w:rPr>
          <w:rFonts w:ascii="Arial" w:hAnsi="Arial" w:cs="Arial"/>
          <w:b/>
          <w:sz w:val="22"/>
          <w:szCs w:val="22"/>
        </w:rPr>
        <w:t>jedno</w:t>
      </w:r>
      <w:r w:rsidR="00C86577" w:rsidRPr="00512FC6">
        <w:rPr>
          <w:rFonts w:ascii="Arial" w:hAnsi="Arial" w:cs="Arial"/>
          <w:b/>
          <w:sz w:val="22"/>
          <w:szCs w:val="22"/>
        </w:rPr>
        <w:t>stotisíc</w:t>
      </w:r>
      <w:proofErr w:type="spellEnd"/>
      <w:r w:rsidRPr="00512FC6">
        <w:rPr>
          <w:rFonts w:ascii="Arial" w:hAnsi="Arial" w:cs="Arial"/>
          <w:b/>
          <w:sz w:val="22"/>
          <w:szCs w:val="22"/>
        </w:rPr>
        <w:t xml:space="preserve"> korun)</w:t>
      </w:r>
      <w:r w:rsidRPr="00512FC6">
        <w:rPr>
          <w:rFonts w:ascii="Arial" w:hAnsi="Arial" w:cs="Arial"/>
          <w:b/>
          <w:i/>
          <w:sz w:val="22"/>
          <w:szCs w:val="22"/>
        </w:rPr>
        <w:t xml:space="preserve"> </w:t>
      </w:r>
      <w:r w:rsidR="00C86577" w:rsidRPr="00512FC6">
        <w:rPr>
          <w:rFonts w:ascii="Arial" w:hAnsi="Arial" w:cs="Arial"/>
          <w:b/>
          <w:sz w:val="22"/>
          <w:szCs w:val="22"/>
        </w:rPr>
        <w:t>včetně</w:t>
      </w:r>
      <w:r w:rsidRPr="00512FC6">
        <w:rPr>
          <w:rFonts w:ascii="Arial" w:hAnsi="Arial" w:cs="Arial"/>
          <w:b/>
          <w:iCs/>
          <w:sz w:val="22"/>
          <w:szCs w:val="22"/>
        </w:rPr>
        <w:t xml:space="preserve"> DPH.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5D0296" w:rsidRPr="00101199"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:rsidR="005D0296" w:rsidRPr="0011703C" w:rsidRDefault="005D0296" w:rsidP="00B0604F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4.2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</w:t>
      </w:r>
      <w:r w:rsidR="00BC7469">
        <w:rPr>
          <w:rFonts w:ascii="Arial" w:hAnsi="Arial" w:cs="Arial"/>
          <w:sz w:val="22"/>
          <w:szCs w:val="22"/>
        </w:rPr>
        <w:t xml:space="preserve"> do 14</w:t>
      </w:r>
      <w:r w:rsidRPr="00101199">
        <w:rPr>
          <w:rFonts w:ascii="Arial" w:hAnsi="Arial" w:cs="Arial"/>
          <w:sz w:val="22"/>
          <w:szCs w:val="22"/>
        </w:rPr>
        <w:t xml:space="preserve"> dnů po převzetí díla objednatelem. Od konečné faktury bude odečtena záloh</w:t>
      </w:r>
      <w:r w:rsidR="00512FC6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101199">
        <w:rPr>
          <w:rFonts w:ascii="Arial" w:hAnsi="Arial" w:cs="Arial"/>
          <w:sz w:val="22"/>
          <w:szCs w:val="22"/>
        </w:rPr>
        <w:t xml:space="preserve"> a dílčí platby poskytnuté dle bodu 4.1.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584668" w:rsidRDefault="00584668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584668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o poskytovateli zdanitelného plnění je zveřejněna způsobem umožňujícím dálkový přístup skutečnost, že je nespolehlivým </w:t>
      </w:r>
      <w:proofErr w:type="spellStart"/>
      <w:proofErr w:type="gramStart"/>
      <w:r w:rsidRPr="00E8571D">
        <w:rPr>
          <w:rFonts w:ascii="Arial" w:hAnsi="Arial" w:cs="Arial"/>
          <w:color w:val="000000"/>
        </w:rPr>
        <w:t>plátcem,</w:t>
      </w:r>
      <w:r w:rsidRPr="00855767">
        <w:rPr>
          <w:rFonts w:ascii="Arial" w:hAnsi="Arial" w:cs="Arial"/>
        </w:rPr>
        <w:t>nebo</w:t>
      </w:r>
      <w:proofErr w:type="spellEnd"/>
      <w:proofErr w:type="gramEnd"/>
      <w:r w:rsidRPr="00855767">
        <w:rPr>
          <w:rFonts w:ascii="Arial" w:hAnsi="Arial" w:cs="Arial"/>
        </w:rPr>
        <w:t xml:space="preserve">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 xml:space="preserve">Za každý započatý měsíc prodlení v době plnění dle článku II má objednatel právo účtovat zhotoviteli smluvní pokutu ve </w:t>
      </w:r>
      <w:r w:rsidR="005D0296" w:rsidRPr="00A02915">
        <w:rPr>
          <w:rFonts w:ascii="Arial" w:hAnsi="Arial" w:cs="Arial"/>
          <w:sz w:val="22"/>
          <w:szCs w:val="22"/>
        </w:rPr>
        <w:t>výši 2 % z ceny</w:t>
      </w:r>
      <w:r w:rsidR="005D0296" w:rsidRPr="007039CD">
        <w:rPr>
          <w:rFonts w:ascii="Arial" w:hAnsi="Arial" w:cs="Arial"/>
          <w:sz w:val="22"/>
          <w:szCs w:val="22"/>
        </w:rPr>
        <w:t xml:space="preserve">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lastRenderedPageBreak/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Tato smlouva je vyhotovena v</w:t>
      </w:r>
      <w:r w:rsidR="00BC7469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 </w:t>
      </w:r>
      <w:r w:rsidR="00BC7469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BC7469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BC7469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469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„P</w:t>
      </w:r>
      <w:r w:rsidR="005D0296" w:rsidRPr="009A3DDC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a 1 – Rozpočet“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584668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584668" w:rsidRPr="00584668">
        <w:rPr>
          <w:rFonts w:ascii="Arial" w:hAnsi="Arial" w:cs="Arial"/>
          <w:sz w:val="22"/>
          <w:szCs w:val="22"/>
        </w:rPr>
        <w:t>Smlouva nabývá platnosti dnem podpisu oprávněnými zástupci všech smluvních stran a účinnosti okamžikem zveřejnění v registru smluv podle zák. č. 340/2015 Sb. o registru smluv.  Smlouvu v registru smluv zveřejní objednatel.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3477CE" w:rsidRDefault="00584668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Urban, ředitel</w:t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 w:rsidRPr="00650900">
        <w:rPr>
          <w:rFonts w:ascii="Arial" w:hAnsi="Arial" w:cs="Arial"/>
          <w:sz w:val="20"/>
        </w:rPr>
        <w:t xml:space="preserve">Ing. </w:t>
      </w:r>
      <w:r w:rsidR="00BC236B">
        <w:rPr>
          <w:rFonts w:ascii="Arial" w:hAnsi="Arial" w:cs="Arial"/>
          <w:sz w:val="20"/>
        </w:rPr>
        <w:t>Petr Hurych</w:t>
      </w:r>
      <w:r w:rsidR="00BC236B" w:rsidRPr="00650900">
        <w:rPr>
          <w:rFonts w:ascii="Arial" w:hAnsi="Arial" w:cs="Arial"/>
          <w:sz w:val="20"/>
        </w:rPr>
        <w:t>, jednatel</w:t>
      </w:r>
    </w:p>
    <w:p w:rsidR="00B342AA" w:rsidRDefault="007F0C4A" w:rsidP="00D17494">
      <w:pPr>
        <w:ind w:left="705"/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B342AA" w:rsidRPr="00B342AA" w:rsidRDefault="00B342AA" w:rsidP="00B342AA">
      <w:pPr>
        <w:pStyle w:val="Nadpis5"/>
        <w:rPr>
          <w:rFonts w:ascii="Arial" w:hAnsi="Arial" w:cs="Arial"/>
          <w:i w:val="0"/>
        </w:rPr>
      </w:pPr>
      <w:r w:rsidRPr="00B342AA">
        <w:rPr>
          <w:rFonts w:ascii="Arial" w:hAnsi="Arial" w:cs="Arial"/>
          <w:i w:val="0"/>
        </w:rPr>
        <w:lastRenderedPageBreak/>
        <w:t>Příloha 1 - Rozpočet</w:t>
      </w: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</w:tblGrid>
      <w:tr w:rsidR="00B342AA" w:rsidRPr="00650900" w:rsidTr="00B342AA">
        <w:trPr>
          <w:trHeight w:val="412"/>
        </w:trPr>
        <w:tc>
          <w:tcPr>
            <w:tcW w:w="595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cena vč. DPH</w:t>
            </w:r>
          </w:p>
        </w:tc>
      </w:tr>
      <w:tr w:rsidR="00B342AA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45526C" w:rsidP="0045526C">
            <w:pPr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možnost připojení podkladových</w:t>
            </w:r>
            <w:r w:rsidR="00D17494" w:rsidRPr="00D17494">
              <w:rPr>
                <w:rFonts w:ascii="Arial" w:hAnsi="Arial" w:cs="Arial"/>
              </w:rPr>
              <w:t xml:space="preserve"> map prostřednictvím </w:t>
            </w:r>
            <w:proofErr w:type="spellStart"/>
            <w:r w:rsidR="00D17494" w:rsidRPr="00D17494">
              <w:rPr>
                <w:rFonts w:ascii="Arial" w:hAnsi="Arial" w:cs="Arial"/>
              </w:rPr>
              <w:t>wms</w:t>
            </w:r>
            <w:proofErr w:type="spellEnd"/>
            <w:r w:rsidR="00D17494" w:rsidRPr="00D17494">
              <w:rPr>
                <w:rFonts w:ascii="Arial" w:hAnsi="Arial" w:cs="Arial"/>
              </w:rPr>
              <w:t xml:space="preserve"> služ</w:t>
            </w:r>
            <w:r>
              <w:rPr>
                <w:rFonts w:ascii="Arial" w:hAnsi="Arial" w:cs="Arial"/>
              </w:rPr>
              <w:t>e</w:t>
            </w:r>
            <w:r w:rsidR="00D17494" w:rsidRPr="00D17494">
              <w:rPr>
                <w:rFonts w:ascii="Arial" w:hAnsi="Arial" w:cs="Arial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9035DB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65 000,-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D17494" w:rsidP="0045526C">
            <w:pPr>
              <w:ind w:left="209"/>
              <w:jc w:val="both"/>
              <w:rPr>
                <w:rFonts w:ascii="Arial" w:hAnsi="Arial" w:cs="Arial"/>
              </w:rPr>
            </w:pPr>
            <w:r w:rsidRPr="009057EB">
              <w:rPr>
                <w:rFonts w:ascii="Arial" w:hAnsi="Arial" w:cs="Arial"/>
              </w:rPr>
              <w:t>dynamická velikost značek</w:t>
            </w:r>
            <w:r w:rsidR="0045526C">
              <w:rPr>
                <w:rFonts w:ascii="Arial" w:hAnsi="Arial" w:cs="Arial"/>
              </w:rPr>
              <w:t xml:space="preserve"> bodových objektů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9035DB" w:rsidP="00D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35 000,-</w:t>
            </w:r>
          </w:p>
        </w:tc>
      </w:tr>
      <w:tr w:rsidR="00B342AA" w:rsidRPr="00650900" w:rsidTr="00B342AA">
        <w:trPr>
          <w:trHeight w:val="636"/>
        </w:trPr>
        <w:tc>
          <w:tcPr>
            <w:tcW w:w="595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F84FCE">
            <w:pPr>
              <w:ind w:left="209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D17494" w:rsidP="00B34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342AA" w:rsidRPr="00650900">
              <w:rPr>
                <w:rFonts w:ascii="Arial" w:hAnsi="Arial" w:cs="Arial"/>
                <w:b/>
                <w:bCs/>
              </w:rPr>
              <w:t>0 000,-</w:t>
            </w:r>
          </w:p>
        </w:tc>
      </w:tr>
    </w:tbl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FF4406" w:rsidRDefault="00FF4406" w:rsidP="00FF4406">
      <w:pPr>
        <w:ind w:left="705" w:hanging="705"/>
        <w:jc w:val="both"/>
      </w:pPr>
    </w:p>
    <w:sectPr w:rsidR="00FF4406" w:rsidSect="00FF4406">
      <w:headerReference w:type="default" r:id="rId7"/>
      <w:footerReference w:type="default" r:id="rId8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F4" w:rsidRDefault="00F94AF4">
      <w:r>
        <w:separator/>
      </w:r>
    </w:p>
  </w:endnote>
  <w:endnote w:type="continuationSeparator" w:id="0">
    <w:p w:rsidR="00F94AF4" w:rsidRDefault="00F9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F4" w:rsidRDefault="00F94AF4">
      <w:r>
        <w:separator/>
      </w:r>
    </w:p>
  </w:footnote>
  <w:footnote w:type="continuationSeparator" w:id="0">
    <w:p w:rsidR="00F94AF4" w:rsidRDefault="00F9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973BA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813"/>
    <w:multiLevelType w:val="hybridMultilevel"/>
    <w:tmpl w:val="EE6C2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8E66A2"/>
    <w:multiLevelType w:val="multilevel"/>
    <w:tmpl w:val="5DC49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5"/>
    <w:rsid w:val="00006DCE"/>
    <w:rsid w:val="00012203"/>
    <w:rsid w:val="00027C6D"/>
    <w:rsid w:val="00040F6C"/>
    <w:rsid w:val="0005645B"/>
    <w:rsid w:val="000A1A14"/>
    <w:rsid w:val="000A52D1"/>
    <w:rsid w:val="00101199"/>
    <w:rsid w:val="0011703C"/>
    <w:rsid w:val="001467BC"/>
    <w:rsid w:val="001477AA"/>
    <w:rsid w:val="00176C90"/>
    <w:rsid w:val="001F2F06"/>
    <w:rsid w:val="002153E3"/>
    <w:rsid w:val="0023186F"/>
    <w:rsid w:val="002F52D0"/>
    <w:rsid w:val="00302222"/>
    <w:rsid w:val="00331DD1"/>
    <w:rsid w:val="00336F30"/>
    <w:rsid w:val="00341D89"/>
    <w:rsid w:val="003477CE"/>
    <w:rsid w:val="00353FAA"/>
    <w:rsid w:val="003B1B75"/>
    <w:rsid w:val="003B5528"/>
    <w:rsid w:val="0041776B"/>
    <w:rsid w:val="00447617"/>
    <w:rsid w:val="00450B44"/>
    <w:rsid w:val="0045526C"/>
    <w:rsid w:val="00482C6D"/>
    <w:rsid w:val="00491BA5"/>
    <w:rsid w:val="00492BC9"/>
    <w:rsid w:val="00494DBF"/>
    <w:rsid w:val="00512FC6"/>
    <w:rsid w:val="0052487C"/>
    <w:rsid w:val="00584668"/>
    <w:rsid w:val="005A6BDC"/>
    <w:rsid w:val="005C145F"/>
    <w:rsid w:val="005D0296"/>
    <w:rsid w:val="005D5EFB"/>
    <w:rsid w:val="006A573B"/>
    <w:rsid w:val="006B0213"/>
    <w:rsid w:val="006C11ED"/>
    <w:rsid w:val="007039CD"/>
    <w:rsid w:val="00721607"/>
    <w:rsid w:val="00727018"/>
    <w:rsid w:val="007510FF"/>
    <w:rsid w:val="007F0C4A"/>
    <w:rsid w:val="007F7564"/>
    <w:rsid w:val="00812277"/>
    <w:rsid w:val="0083432E"/>
    <w:rsid w:val="008375DC"/>
    <w:rsid w:val="00851911"/>
    <w:rsid w:val="00855767"/>
    <w:rsid w:val="008C6279"/>
    <w:rsid w:val="008C7E09"/>
    <w:rsid w:val="009035DB"/>
    <w:rsid w:val="009057EB"/>
    <w:rsid w:val="009126FA"/>
    <w:rsid w:val="00973BA5"/>
    <w:rsid w:val="009A3DDC"/>
    <w:rsid w:val="009A4A66"/>
    <w:rsid w:val="009F3978"/>
    <w:rsid w:val="009F559D"/>
    <w:rsid w:val="00A02915"/>
    <w:rsid w:val="00A06697"/>
    <w:rsid w:val="00A408CD"/>
    <w:rsid w:val="00A5107F"/>
    <w:rsid w:val="00A6783E"/>
    <w:rsid w:val="00AE5E00"/>
    <w:rsid w:val="00AF7D23"/>
    <w:rsid w:val="00B01DCC"/>
    <w:rsid w:val="00B0604F"/>
    <w:rsid w:val="00B342AA"/>
    <w:rsid w:val="00B4179E"/>
    <w:rsid w:val="00B447E1"/>
    <w:rsid w:val="00B731BF"/>
    <w:rsid w:val="00B96701"/>
    <w:rsid w:val="00BA7547"/>
    <w:rsid w:val="00BA7A7B"/>
    <w:rsid w:val="00BC236B"/>
    <w:rsid w:val="00BC7469"/>
    <w:rsid w:val="00C52706"/>
    <w:rsid w:val="00C64414"/>
    <w:rsid w:val="00C777BD"/>
    <w:rsid w:val="00C824DE"/>
    <w:rsid w:val="00C86567"/>
    <w:rsid w:val="00C86577"/>
    <w:rsid w:val="00CF6F68"/>
    <w:rsid w:val="00D17494"/>
    <w:rsid w:val="00D254EF"/>
    <w:rsid w:val="00DB6AA1"/>
    <w:rsid w:val="00E10BAD"/>
    <w:rsid w:val="00E3393D"/>
    <w:rsid w:val="00E350C6"/>
    <w:rsid w:val="00E55DD9"/>
    <w:rsid w:val="00E85F86"/>
    <w:rsid w:val="00EC22BD"/>
    <w:rsid w:val="00ED3C28"/>
    <w:rsid w:val="00F10AF2"/>
    <w:rsid w:val="00F33BD1"/>
    <w:rsid w:val="00F5603D"/>
    <w:rsid w:val="00F84FCE"/>
    <w:rsid w:val="00F94AF4"/>
    <w:rsid w:val="00F95A92"/>
    <w:rsid w:val="00FA30E3"/>
    <w:rsid w:val="00FA523D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9E0385"/>
  <w15:docId w15:val="{EA4B1B3F-F913-43C2-925E-5FDECD1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Temp\notesFCBCEE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8</TotalTime>
  <Pages>6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Horáková Irena</dc:creator>
  <cp:lastModifiedBy>Horáková Irena</cp:lastModifiedBy>
  <cp:revision>3</cp:revision>
  <cp:lastPrinted>2010-07-15T13:45:00Z</cp:lastPrinted>
  <dcterms:created xsi:type="dcterms:W3CDTF">2018-08-30T08:51:00Z</dcterms:created>
  <dcterms:modified xsi:type="dcterms:W3CDTF">2018-08-30T09:08:00Z</dcterms:modified>
</cp:coreProperties>
</file>