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Pr="0011703C" w:rsidRDefault="005D0296" w:rsidP="00491BA5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491BA5">
        <w:rPr>
          <w:rFonts w:ascii="Arial" w:hAnsi="Arial" w:cs="Arial"/>
        </w:rPr>
        <w:t xml:space="preserve">2586 </w:t>
      </w:r>
      <w:r w:rsidRPr="0011703C">
        <w:rPr>
          <w:rFonts w:ascii="Arial" w:hAnsi="Arial" w:cs="Arial"/>
        </w:rPr>
        <w:t>ob</w:t>
      </w:r>
      <w:r w:rsidR="00491BA5">
        <w:rPr>
          <w:rFonts w:ascii="Arial" w:hAnsi="Arial" w:cs="Arial"/>
        </w:rPr>
        <w:t>čanského</w:t>
      </w:r>
      <w:r w:rsidRPr="0011703C">
        <w:rPr>
          <w:rFonts w:ascii="Arial" w:hAnsi="Arial" w:cs="Arial"/>
        </w:rPr>
        <w:t xml:space="preserve"> zákoníku č. </w:t>
      </w:r>
      <w:r w:rsidR="00491BA5">
        <w:rPr>
          <w:rFonts w:ascii="Arial" w:hAnsi="Arial" w:cs="Arial"/>
        </w:rPr>
        <w:t>89</w:t>
      </w:r>
      <w:r w:rsidRPr="0011703C">
        <w:rPr>
          <w:rFonts w:ascii="Arial" w:hAnsi="Arial" w:cs="Arial"/>
        </w:rPr>
        <w:t>/</w:t>
      </w:r>
      <w:r w:rsidR="00491BA5">
        <w:rPr>
          <w:rFonts w:ascii="Arial" w:hAnsi="Arial" w:cs="Arial"/>
        </w:rPr>
        <w:t>2012</w:t>
      </w:r>
      <w:r w:rsidRPr="0011703C">
        <w:rPr>
          <w:rFonts w:ascii="Arial" w:hAnsi="Arial" w:cs="Arial"/>
        </w:rPr>
        <w:t xml:space="preserve"> Sb</w:t>
      </w:r>
      <w:r w:rsidR="005A6BDC">
        <w:rPr>
          <w:rFonts w:ascii="Arial" w:hAnsi="Arial" w:cs="Arial"/>
        </w:rPr>
        <w:t>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5D0296" w:rsidRPr="00494EAC" w:rsidRDefault="005D0296" w:rsidP="005D0296">
      <w:pPr>
        <w:jc w:val="both"/>
        <w:rPr>
          <w:rFonts w:ascii="Arial" w:hAnsi="Arial" w:cs="Arial"/>
          <w:b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</w:t>
      </w:r>
      <w:r w:rsidR="00494EAC">
        <w:rPr>
          <w:rFonts w:ascii="Arial" w:hAnsi="Arial" w:cs="Arial"/>
          <w:b/>
          <w:iCs/>
          <w:sz w:val="20"/>
        </w:rPr>
        <w:t>413/2018/O/23</w:t>
      </w:r>
      <w:r w:rsidRPr="0011703C">
        <w:rPr>
          <w:rFonts w:ascii="Arial" w:hAnsi="Arial" w:cs="Arial"/>
          <w:i/>
          <w:iCs/>
          <w:sz w:val="20"/>
        </w:rPr>
        <w:t xml:space="preserve">                               </w:t>
      </w:r>
      <w:proofErr w:type="spell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r w:rsidRPr="0011703C">
        <w:rPr>
          <w:rFonts w:ascii="Arial" w:hAnsi="Arial" w:cs="Arial"/>
          <w:i/>
          <w:iCs/>
          <w:sz w:val="20"/>
        </w:rPr>
        <w:t xml:space="preserve"> zhotovitele:</w:t>
      </w:r>
      <w:r w:rsidR="00A0070D" w:rsidRPr="00494EAC">
        <w:rPr>
          <w:rFonts w:ascii="Arial" w:hAnsi="Arial" w:cs="Arial"/>
          <w:b/>
          <w:iCs/>
          <w:sz w:val="20"/>
        </w:rPr>
        <w:t>VUV180817_02</w:t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Objednatel:</w:t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Výzkumný ústav vodohospodářský T.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G.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Masaryka</w:t>
      </w:r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05645B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 Praha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</w:r>
      <w:r w:rsidR="00CF6F68">
        <w:rPr>
          <w:rFonts w:ascii="Arial" w:hAnsi="Arial" w:cs="Arial"/>
        </w:rPr>
        <w:t>Ing. Tomáš Urban, 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52487C">
        <w:rPr>
          <w:rFonts w:ascii="Arial" w:hAnsi="Arial" w:cs="Arial"/>
        </w:rPr>
        <w:t>Ing. Jiří Picek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32931-061/0100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CF6F68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CF6F68">
        <w:rPr>
          <w:rFonts w:ascii="Arial" w:hAnsi="Arial" w:cs="Arial"/>
          <w:sz w:val="20"/>
          <w:szCs w:val="20"/>
        </w:rPr>
        <w:t xml:space="preserve">od 1.6.2007 (dle zákona č.235/2004 </w:t>
      </w:r>
      <w:proofErr w:type="spellStart"/>
      <w:proofErr w:type="gramStart"/>
      <w:r w:rsidRPr="00CF6F68">
        <w:rPr>
          <w:rFonts w:ascii="Arial" w:hAnsi="Arial" w:cs="Arial"/>
          <w:sz w:val="20"/>
          <w:szCs w:val="20"/>
        </w:rPr>
        <w:t>Sb.včetně</w:t>
      </w:r>
      <w:proofErr w:type="spellEnd"/>
      <w:proofErr w:type="gramEnd"/>
      <w:r w:rsidRPr="00CF6F68">
        <w:rPr>
          <w:rFonts w:ascii="Arial" w:hAnsi="Arial" w:cs="Arial"/>
          <w:sz w:val="20"/>
          <w:szCs w:val="20"/>
        </w:rPr>
        <w:t xml:space="preserve">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>(dále jen objednatel)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Zhotovitel:</w:t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A0070D">
        <w:rPr>
          <w:rFonts w:ascii="Arial" w:hAnsi="Arial" w:cs="Arial"/>
          <w:b/>
          <w:bCs/>
          <w:sz w:val="22"/>
          <w:szCs w:val="22"/>
        </w:rPr>
        <w:t>HYDROSOFT</w:t>
      </w:r>
      <w:r w:rsidR="00040F6C" w:rsidRPr="00F7299E">
        <w:rPr>
          <w:rFonts w:ascii="Arial" w:hAnsi="Arial" w:cs="Arial"/>
          <w:b/>
          <w:bCs/>
          <w:sz w:val="22"/>
          <w:szCs w:val="22"/>
        </w:rPr>
        <w:t xml:space="preserve"> Veleslavín s.r.o.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Zapsán</w:t>
      </w:r>
      <w:r w:rsidR="00040F6C">
        <w:rPr>
          <w:rFonts w:ascii="Arial" w:hAnsi="Arial" w:cs="Arial"/>
        </w:rPr>
        <w:t>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u Městského soudu v Praze oddíl C, vložka 43062</w:t>
      </w:r>
    </w:p>
    <w:p w:rsidR="00040F6C" w:rsidRPr="00F7299E" w:rsidRDefault="005D0296" w:rsidP="00040F6C">
      <w:pPr>
        <w:tabs>
          <w:tab w:val="left" w:pos="3544"/>
        </w:tabs>
        <w:ind w:left="3686" w:hanging="3686"/>
        <w:rPr>
          <w:rFonts w:ascii="Arial" w:hAnsi="Arial" w:cs="Arial"/>
          <w:sz w:val="22"/>
          <w:szCs w:val="22"/>
        </w:rPr>
      </w:pPr>
      <w:r w:rsidRPr="0011703C">
        <w:rPr>
          <w:rFonts w:ascii="Arial" w:hAnsi="Arial" w:cs="Arial"/>
        </w:rPr>
        <w:t>Sídlem:</w:t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z w:val="22"/>
          <w:szCs w:val="22"/>
        </w:rPr>
        <w:t>U Sadu 13, 162 00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="003B1B75">
        <w:rPr>
          <w:rFonts w:ascii="Arial" w:hAnsi="Arial" w:cs="Arial"/>
        </w:rPr>
        <w:t xml:space="preserve"> </w:t>
      </w:r>
      <w:r w:rsidR="00492BC9">
        <w:rPr>
          <w:rFonts w:ascii="Arial" w:hAnsi="Arial" w:cs="Arial"/>
        </w:rPr>
        <w:t>Mgr</w:t>
      </w:r>
      <w:r w:rsidR="00BC236B">
        <w:rPr>
          <w:rFonts w:ascii="Arial" w:hAnsi="Arial" w:cs="Arial"/>
        </w:rPr>
        <w:t>. Josef Beneš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ČSOB Praha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162295091/0300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CZ61061557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040F6C" w:rsidP="005D029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>(dále jen zhotovitel)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 w:rsidRPr="0011703C">
        <w:rPr>
          <w:rFonts w:ascii="Arial" w:hAnsi="Arial" w:cs="Arial"/>
        </w:rPr>
        <w:t>čl.I</w:t>
      </w:r>
      <w:proofErr w:type="spellEnd"/>
      <w:r w:rsidRPr="0011703C">
        <w:rPr>
          <w:rFonts w:ascii="Arial" w:hAnsi="Arial" w:cs="Arial"/>
        </w:rPr>
        <w:t xml:space="preserve"> této</w:t>
      </w:r>
      <w:proofErr w:type="gramEnd"/>
      <w:r w:rsidRPr="0011703C">
        <w:rPr>
          <w:rFonts w:ascii="Arial" w:hAnsi="Arial" w:cs="Arial"/>
        </w:rPr>
        <w:t xml:space="preserve"> smlouvy a objednatel k zaplacení ceny za podle čl. III. této smlouvy, a to za podmínek dále ve smlouvě uvedených.</w:t>
      </w:r>
    </w:p>
    <w:p w:rsidR="00494EAC" w:rsidRDefault="00494EAC" w:rsidP="00101199">
      <w:pPr>
        <w:pStyle w:val="Nadpis2"/>
        <w:jc w:val="center"/>
        <w:rPr>
          <w:i w:val="0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52487C" w:rsidRDefault="005D0296" w:rsidP="0052487C">
      <w:pPr>
        <w:pStyle w:val="Odstavecseseznamem"/>
        <w:numPr>
          <w:ilvl w:val="1"/>
          <w:numId w:val="9"/>
        </w:numPr>
        <w:tabs>
          <w:tab w:val="left" w:pos="709"/>
        </w:tabs>
        <w:jc w:val="both"/>
        <w:rPr>
          <w:rFonts w:ascii="Arial" w:hAnsi="Arial" w:cs="Arial"/>
        </w:rPr>
      </w:pPr>
      <w:r w:rsidRPr="0052487C">
        <w:rPr>
          <w:rFonts w:ascii="Arial" w:hAnsi="Arial" w:cs="Arial"/>
        </w:rPr>
        <w:t>Předmětem smlouvy je závaz</w:t>
      </w:r>
      <w:r w:rsidR="0052487C" w:rsidRPr="0052487C">
        <w:rPr>
          <w:rFonts w:ascii="Arial" w:hAnsi="Arial" w:cs="Arial"/>
        </w:rPr>
        <w:t>ek zhotovitele k rozšíření funkčnosti editoru dat simulačního modelu jakosti povrchových vod pro potřeby realizace projektu VI20172020097 – „Ochrana kritické infrastruktury – vodního zdroje Želivka – před účinky PPCP a pesticidů v podmínkách dlouhodobého sucha“ v rozsahu:</w:t>
      </w:r>
    </w:p>
    <w:p w:rsidR="00721607" w:rsidRDefault="00721607" w:rsidP="00E06A65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 w:rsidRPr="00721607">
        <w:rPr>
          <w:rFonts w:ascii="Arial" w:hAnsi="Arial" w:cs="Arial"/>
        </w:rPr>
        <w:t xml:space="preserve">doplnění </w:t>
      </w:r>
      <w:r>
        <w:rPr>
          <w:rFonts w:ascii="Arial" w:hAnsi="Arial" w:cs="Arial"/>
        </w:rPr>
        <w:t>možnosti</w:t>
      </w:r>
      <w:r w:rsidRPr="00721607">
        <w:rPr>
          <w:rFonts w:ascii="Arial" w:hAnsi="Arial" w:cs="Arial"/>
        </w:rPr>
        <w:t xml:space="preserve"> regulace sytosti rastrových podkladových map </w:t>
      </w:r>
      <w:r w:rsidR="0052487C" w:rsidRPr="00721607">
        <w:rPr>
          <w:rFonts w:ascii="Arial" w:hAnsi="Arial" w:cs="Arial"/>
        </w:rPr>
        <w:t>v mapovém okně</w:t>
      </w:r>
      <w:r>
        <w:rPr>
          <w:rFonts w:ascii="Arial" w:hAnsi="Arial" w:cs="Arial"/>
        </w:rPr>
        <w:t>,</w:t>
      </w:r>
    </w:p>
    <w:p w:rsidR="0052487C" w:rsidRPr="00721607" w:rsidRDefault="00721607" w:rsidP="00E06A65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doplnění funkce pro </w:t>
      </w:r>
      <w:r w:rsidR="0052487C" w:rsidRPr="00721607">
        <w:rPr>
          <w:rFonts w:ascii="Arial" w:hAnsi="Arial" w:cs="Arial"/>
        </w:rPr>
        <w:t xml:space="preserve">umístění objektu </w:t>
      </w:r>
      <w:r>
        <w:rPr>
          <w:rFonts w:ascii="Arial" w:hAnsi="Arial" w:cs="Arial"/>
        </w:rPr>
        <w:t xml:space="preserve">v mapovém okně </w:t>
      </w:r>
      <w:r w:rsidR="0052487C" w:rsidRPr="00721607">
        <w:rPr>
          <w:rFonts w:ascii="Arial" w:hAnsi="Arial" w:cs="Arial"/>
        </w:rPr>
        <w:t xml:space="preserve">bez </w:t>
      </w:r>
      <w:proofErr w:type="spellStart"/>
      <w:r w:rsidR="0052487C" w:rsidRPr="00721607">
        <w:rPr>
          <w:rFonts w:ascii="Arial" w:hAnsi="Arial" w:cs="Arial"/>
        </w:rPr>
        <w:t>snapování</w:t>
      </w:r>
      <w:proofErr w:type="spellEnd"/>
      <w:r w:rsidR="0052487C" w:rsidRPr="00721607">
        <w:rPr>
          <w:rFonts w:ascii="Arial" w:hAnsi="Arial" w:cs="Arial"/>
        </w:rPr>
        <w:t xml:space="preserve"> na úsek toku</w:t>
      </w:r>
      <w:r>
        <w:rPr>
          <w:rFonts w:ascii="Arial" w:hAnsi="Arial" w:cs="Arial"/>
        </w:rPr>
        <w:t>,</w:t>
      </w:r>
    </w:p>
    <w:p w:rsidR="0052487C" w:rsidRDefault="0052487C" w:rsidP="0052487C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 w:rsidRPr="0052487C">
        <w:rPr>
          <w:rFonts w:ascii="Arial" w:hAnsi="Arial" w:cs="Arial"/>
        </w:rPr>
        <w:t xml:space="preserve">doplnění </w:t>
      </w:r>
      <w:r w:rsidR="00721607">
        <w:rPr>
          <w:rFonts w:ascii="Arial" w:hAnsi="Arial" w:cs="Arial"/>
        </w:rPr>
        <w:t>f</w:t>
      </w:r>
      <w:r w:rsidRPr="0052487C">
        <w:rPr>
          <w:rFonts w:ascii="Arial" w:hAnsi="Arial" w:cs="Arial"/>
        </w:rPr>
        <w:t xml:space="preserve">unkce pro umístění objektu se </w:t>
      </w:r>
      <w:proofErr w:type="spellStart"/>
      <w:r w:rsidRPr="0052487C">
        <w:rPr>
          <w:rFonts w:ascii="Arial" w:hAnsi="Arial" w:cs="Arial"/>
        </w:rPr>
        <w:t>snapováním</w:t>
      </w:r>
      <w:proofErr w:type="spellEnd"/>
      <w:r w:rsidRPr="0052487C">
        <w:rPr>
          <w:rFonts w:ascii="Arial" w:hAnsi="Arial" w:cs="Arial"/>
        </w:rPr>
        <w:t xml:space="preserve"> na úsek toku</w:t>
      </w:r>
      <w:r w:rsidR="00721607">
        <w:rPr>
          <w:rFonts w:ascii="Arial" w:hAnsi="Arial" w:cs="Arial"/>
        </w:rPr>
        <w:t xml:space="preserve"> s omezením </w:t>
      </w:r>
      <w:proofErr w:type="spellStart"/>
      <w:r w:rsidR="00721607">
        <w:rPr>
          <w:rFonts w:ascii="Arial" w:hAnsi="Arial" w:cs="Arial"/>
        </w:rPr>
        <w:t>snapování</w:t>
      </w:r>
      <w:proofErr w:type="spellEnd"/>
      <w:r w:rsidR="00721607">
        <w:rPr>
          <w:rFonts w:ascii="Arial" w:hAnsi="Arial" w:cs="Arial"/>
        </w:rPr>
        <w:t xml:space="preserve"> pouze na úseky toků</w:t>
      </w:r>
      <w:r w:rsidRPr="0052487C">
        <w:rPr>
          <w:rFonts w:ascii="Arial" w:hAnsi="Arial" w:cs="Arial"/>
        </w:rPr>
        <w:t xml:space="preserve"> v rámci </w:t>
      </w:r>
      <w:r w:rsidR="00721607">
        <w:rPr>
          <w:rFonts w:ascii="Arial" w:hAnsi="Arial" w:cs="Arial"/>
        </w:rPr>
        <w:t xml:space="preserve">daného </w:t>
      </w:r>
      <w:r w:rsidRPr="0052487C">
        <w:rPr>
          <w:rFonts w:ascii="Arial" w:hAnsi="Arial" w:cs="Arial"/>
        </w:rPr>
        <w:t>hydrologického povodí</w:t>
      </w:r>
      <w:r w:rsidR="00721607">
        <w:rPr>
          <w:rFonts w:ascii="Arial" w:hAnsi="Arial" w:cs="Arial"/>
        </w:rPr>
        <w:t>,</w:t>
      </w:r>
    </w:p>
    <w:p w:rsidR="0052487C" w:rsidRDefault="00721607" w:rsidP="0052487C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doplnění </w:t>
      </w:r>
      <w:r w:rsidR="0052487C" w:rsidRPr="0052487C">
        <w:rPr>
          <w:rFonts w:ascii="Arial" w:hAnsi="Arial" w:cs="Arial"/>
        </w:rPr>
        <w:t xml:space="preserve">administračního okna pro definici dynamických legend </w:t>
      </w:r>
      <w:r>
        <w:rPr>
          <w:rFonts w:ascii="Arial" w:hAnsi="Arial" w:cs="Arial"/>
        </w:rPr>
        <w:t>o</w:t>
      </w:r>
      <w:r w:rsidR="0052487C" w:rsidRPr="0052487C">
        <w:rPr>
          <w:rFonts w:ascii="Arial" w:hAnsi="Arial" w:cs="Arial"/>
        </w:rPr>
        <w:t xml:space="preserve"> přehled použití dynamických legend v editačních oknech</w:t>
      </w:r>
      <w:r>
        <w:rPr>
          <w:rFonts w:ascii="Arial" w:hAnsi="Arial" w:cs="Arial"/>
        </w:rPr>
        <w:t>,</w:t>
      </w:r>
    </w:p>
    <w:p w:rsidR="0052487C" w:rsidRDefault="00721607" w:rsidP="0052487C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úprava zobrazení </w:t>
      </w:r>
      <w:r w:rsidR="0052487C" w:rsidRPr="0052487C">
        <w:rPr>
          <w:rFonts w:ascii="Arial" w:hAnsi="Arial" w:cs="Arial"/>
        </w:rPr>
        <w:t>informac</w:t>
      </w:r>
      <w:r>
        <w:rPr>
          <w:rFonts w:ascii="Arial" w:hAnsi="Arial" w:cs="Arial"/>
        </w:rPr>
        <w:t>í</w:t>
      </w:r>
      <w:r w:rsidR="0052487C" w:rsidRPr="0052487C">
        <w:rPr>
          <w:rFonts w:ascii="Arial" w:hAnsi="Arial" w:cs="Arial"/>
        </w:rPr>
        <w:t xml:space="preserve"> z mapového pohledu tlačítk</w:t>
      </w:r>
      <w:r w:rsidR="00331DD1">
        <w:rPr>
          <w:rFonts w:ascii="Arial" w:hAnsi="Arial" w:cs="Arial"/>
        </w:rPr>
        <w:t>em</w:t>
      </w:r>
      <w:r w:rsidR="0052487C" w:rsidRPr="0052487C">
        <w:rPr>
          <w:rFonts w:ascii="Arial" w:hAnsi="Arial" w:cs="Arial"/>
        </w:rPr>
        <w:t xml:space="preserve"> </w:t>
      </w:r>
      <w:r w:rsidR="00331DD1">
        <w:rPr>
          <w:rFonts w:ascii="Arial" w:hAnsi="Arial" w:cs="Arial"/>
        </w:rPr>
        <w:t>„</w:t>
      </w:r>
      <w:r w:rsidR="0052487C" w:rsidRPr="0052487C">
        <w:rPr>
          <w:rFonts w:ascii="Arial" w:hAnsi="Arial" w:cs="Arial"/>
        </w:rPr>
        <w:t>i</w:t>
      </w:r>
      <w:r w:rsidR="00331DD1">
        <w:rPr>
          <w:rFonts w:ascii="Arial" w:hAnsi="Arial" w:cs="Arial"/>
        </w:rPr>
        <w:t>“</w:t>
      </w:r>
      <w:r w:rsidR="0052487C" w:rsidRPr="0052487C">
        <w:rPr>
          <w:rFonts w:ascii="Arial" w:hAnsi="Arial" w:cs="Arial"/>
        </w:rPr>
        <w:t xml:space="preserve"> </w:t>
      </w:r>
      <w:r w:rsidR="00331DD1">
        <w:rPr>
          <w:rFonts w:ascii="Arial" w:hAnsi="Arial" w:cs="Arial"/>
        </w:rPr>
        <w:t>ve smyslu</w:t>
      </w:r>
      <w:r w:rsidR="0052487C" w:rsidRPr="0052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omezení zobrazení dat </w:t>
      </w:r>
      <w:r w:rsidR="0052487C" w:rsidRPr="0052487C">
        <w:rPr>
          <w:rFonts w:ascii="Arial" w:hAnsi="Arial" w:cs="Arial"/>
        </w:rPr>
        <w:t>z shp/spojení pouze</w:t>
      </w:r>
      <w:r>
        <w:rPr>
          <w:rFonts w:ascii="Arial" w:hAnsi="Arial" w:cs="Arial"/>
        </w:rPr>
        <w:t xml:space="preserve"> na</w:t>
      </w:r>
      <w:r w:rsidR="0052487C" w:rsidRPr="0052487C">
        <w:rPr>
          <w:rFonts w:ascii="Arial" w:hAnsi="Arial" w:cs="Arial"/>
        </w:rPr>
        <w:t xml:space="preserve"> sloupce povolené pro zobrazení</w:t>
      </w:r>
      <w:r w:rsidR="00331DD1">
        <w:rPr>
          <w:rFonts w:ascii="Arial" w:hAnsi="Arial" w:cs="Arial"/>
        </w:rPr>
        <w:t xml:space="preserve"> v definici mapového pohledu</w:t>
      </w:r>
      <w:r w:rsidR="0052487C" w:rsidRPr="0052487C">
        <w:rPr>
          <w:rFonts w:ascii="Arial" w:hAnsi="Arial" w:cs="Arial"/>
        </w:rPr>
        <w:t xml:space="preserve"> </w:t>
      </w:r>
      <w:r w:rsidR="00B731BF">
        <w:rPr>
          <w:rFonts w:ascii="Arial" w:hAnsi="Arial" w:cs="Arial"/>
        </w:rPr>
        <w:t xml:space="preserve">(dané definičním souborem </w:t>
      </w:r>
      <w:r w:rsidR="00331DD1">
        <w:rPr>
          <w:rFonts w:ascii="Arial" w:hAnsi="Arial" w:cs="Arial"/>
        </w:rPr>
        <w:t>vhb.wm3),</w:t>
      </w:r>
    </w:p>
    <w:p w:rsidR="0052487C" w:rsidRPr="0052487C" w:rsidRDefault="00331DD1" w:rsidP="0052487C">
      <w:pPr>
        <w:pStyle w:val="Odstavecseseznamem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úprava zobrazení </w:t>
      </w:r>
      <w:r w:rsidRPr="0052487C">
        <w:rPr>
          <w:rFonts w:ascii="Arial" w:hAnsi="Arial" w:cs="Arial"/>
        </w:rPr>
        <w:t>informac</w:t>
      </w:r>
      <w:r>
        <w:rPr>
          <w:rFonts w:ascii="Arial" w:hAnsi="Arial" w:cs="Arial"/>
        </w:rPr>
        <w:t>í</w:t>
      </w:r>
      <w:r w:rsidRPr="0052487C">
        <w:rPr>
          <w:rFonts w:ascii="Arial" w:hAnsi="Arial" w:cs="Arial"/>
        </w:rPr>
        <w:t xml:space="preserve"> z mapového pohledu tlačítk</w:t>
      </w:r>
      <w:r>
        <w:rPr>
          <w:rFonts w:ascii="Arial" w:hAnsi="Arial" w:cs="Arial"/>
        </w:rPr>
        <w:t>em</w:t>
      </w:r>
      <w:r w:rsidRPr="0052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52487C">
        <w:rPr>
          <w:rFonts w:ascii="Arial" w:hAnsi="Arial" w:cs="Arial"/>
        </w:rPr>
        <w:t>i</w:t>
      </w:r>
      <w:r>
        <w:rPr>
          <w:rFonts w:ascii="Arial" w:hAnsi="Arial" w:cs="Arial"/>
        </w:rPr>
        <w:t>“</w:t>
      </w:r>
      <w:r w:rsidRPr="0052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smyslu</w:t>
      </w:r>
      <w:r w:rsidR="0052487C" w:rsidRPr="0052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nahrazení </w:t>
      </w:r>
      <w:r w:rsidR="0052487C" w:rsidRPr="0052487C">
        <w:rPr>
          <w:rFonts w:ascii="Arial" w:hAnsi="Arial" w:cs="Arial"/>
        </w:rPr>
        <w:t>zobraz</w:t>
      </w:r>
      <w:r>
        <w:rPr>
          <w:rFonts w:ascii="Arial" w:hAnsi="Arial" w:cs="Arial"/>
        </w:rPr>
        <w:t>ení</w:t>
      </w:r>
      <w:r w:rsidR="0052487C" w:rsidRPr="0052487C">
        <w:rPr>
          <w:rFonts w:ascii="Arial" w:hAnsi="Arial" w:cs="Arial"/>
        </w:rPr>
        <w:t xml:space="preserve"> akronymu</w:t>
      </w:r>
      <w:r>
        <w:rPr>
          <w:rFonts w:ascii="Arial" w:hAnsi="Arial" w:cs="Arial"/>
        </w:rPr>
        <w:t xml:space="preserve"> sloupce jeho názvem specifikovaným v definici mapového pohledu</w:t>
      </w:r>
      <w:r w:rsidRPr="00524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projektu (</w:t>
      </w:r>
      <w:r w:rsidR="00B731BF">
        <w:rPr>
          <w:rFonts w:ascii="Arial" w:hAnsi="Arial" w:cs="Arial"/>
        </w:rPr>
        <w:t xml:space="preserve">dané definičním souborem </w:t>
      </w:r>
      <w:r>
        <w:rPr>
          <w:rFonts w:ascii="Arial" w:hAnsi="Arial" w:cs="Arial"/>
        </w:rPr>
        <w:t>vhb.wm3).</w:t>
      </w:r>
    </w:p>
    <w:p w:rsidR="005D0296" w:rsidRPr="00C86567" w:rsidRDefault="005D0296" w:rsidP="005D0296">
      <w:pPr>
        <w:pStyle w:val="Zkladntextodsazen1"/>
        <w:rPr>
          <w:rFonts w:ascii="Arial" w:hAnsi="Arial" w:cs="Arial"/>
          <w:i w:val="0"/>
          <w:sz w:val="22"/>
          <w:szCs w:val="22"/>
        </w:rPr>
      </w:pPr>
    </w:p>
    <w:p w:rsidR="00C86567" w:rsidRPr="00C86567" w:rsidRDefault="005D0296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</w:t>
      </w:r>
      <w:r w:rsidR="00855767">
        <w:rPr>
          <w:rFonts w:ascii="Arial" w:hAnsi="Arial" w:cs="Arial"/>
          <w:sz w:val="22"/>
          <w:szCs w:val="22"/>
        </w:rPr>
        <w:t xml:space="preserve">ve výši a způsobem dle čl. III </w:t>
      </w: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494EAC" w:rsidRDefault="005D0296" w:rsidP="005D0296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Zhotovitel se zavazuje provést dílo v celém ro</w:t>
      </w:r>
      <w:r w:rsidR="009F559D">
        <w:rPr>
          <w:rFonts w:ascii="Arial" w:hAnsi="Arial" w:cs="Arial"/>
          <w:sz w:val="22"/>
          <w:szCs w:val="22"/>
        </w:rPr>
        <w:t xml:space="preserve">zsahu nejpozději </w:t>
      </w:r>
      <w:r w:rsidR="009F559D" w:rsidRPr="00494EAC">
        <w:rPr>
          <w:rFonts w:ascii="Arial" w:hAnsi="Arial" w:cs="Arial"/>
          <w:b/>
          <w:sz w:val="22"/>
          <w:szCs w:val="22"/>
        </w:rPr>
        <w:t>do 31.10.2018.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</w:t>
      </w:r>
      <w:r w:rsidR="00450B44">
        <w:rPr>
          <w:rFonts w:ascii="Arial" w:hAnsi="Arial" w:cs="Arial"/>
          <w:sz w:val="22"/>
          <w:szCs w:val="22"/>
        </w:rPr>
        <w:t xml:space="preserve"> elektronické </w:t>
      </w:r>
      <w:r w:rsidRPr="00C86567">
        <w:rPr>
          <w:rFonts w:ascii="Arial" w:hAnsi="Arial" w:cs="Arial"/>
          <w:sz w:val="22"/>
          <w:szCs w:val="22"/>
        </w:rPr>
        <w:t>podobě</w:t>
      </w:r>
      <w:r w:rsidR="00450B44">
        <w:rPr>
          <w:rFonts w:ascii="Arial" w:hAnsi="Arial" w:cs="Arial"/>
          <w:sz w:val="22"/>
          <w:szCs w:val="22"/>
        </w:rPr>
        <w:t xml:space="preserve"> prostřednictvím e-mailu.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   Pro případ bezdůvodného odmítnutí převzetí díla platí, že dílo je předáno třetí den následující po podání písemné výzvy zhotovitele k pošto</w:t>
      </w:r>
      <w:r w:rsidR="008C6279">
        <w:rPr>
          <w:rFonts w:ascii="Arial" w:hAnsi="Arial" w:cs="Arial"/>
          <w:sz w:val="22"/>
          <w:szCs w:val="22"/>
        </w:rPr>
        <w:t>vní přepravě.</w:t>
      </w:r>
    </w:p>
    <w:p w:rsidR="00494EAC" w:rsidRDefault="00494EAC" w:rsidP="00101199">
      <w:pPr>
        <w:pStyle w:val="Nadpis4"/>
        <w:jc w:val="center"/>
        <w:rPr>
          <w:rFonts w:ascii="Arial" w:hAnsi="Arial" w:cs="Arial"/>
        </w:rPr>
      </w:pP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494EAC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C86577" w:rsidRPr="00494EAC">
        <w:rPr>
          <w:rFonts w:ascii="Arial" w:hAnsi="Arial" w:cs="Arial"/>
          <w:b/>
          <w:sz w:val="22"/>
          <w:szCs w:val="22"/>
        </w:rPr>
        <w:t xml:space="preserve">150 000,- </w:t>
      </w:r>
      <w:r w:rsidRPr="00494EAC">
        <w:rPr>
          <w:rFonts w:ascii="Arial" w:hAnsi="Arial" w:cs="Arial"/>
          <w:b/>
          <w:sz w:val="22"/>
          <w:szCs w:val="22"/>
        </w:rPr>
        <w:t xml:space="preserve">Kč (slovy: </w:t>
      </w:r>
      <w:proofErr w:type="spellStart"/>
      <w:r w:rsidR="008375DC" w:rsidRPr="00494EAC">
        <w:rPr>
          <w:rFonts w:ascii="Arial" w:hAnsi="Arial" w:cs="Arial"/>
          <w:b/>
          <w:sz w:val="22"/>
          <w:szCs w:val="22"/>
        </w:rPr>
        <w:t>jedno</w:t>
      </w:r>
      <w:r w:rsidR="00C86577" w:rsidRPr="00494EAC">
        <w:rPr>
          <w:rFonts w:ascii="Arial" w:hAnsi="Arial" w:cs="Arial"/>
          <w:b/>
          <w:sz w:val="22"/>
          <w:szCs w:val="22"/>
        </w:rPr>
        <w:t>stopadesáttisíc</w:t>
      </w:r>
      <w:proofErr w:type="spellEnd"/>
      <w:r w:rsidRPr="00494EAC">
        <w:rPr>
          <w:rFonts w:ascii="Arial" w:hAnsi="Arial" w:cs="Arial"/>
          <w:b/>
          <w:sz w:val="22"/>
          <w:szCs w:val="22"/>
        </w:rPr>
        <w:t xml:space="preserve"> korun)</w:t>
      </w:r>
      <w:r w:rsidRPr="00494EAC">
        <w:rPr>
          <w:rFonts w:ascii="Arial" w:hAnsi="Arial" w:cs="Arial"/>
          <w:b/>
          <w:i/>
          <w:sz w:val="22"/>
          <w:szCs w:val="22"/>
        </w:rPr>
        <w:t xml:space="preserve"> </w:t>
      </w:r>
      <w:r w:rsidR="00C86577" w:rsidRPr="00494EAC">
        <w:rPr>
          <w:rFonts w:ascii="Arial" w:hAnsi="Arial" w:cs="Arial"/>
          <w:b/>
          <w:sz w:val="22"/>
          <w:szCs w:val="22"/>
        </w:rPr>
        <w:t>včetně</w:t>
      </w:r>
      <w:r w:rsidRPr="00494EAC">
        <w:rPr>
          <w:rFonts w:ascii="Arial" w:hAnsi="Arial" w:cs="Arial"/>
          <w:b/>
          <w:iCs/>
          <w:sz w:val="22"/>
          <w:szCs w:val="22"/>
        </w:rPr>
        <w:t xml:space="preserve"> DPH.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101199" w:rsidRDefault="00AF7D23" w:rsidP="00AF7D23">
      <w:pPr>
        <w:pStyle w:val="Zkladntextodsazen3"/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="005D0296" w:rsidRPr="00101199">
        <w:rPr>
          <w:rFonts w:ascii="Arial" w:hAnsi="Arial" w:cs="Arial"/>
          <w:sz w:val="22"/>
          <w:szCs w:val="22"/>
        </w:rPr>
        <w:t>D</w:t>
      </w:r>
      <w:r w:rsidR="005D0296" w:rsidRPr="00101199">
        <w:rPr>
          <w:rFonts w:ascii="Arial" w:hAnsi="Arial" w:cs="Arial"/>
          <w:iCs/>
          <w:sz w:val="22"/>
          <w:szCs w:val="22"/>
        </w:rPr>
        <w:t>ílčí platby jsou možné v návaznosti na odevzdání části díla podle 2.1. a na základě jednotlivých dílčích a částečných faktur, pro které platí analogicky násl. ustanovení.</w:t>
      </w:r>
    </w:p>
    <w:p w:rsidR="005D0296" w:rsidRPr="0011703C" w:rsidRDefault="005D0296" w:rsidP="00B0604F">
      <w:pPr>
        <w:tabs>
          <w:tab w:val="left" w:pos="426"/>
        </w:tabs>
        <w:ind w:left="705" w:hanging="705"/>
        <w:jc w:val="both"/>
        <w:rPr>
          <w:rFonts w:ascii="Arial" w:hAnsi="Arial" w:cs="Arial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4.2</w:t>
      </w:r>
      <w:proofErr w:type="gramEnd"/>
      <w:r w:rsidR="00101199">
        <w:rPr>
          <w:rFonts w:ascii="Arial" w:hAnsi="Arial" w:cs="Arial"/>
          <w:sz w:val="22"/>
          <w:szCs w:val="22"/>
        </w:rPr>
        <w:t>.</w:t>
      </w:r>
      <w:r w:rsid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>Konečná faktura bude vystavena zhotovitelem bez zbytečného odkladu</w:t>
      </w:r>
      <w:r w:rsidR="00BC7469">
        <w:rPr>
          <w:rFonts w:ascii="Arial" w:hAnsi="Arial" w:cs="Arial"/>
          <w:sz w:val="22"/>
          <w:szCs w:val="22"/>
        </w:rPr>
        <w:t xml:space="preserve"> do 14</w:t>
      </w:r>
      <w:r w:rsidRPr="00101199">
        <w:rPr>
          <w:rFonts w:ascii="Arial" w:hAnsi="Arial" w:cs="Arial"/>
          <w:sz w:val="22"/>
          <w:szCs w:val="22"/>
        </w:rPr>
        <w:t xml:space="preserve"> dnů po převzetí díla objednatelem. Od konečné faktury bude odečtena záloh</w:t>
      </w:r>
      <w:r w:rsidR="00494EAC">
        <w:rPr>
          <w:rFonts w:ascii="Arial" w:hAnsi="Arial" w:cs="Arial"/>
          <w:sz w:val="22"/>
          <w:szCs w:val="22"/>
        </w:rPr>
        <w:t>a</w:t>
      </w:r>
      <w:r w:rsidRPr="00101199">
        <w:rPr>
          <w:rFonts w:ascii="Arial" w:hAnsi="Arial" w:cs="Arial"/>
          <w:sz w:val="22"/>
          <w:szCs w:val="22"/>
        </w:rPr>
        <w:t xml:space="preserve"> a dílčí platby poskytnuté dle bodu 4.1.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4.3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4.4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777BD">
        <w:rPr>
          <w:rFonts w:ascii="Arial" w:hAnsi="Arial" w:cs="Arial"/>
          <w:sz w:val="22"/>
          <w:szCs w:val="22"/>
        </w:rPr>
        <w:t>60</w:t>
      </w:r>
      <w:r w:rsidRPr="00101199">
        <w:rPr>
          <w:rFonts w:ascii="Arial" w:hAnsi="Arial" w:cs="Arial"/>
          <w:sz w:val="22"/>
          <w:szCs w:val="22"/>
        </w:rPr>
        <w:t>ti</w:t>
      </w:r>
      <w:r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584668" w:rsidRDefault="00584668" w:rsidP="00855767">
      <w:pPr>
        <w:tabs>
          <w:tab w:val="left" w:pos="709"/>
        </w:tabs>
        <w:jc w:val="both"/>
        <w:rPr>
          <w:rFonts w:ascii="Arial" w:hAnsi="Arial" w:cs="Arial"/>
        </w:rPr>
      </w:pPr>
    </w:p>
    <w:p w:rsidR="00855767" w:rsidRDefault="00855767" w:rsidP="00855767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 xml:space="preserve">4.5.    </w:t>
      </w:r>
      <w:r w:rsidRPr="00855767"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 w:rsidRPr="00855767">
        <w:rPr>
          <w:rFonts w:ascii="Arial" w:hAnsi="Arial" w:cs="Arial"/>
          <w:iCs/>
          <w:sz w:val="22"/>
          <w:szCs w:val="22"/>
        </w:rPr>
        <w:t xml:space="preserve">z přidané hodnoty, 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ve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 </w:t>
      </w:r>
    </w:p>
    <w:p w:rsidR="00855767" w:rsidRPr="00855767" w:rsidRDefault="00855767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584668">
        <w:rPr>
          <w:rFonts w:ascii="Arial" w:hAnsi="Arial" w:cs="Arial"/>
          <w:iCs/>
          <w:sz w:val="22"/>
          <w:szCs w:val="22"/>
        </w:rPr>
        <w:t xml:space="preserve"> </w:t>
      </w:r>
      <w:r w:rsidRPr="00855767">
        <w:rPr>
          <w:rFonts w:ascii="Arial" w:hAnsi="Arial" w:cs="Arial"/>
          <w:iCs/>
          <w:sz w:val="22"/>
          <w:szCs w:val="22"/>
        </w:rPr>
        <w:t xml:space="preserve">znění aktuálně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účinném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, se </w:t>
      </w:r>
      <w:r w:rsidRPr="00855767">
        <w:rPr>
          <w:rFonts w:ascii="Arial" w:hAnsi="Arial" w:cs="Arial"/>
          <w:sz w:val="22"/>
          <w:szCs w:val="22"/>
        </w:rPr>
        <w:t>smluvní strany dohodly následovně</w:t>
      </w:r>
      <w:r w:rsidRPr="00855767">
        <w:rPr>
          <w:rFonts w:ascii="Arial" w:hAnsi="Arial" w:cs="Arial"/>
          <w:iCs/>
          <w:sz w:val="22"/>
          <w:szCs w:val="22"/>
        </w:rPr>
        <w:t>.</w:t>
      </w:r>
    </w:p>
    <w:p w:rsidR="00855767" w:rsidRPr="00855767" w:rsidRDefault="00855767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855767"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</w:rPr>
        <w:t>da</w:t>
      </w:r>
      <w:r w:rsidRPr="00E8571D">
        <w:rPr>
          <w:rFonts w:ascii="Arial" w:hAnsi="Arial" w:cs="Arial"/>
          <w:color w:val="000000"/>
        </w:rPr>
        <w:t>ň</w:t>
      </w:r>
      <w:r w:rsidRPr="00E8571D">
        <w:rPr>
          <w:rFonts w:ascii="Arial" w:hAnsi="Arial" w:cs="Arial"/>
        </w:rPr>
        <w:t xml:space="preserve"> z přidané hodnoty uvedená na přijatém da</w:t>
      </w:r>
      <w:r w:rsidRPr="00E8571D">
        <w:rPr>
          <w:rFonts w:ascii="Arial" w:hAnsi="Arial" w:cs="Arial"/>
          <w:color w:val="000000"/>
        </w:rPr>
        <w:t>ňovém dokladu nebude úmyslně zaplacena,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lastRenderedPageBreak/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dojde ke zkrácení DPH nebo vylákání daňové výhody,</w:t>
      </w:r>
    </w:p>
    <w:p w:rsidR="00855767" w:rsidRPr="00855767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o poskytovateli zdanitelného plnění je zveřejněna způsobem umožňujícím dálkový přístup skutečnost, že je nespolehlivým </w:t>
      </w:r>
      <w:proofErr w:type="spellStart"/>
      <w:proofErr w:type="gramStart"/>
      <w:r w:rsidRPr="00E8571D">
        <w:rPr>
          <w:rFonts w:ascii="Arial" w:hAnsi="Arial" w:cs="Arial"/>
          <w:color w:val="000000"/>
        </w:rPr>
        <w:t>plátcem,</w:t>
      </w:r>
      <w:r w:rsidRPr="00855767">
        <w:rPr>
          <w:rFonts w:ascii="Arial" w:hAnsi="Arial" w:cs="Arial"/>
        </w:rPr>
        <w:t>nebo</w:t>
      </w:r>
      <w:proofErr w:type="spellEnd"/>
      <w:proofErr w:type="gramEnd"/>
      <w:r w:rsidRPr="00855767">
        <w:rPr>
          <w:rFonts w:ascii="Arial" w:hAnsi="Arial" w:cs="Arial"/>
        </w:rPr>
        <w:t xml:space="preserve"> pokud 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:rsidR="00855767" w:rsidRPr="00E8571D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:rsidR="00855767" w:rsidRPr="00855767" w:rsidRDefault="00855767" w:rsidP="0085576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 w:rsidRPr="00E8571D">
        <w:rPr>
          <w:rFonts w:ascii="Arial" w:hAnsi="Arial" w:cs="Arial"/>
          <w:color w:val="000000"/>
        </w:rPr>
        <w:t>je</w:t>
      </w:r>
      <w:proofErr w:type="gramEnd"/>
      <w:r w:rsidRPr="00E8571D">
        <w:rPr>
          <w:rFonts w:ascii="Arial" w:hAnsi="Arial" w:cs="Arial"/>
          <w:color w:val="000000"/>
        </w:rPr>
        <w:t xml:space="preserve"> správcem daně zveřejněn způsobem umožňujícím dálkový přístup</w:t>
      </w:r>
      <w:r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>uhradí objednatel zhotoviteli cenu dle této smlouvy takto:</w:t>
      </w:r>
    </w:p>
    <w:p w:rsidR="00855767" w:rsidRPr="00855767" w:rsidRDefault="00855767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855767">
        <w:rPr>
          <w:rFonts w:ascii="Arial" w:hAnsi="Arial" w:cs="Arial"/>
          <w:sz w:val="22"/>
          <w:szCs w:val="22"/>
        </w:rPr>
        <w:t>- částka rovnající se základu daně z přidané hodnoty bude uhrazena způsobem dohodnutým dle této smlouvy,</w:t>
      </w:r>
    </w:p>
    <w:p w:rsidR="005D0296" w:rsidRPr="00855767" w:rsidRDefault="00855767" w:rsidP="00855767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5767">
        <w:rPr>
          <w:rFonts w:ascii="Arial" w:hAnsi="Arial" w:cs="Arial"/>
          <w:sz w:val="22"/>
          <w:szCs w:val="22"/>
        </w:rPr>
        <w:t xml:space="preserve">- 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 w:rsidRPr="00855767"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 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855767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 xml:space="preserve">Zhotovitel je povinen vady odstranit svým nákladem. Pokud tak zhotovitel neučiní ve lhůtě </w:t>
      </w:r>
      <w:r w:rsidR="005D0296" w:rsidRPr="009A3DDC">
        <w:rPr>
          <w:rFonts w:ascii="Arial" w:hAnsi="Arial" w:cs="Arial"/>
          <w:sz w:val="22"/>
          <w:szCs w:val="22"/>
        </w:rPr>
        <w:lastRenderedPageBreak/>
        <w:t>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Pr="008C7E09" w:rsidRDefault="008C7E09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  <w:r w:rsidRPr="008C7E09">
        <w:rPr>
          <w:rFonts w:ascii="Arial" w:hAnsi="Arial" w:cs="Arial"/>
          <w:sz w:val="22"/>
          <w:szCs w:val="22"/>
        </w:rPr>
        <w:t>.</w:t>
      </w: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</w:p>
    <w:p w:rsidR="001F2F06" w:rsidRPr="001F2F06" w:rsidRDefault="001F2F06" w:rsidP="00855767">
      <w:pPr>
        <w:rPr>
          <w:rFonts w:ascii="Arial" w:hAnsi="Arial" w:cs="Arial"/>
          <w:b/>
          <w:caps/>
          <w:kern w:val="24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E3393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Tato smlouva je vyhotovena v</w:t>
      </w:r>
      <w:r w:rsidR="00BC7469">
        <w:rPr>
          <w:rFonts w:ascii="Arial" w:hAnsi="Arial" w:cs="Arial"/>
          <w:sz w:val="22"/>
          <w:szCs w:val="22"/>
        </w:rPr>
        <w:t>e</w:t>
      </w:r>
      <w:r w:rsidR="005D0296" w:rsidRPr="009A3DDC">
        <w:rPr>
          <w:rFonts w:ascii="Arial" w:hAnsi="Arial" w:cs="Arial"/>
          <w:sz w:val="22"/>
          <w:szCs w:val="22"/>
        </w:rPr>
        <w:t xml:space="preserve">  </w:t>
      </w:r>
      <w:r w:rsidR="00BC7469">
        <w:rPr>
          <w:rFonts w:ascii="Arial" w:hAnsi="Arial" w:cs="Arial"/>
          <w:sz w:val="22"/>
          <w:szCs w:val="22"/>
        </w:rPr>
        <w:t>4</w:t>
      </w:r>
      <w:r w:rsidR="005D0296" w:rsidRPr="009A3DDC"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BC7469">
        <w:rPr>
          <w:rFonts w:ascii="Arial" w:hAnsi="Arial" w:cs="Arial"/>
          <w:sz w:val="22"/>
          <w:szCs w:val="22"/>
        </w:rPr>
        <w:t>2</w:t>
      </w:r>
      <w:r w:rsidR="00B447E1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96" w:rsidRPr="009A3DDC">
        <w:rPr>
          <w:rFonts w:ascii="Arial" w:hAnsi="Arial" w:cs="Arial"/>
          <w:sz w:val="22"/>
          <w:szCs w:val="22"/>
        </w:rPr>
        <w:t>výtisk</w:t>
      </w:r>
      <w:r w:rsidR="00BC7469">
        <w:rPr>
          <w:rFonts w:ascii="Arial" w:hAnsi="Arial" w:cs="Arial"/>
          <w:sz w:val="22"/>
          <w:szCs w:val="22"/>
        </w:rPr>
        <w:t>y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BC7469" w:rsidP="001F2F0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je</w:t>
      </w:r>
      <w:r w:rsidR="005D0296" w:rsidRPr="009A3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„P</w:t>
      </w:r>
      <w:r w:rsidR="005D0296" w:rsidRPr="009A3DDC">
        <w:rPr>
          <w:rFonts w:ascii="Arial" w:hAnsi="Arial" w:cs="Arial"/>
          <w:sz w:val="22"/>
          <w:szCs w:val="22"/>
        </w:rPr>
        <w:t>říloh</w:t>
      </w:r>
      <w:r>
        <w:rPr>
          <w:rFonts w:ascii="Arial" w:hAnsi="Arial" w:cs="Arial"/>
          <w:sz w:val="22"/>
          <w:szCs w:val="22"/>
        </w:rPr>
        <w:t>a 1 – Rozpočet“</w:t>
      </w:r>
      <w:r w:rsidR="005D0296" w:rsidRPr="009A3DDC">
        <w:rPr>
          <w:rFonts w:ascii="Arial" w:hAnsi="Arial" w:cs="Arial"/>
          <w:sz w:val="22"/>
          <w:szCs w:val="22"/>
        </w:rPr>
        <w:t>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584668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.6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584668" w:rsidRPr="00584668">
        <w:rPr>
          <w:rFonts w:ascii="Arial" w:hAnsi="Arial" w:cs="Arial"/>
          <w:sz w:val="22"/>
          <w:szCs w:val="22"/>
        </w:rPr>
        <w:t>Smlouva nabývá platnosti dnem podpisu oprávněnými zástupci všech smluvních stran a účinnosti okamžikem zveřejnění v registru smluv podle zák. č. 340/2015 Sb. o registru smluv.  Smlouvu v registru smluv zveřejní objednatel.</w:t>
      </w:r>
      <w:r w:rsidR="005D0296" w:rsidRPr="009A3DDC">
        <w:rPr>
          <w:rFonts w:ascii="Arial" w:hAnsi="Arial" w:cs="Arial"/>
          <w:sz w:val="22"/>
          <w:szCs w:val="22"/>
        </w:rPr>
        <w:t>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Pr="009A3DDC" w:rsidRDefault="00855767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94EAC" w:rsidRDefault="00494EAC" w:rsidP="005D0296">
      <w:pPr>
        <w:jc w:val="both"/>
        <w:rPr>
          <w:rFonts w:ascii="Arial" w:hAnsi="Arial" w:cs="Arial"/>
          <w:sz w:val="22"/>
          <w:szCs w:val="22"/>
        </w:rPr>
      </w:pPr>
    </w:p>
    <w:p w:rsidR="00494EAC" w:rsidRDefault="00494EAC" w:rsidP="005D0296">
      <w:pPr>
        <w:jc w:val="both"/>
        <w:rPr>
          <w:rFonts w:ascii="Arial" w:hAnsi="Arial" w:cs="Arial"/>
          <w:sz w:val="22"/>
          <w:szCs w:val="22"/>
        </w:rPr>
      </w:pPr>
    </w:p>
    <w:p w:rsidR="00494EAC" w:rsidRDefault="00494EAC" w:rsidP="005D0296">
      <w:pPr>
        <w:jc w:val="both"/>
        <w:rPr>
          <w:rFonts w:ascii="Arial" w:hAnsi="Arial" w:cs="Arial"/>
          <w:sz w:val="22"/>
          <w:szCs w:val="22"/>
        </w:rPr>
      </w:pPr>
    </w:p>
    <w:p w:rsidR="00494EAC" w:rsidRDefault="00494EAC" w:rsidP="005D0296">
      <w:pPr>
        <w:jc w:val="both"/>
        <w:rPr>
          <w:rFonts w:ascii="Arial" w:hAnsi="Arial" w:cs="Arial"/>
          <w:sz w:val="22"/>
          <w:szCs w:val="22"/>
        </w:rPr>
      </w:pPr>
    </w:p>
    <w:p w:rsidR="00494EAC" w:rsidRDefault="00494EAC" w:rsidP="005D0296">
      <w:pPr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.............................................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 xml:space="preserve">    objednatel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 xml:space="preserve">  zhotovitel</w:t>
      </w:r>
    </w:p>
    <w:p w:rsidR="003477CE" w:rsidRDefault="00584668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Urban, ředitel</w:t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>
        <w:rPr>
          <w:rFonts w:ascii="Arial" w:hAnsi="Arial" w:cs="Arial"/>
          <w:sz w:val="22"/>
          <w:szCs w:val="22"/>
        </w:rPr>
        <w:tab/>
      </w:r>
      <w:r w:rsidR="00BC236B" w:rsidRPr="00650900">
        <w:rPr>
          <w:rFonts w:ascii="Arial" w:hAnsi="Arial" w:cs="Arial"/>
          <w:sz w:val="20"/>
        </w:rPr>
        <w:t xml:space="preserve">Ing. </w:t>
      </w:r>
      <w:r w:rsidR="00BC236B">
        <w:rPr>
          <w:rFonts w:ascii="Arial" w:hAnsi="Arial" w:cs="Arial"/>
          <w:sz w:val="20"/>
        </w:rPr>
        <w:t>Petr Hurych</w:t>
      </w:r>
      <w:r w:rsidR="00BC236B" w:rsidRPr="00650900">
        <w:rPr>
          <w:rFonts w:ascii="Arial" w:hAnsi="Arial" w:cs="Arial"/>
          <w:sz w:val="20"/>
        </w:rPr>
        <w:t>, jednatel</w:t>
      </w:r>
    </w:p>
    <w:p w:rsidR="005D0296" w:rsidRPr="003477CE" w:rsidRDefault="007F0C4A" w:rsidP="006B0213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0213">
        <w:rPr>
          <w:rFonts w:ascii="Arial" w:hAnsi="Arial" w:cs="Arial"/>
          <w:sz w:val="22"/>
          <w:szCs w:val="22"/>
        </w:rPr>
        <w:tab/>
      </w:r>
      <w:r w:rsidR="006B0213">
        <w:rPr>
          <w:rFonts w:ascii="Arial" w:hAnsi="Arial" w:cs="Arial"/>
          <w:sz w:val="22"/>
          <w:szCs w:val="22"/>
        </w:rPr>
        <w:tab/>
      </w:r>
      <w:r w:rsidR="005D0296" w:rsidRPr="003477CE">
        <w:rPr>
          <w:rFonts w:ascii="Arial" w:hAnsi="Arial" w:cs="Arial"/>
          <w:sz w:val="22"/>
          <w:szCs w:val="22"/>
        </w:rPr>
        <w:tab/>
        <w:t xml:space="preserve">           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B342AA" w:rsidRDefault="00B342AA">
      <w:pPr>
        <w:widowControl/>
        <w:suppressAutoHyphens w:val="0"/>
      </w:pPr>
      <w:r>
        <w:br w:type="page"/>
      </w:r>
    </w:p>
    <w:p w:rsidR="00B342AA" w:rsidRPr="00B342AA" w:rsidRDefault="00B342AA" w:rsidP="00B342AA">
      <w:pPr>
        <w:pStyle w:val="Nadpis5"/>
        <w:rPr>
          <w:rFonts w:ascii="Arial" w:hAnsi="Arial" w:cs="Arial"/>
          <w:i w:val="0"/>
        </w:rPr>
      </w:pPr>
      <w:r w:rsidRPr="00B342AA">
        <w:rPr>
          <w:rFonts w:ascii="Arial" w:hAnsi="Arial" w:cs="Arial"/>
          <w:i w:val="0"/>
        </w:rPr>
        <w:lastRenderedPageBreak/>
        <w:t>Příloha 1 - Rozpočet</w:t>
      </w: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126"/>
      </w:tblGrid>
      <w:tr w:rsidR="00B342AA" w:rsidRPr="00650900" w:rsidTr="00B342AA">
        <w:trPr>
          <w:trHeight w:val="412"/>
        </w:trPr>
        <w:tc>
          <w:tcPr>
            <w:tcW w:w="595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Činnost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cena vč. DPH</w:t>
            </w:r>
          </w:p>
        </w:tc>
      </w:tr>
      <w:tr w:rsidR="00B342AA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B342AA" w:rsidP="00F84FCE">
            <w:pPr>
              <w:ind w:left="209"/>
              <w:jc w:val="both"/>
              <w:rPr>
                <w:rFonts w:ascii="Arial" w:hAnsi="Arial" w:cs="Arial"/>
              </w:rPr>
            </w:pPr>
            <w:r w:rsidRPr="00B342AA">
              <w:rPr>
                <w:rFonts w:ascii="Arial" w:hAnsi="Arial" w:cs="Arial"/>
              </w:rPr>
              <w:t>doplnění možnosti regulace sytosti rastrových podkladových map v mapovém okně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5D5EFB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52706">
              <w:rPr>
                <w:rFonts w:ascii="Arial" w:hAnsi="Arial" w:cs="Arial"/>
              </w:rPr>
              <w:t xml:space="preserve"> 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B342AA" w:rsidRDefault="00B342AA" w:rsidP="00F84FCE">
            <w:pPr>
              <w:ind w:left="209"/>
              <w:jc w:val="both"/>
              <w:rPr>
                <w:rFonts w:ascii="Arial" w:hAnsi="Arial" w:cs="Arial"/>
              </w:rPr>
            </w:pPr>
            <w:r w:rsidRPr="00B342AA">
              <w:rPr>
                <w:rFonts w:ascii="Arial" w:hAnsi="Arial" w:cs="Arial"/>
              </w:rPr>
              <w:t xml:space="preserve">doplnění funkce pro umístění objektu v mapovém okně bez </w:t>
            </w:r>
            <w:proofErr w:type="spellStart"/>
            <w:r w:rsidRPr="00B342AA">
              <w:rPr>
                <w:rFonts w:ascii="Arial" w:hAnsi="Arial" w:cs="Arial"/>
              </w:rPr>
              <w:t>snapování</w:t>
            </w:r>
            <w:proofErr w:type="spellEnd"/>
            <w:r w:rsidRPr="00B342AA">
              <w:rPr>
                <w:rFonts w:ascii="Arial" w:hAnsi="Arial" w:cs="Arial"/>
              </w:rPr>
              <w:t xml:space="preserve"> na úsek toku</w:t>
            </w:r>
          </w:p>
          <w:p w:rsidR="00B342AA" w:rsidRPr="0020224C" w:rsidRDefault="00B342AA" w:rsidP="00F84FCE">
            <w:pPr>
              <w:ind w:left="209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5D5EFB" w:rsidP="00D10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52706">
              <w:rPr>
                <w:rFonts w:ascii="Arial" w:hAnsi="Arial" w:cs="Arial"/>
              </w:rPr>
              <w:t>5 000,-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B342AA" w:rsidRDefault="00B342AA" w:rsidP="00F84FCE">
            <w:pPr>
              <w:ind w:left="209"/>
              <w:jc w:val="both"/>
              <w:rPr>
                <w:rFonts w:ascii="Arial" w:hAnsi="Arial" w:cs="Arial"/>
              </w:rPr>
            </w:pPr>
            <w:r w:rsidRPr="00B342AA">
              <w:rPr>
                <w:rFonts w:ascii="Arial" w:hAnsi="Arial" w:cs="Arial"/>
              </w:rPr>
              <w:t xml:space="preserve">doplnění funkce pro umístění objektu se </w:t>
            </w:r>
            <w:proofErr w:type="spellStart"/>
            <w:r w:rsidRPr="00B342AA">
              <w:rPr>
                <w:rFonts w:ascii="Arial" w:hAnsi="Arial" w:cs="Arial"/>
              </w:rPr>
              <w:t>snapováním</w:t>
            </w:r>
            <w:proofErr w:type="spellEnd"/>
            <w:r w:rsidRPr="00B342AA">
              <w:rPr>
                <w:rFonts w:ascii="Arial" w:hAnsi="Arial" w:cs="Arial"/>
              </w:rPr>
              <w:t xml:space="preserve"> na úsek toku s omezením </w:t>
            </w:r>
            <w:proofErr w:type="spellStart"/>
            <w:r w:rsidRPr="00B342AA">
              <w:rPr>
                <w:rFonts w:ascii="Arial" w:hAnsi="Arial" w:cs="Arial"/>
              </w:rPr>
              <w:t>snapování</w:t>
            </w:r>
            <w:proofErr w:type="spellEnd"/>
            <w:r w:rsidRPr="00B342AA">
              <w:rPr>
                <w:rFonts w:ascii="Arial" w:hAnsi="Arial" w:cs="Arial"/>
              </w:rPr>
              <w:t xml:space="preserve"> pouze na úseky toků v rámci daného hydrologického povodí</w:t>
            </w:r>
          </w:p>
          <w:p w:rsidR="00B342AA" w:rsidRPr="0020224C" w:rsidRDefault="00B342AA" w:rsidP="00F84FCE">
            <w:pPr>
              <w:ind w:left="209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52706" w:rsidP="00D10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B342AA" w:rsidRDefault="00B342AA" w:rsidP="00F84FCE">
            <w:pPr>
              <w:ind w:left="209"/>
              <w:jc w:val="both"/>
              <w:rPr>
                <w:rFonts w:ascii="Arial" w:hAnsi="Arial" w:cs="Arial"/>
              </w:rPr>
            </w:pPr>
            <w:r w:rsidRPr="00B342AA">
              <w:rPr>
                <w:rFonts w:ascii="Arial" w:hAnsi="Arial" w:cs="Arial"/>
              </w:rPr>
              <w:t>doplnění administračního okna pro definici dynamických legend o přehled použití dynamických legend v editačních oknech</w:t>
            </w:r>
          </w:p>
          <w:p w:rsidR="00B342AA" w:rsidRPr="0020224C" w:rsidRDefault="00B342AA" w:rsidP="00F84FCE">
            <w:pPr>
              <w:ind w:left="209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52706" w:rsidP="00D10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B342AA" w:rsidRDefault="00B342AA" w:rsidP="00F84FCE">
            <w:pPr>
              <w:ind w:left="209"/>
              <w:jc w:val="both"/>
              <w:rPr>
                <w:rFonts w:ascii="Arial" w:hAnsi="Arial" w:cs="Arial"/>
              </w:rPr>
            </w:pPr>
            <w:r w:rsidRPr="00B342AA">
              <w:rPr>
                <w:rFonts w:ascii="Arial" w:hAnsi="Arial" w:cs="Arial"/>
              </w:rPr>
              <w:t>úprava zobrazení informací z mapového pohledu tlačítkem „i“ ve smyslu omezení zobrazení dat z shp/spojení pouze na sloupce povolené pro zobrazení v definici mapového pohledu</w:t>
            </w:r>
          </w:p>
          <w:p w:rsidR="00B342AA" w:rsidRPr="0020224C" w:rsidRDefault="00B342AA" w:rsidP="00F84FCE">
            <w:pPr>
              <w:ind w:left="209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52706" w:rsidP="00D10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42AA" w:rsidRPr="0020224C">
              <w:rPr>
                <w:rFonts w:ascii="Arial" w:hAnsi="Arial" w:cs="Arial"/>
              </w:rPr>
              <w:t>5 000,-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C8194D" w:rsidRDefault="00B342AA" w:rsidP="002153E3">
            <w:pPr>
              <w:ind w:left="20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úprava zobrazení </w:t>
            </w:r>
            <w:r w:rsidRPr="0052487C">
              <w:rPr>
                <w:rFonts w:ascii="Arial" w:hAnsi="Arial" w:cs="Arial"/>
              </w:rPr>
              <w:t>informac</w:t>
            </w:r>
            <w:r>
              <w:rPr>
                <w:rFonts w:ascii="Arial" w:hAnsi="Arial" w:cs="Arial"/>
              </w:rPr>
              <w:t>í</w:t>
            </w:r>
            <w:r w:rsidRPr="0052487C">
              <w:rPr>
                <w:rFonts w:ascii="Arial" w:hAnsi="Arial" w:cs="Arial"/>
              </w:rPr>
              <w:t xml:space="preserve"> z mapového pohledu tlačítk</w:t>
            </w:r>
            <w:r>
              <w:rPr>
                <w:rFonts w:ascii="Arial" w:hAnsi="Arial" w:cs="Arial"/>
              </w:rPr>
              <w:t>em</w:t>
            </w:r>
            <w:r w:rsidRPr="00524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„</w:t>
            </w:r>
            <w:r w:rsidRPr="0052487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“</w:t>
            </w:r>
            <w:r w:rsidRPr="00524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 smyslu</w:t>
            </w:r>
            <w:r w:rsidRPr="00524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nahrazení </w:t>
            </w:r>
            <w:r w:rsidRPr="0052487C">
              <w:rPr>
                <w:rFonts w:ascii="Arial" w:hAnsi="Arial" w:cs="Arial"/>
              </w:rPr>
              <w:t>zobraz</w:t>
            </w:r>
            <w:r>
              <w:rPr>
                <w:rFonts w:ascii="Arial" w:hAnsi="Arial" w:cs="Arial"/>
              </w:rPr>
              <w:t>ení</w:t>
            </w:r>
            <w:r w:rsidRPr="0052487C">
              <w:rPr>
                <w:rFonts w:ascii="Arial" w:hAnsi="Arial" w:cs="Arial"/>
              </w:rPr>
              <w:t xml:space="preserve"> akronymu</w:t>
            </w:r>
            <w:r>
              <w:rPr>
                <w:rFonts w:ascii="Arial" w:hAnsi="Arial" w:cs="Arial"/>
              </w:rPr>
              <w:t xml:space="preserve"> sloupce jeho názvem specifikovaným v definici mapového pohledu</w:t>
            </w:r>
            <w:r w:rsidRPr="0052487C">
              <w:rPr>
                <w:rFonts w:ascii="Arial" w:hAnsi="Arial" w:cs="Arial"/>
              </w:rPr>
              <w:t xml:space="preserve"> </w:t>
            </w:r>
            <w:r w:rsidR="002153E3">
              <w:rPr>
                <w:rFonts w:ascii="Arial" w:hAnsi="Arial" w:cs="Arial"/>
              </w:rPr>
              <w:t>projektu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C52706" w:rsidP="00D10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42AA" w:rsidRPr="0020224C">
              <w:rPr>
                <w:rFonts w:ascii="Arial" w:hAnsi="Arial" w:cs="Arial"/>
              </w:rPr>
              <w:t>5 000,-</w:t>
            </w:r>
          </w:p>
        </w:tc>
      </w:tr>
      <w:tr w:rsidR="00B342AA" w:rsidRPr="00650900" w:rsidTr="00B342AA">
        <w:trPr>
          <w:trHeight w:val="636"/>
        </w:trPr>
        <w:tc>
          <w:tcPr>
            <w:tcW w:w="5954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B342AA" w:rsidP="00F84FCE">
            <w:pPr>
              <w:ind w:left="209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B342AA" w:rsidP="00B34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Pr="00650900">
              <w:rPr>
                <w:rFonts w:ascii="Arial" w:hAnsi="Arial" w:cs="Arial"/>
                <w:b/>
                <w:bCs/>
              </w:rPr>
              <w:t>0 000,-</w:t>
            </w:r>
          </w:p>
        </w:tc>
      </w:tr>
    </w:tbl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FF4406" w:rsidRDefault="00FF4406" w:rsidP="00FF4406">
      <w:pPr>
        <w:ind w:left="705" w:hanging="705"/>
        <w:jc w:val="both"/>
      </w:pPr>
    </w:p>
    <w:sectPr w:rsidR="00FF4406" w:rsidSect="00FF4406">
      <w:headerReference w:type="default" r:id="rId7"/>
      <w:footerReference w:type="default" r:id="rId8"/>
      <w:type w:val="continuous"/>
      <w:pgSz w:w="11905" w:h="16837"/>
      <w:pgMar w:top="2608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6F" w:rsidRDefault="00766D6F">
      <w:r>
        <w:separator/>
      </w:r>
    </w:p>
  </w:endnote>
  <w:endnote w:type="continuationSeparator" w:id="0">
    <w:p w:rsidR="00766D6F" w:rsidRDefault="0076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</w:t>
    </w:r>
    <w:r w:rsidR="00E350C6" w:rsidRPr="00E350C6">
      <w:rPr>
        <w:rFonts w:eastAsia="Times New Roman"/>
        <w:lang w:val="en-US"/>
      </w:rPr>
      <w:t>+420 224 310</w:t>
    </w:r>
    <w:r w:rsidR="00E350C6">
      <w:rPr>
        <w:rFonts w:eastAsia="Times New Roman"/>
        <w:lang w:val="en-US"/>
      </w:rPr>
      <w:t> </w:t>
    </w:r>
    <w:r w:rsidR="00E350C6" w:rsidRPr="00E350C6">
      <w:rPr>
        <w:rFonts w:eastAsia="Times New Roman"/>
        <w:lang w:val="en-US"/>
      </w:rPr>
      <w:t>450</w:t>
    </w:r>
    <w:r w:rsidR="00E350C6">
      <w:rPr>
        <w:rFonts w:eastAsia="Times New Roman"/>
        <w:lang w:val="en-US"/>
      </w:rPr>
      <w:t xml:space="preserve"> </w:t>
    </w:r>
    <w:r>
      <w:rPr>
        <w:rFonts w:eastAsia="Times New Roman"/>
        <w:lang w:val="en-US"/>
      </w:rPr>
      <w:t>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6F" w:rsidRDefault="00766D6F">
      <w:r>
        <w:separator/>
      </w:r>
    </w:p>
  </w:footnote>
  <w:footnote w:type="continuationSeparator" w:id="0">
    <w:p w:rsidR="00766D6F" w:rsidRDefault="0076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973BA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813"/>
    <w:multiLevelType w:val="hybridMultilevel"/>
    <w:tmpl w:val="EE6C27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8E66A2"/>
    <w:multiLevelType w:val="multilevel"/>
    <w:tmpl w:val="5DC49A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5"/>
    <w:rsid w:val="00006DCE"/>
    <w:rsid w:val="00012203"/>
    <w:rsid w:val="00027C6D"/>
    <w:rsid w:val="00040F6C"/>
    <w:rsid w:val="0005645B"/>
    <w:rsid w:val="000A1A14"/>
    <w:rsid w:val="000A52D1"/>
    <w:rsid w:val="00101199"/>
    <w:rsid w:val="0011703C"/>
    <w:rsid w:val="001467BC"/>
    <w:rsid w:val="001477AA"/>
    <w:rsid w:val="00176C90"/>
    <w:rsid w:val="001F2F06"/>
    <w:rsid w:val="002153E3"/>
    <w:rsid w:val="0023186F"/>
    <w:rsid w:val="002F52D0"/>
    <w:rsid w:val="00302222"/>
    <w:rsid w:val="00331DD1"/>
    <w:rsid w:val="00341D89"/>
    <w:rsid w:val="003477CE"/>
    <w:rsid w:val="00353FAA"/>
    <w:rsid w:val="00356B6B"/>
    <w:rsid w:val="003B1B75"/>
    <w:rsid w:val="003B5528"/>
    <w:rsid w:val="003D7FCE"/>
    <w:rsid w:val="0041776B"/>
    <w:rsid w:val="00447617"/>
    <w:rsid w:val="00450B44"/>
    <w:rsid w:val="00482C6D"/>
    <w:rsid w:val="00491BA5"/>
    <w:rsid w:val="00492BC9"/>
    <w:rsid w:val="00494DBF"/>
    <w:rsid w:val="00494EAC"/>
    <w:rsid w:val="0052487C"/>
    <w:rsid w:val="00571198"/>
    <w:rsid w:val="00584668"/>
    <w:rsid w:val="005A6BDC"/>
    <w:rsid w:val="005D0296"/>
    <w:rsid w:val="005D5EFB"/>
    <w:rsid w:val="006A573B"/>
    <w:rsid w:val="006B0213"/>
    <w:rsid w:val="006C11ED"/>
    <w:rsid w:val="007039CD"/>
    <w:rsid w:val="00721607"/>
    <w:rsid w:val="00727018"/>
    <w:rsid w:val="007510FF"/>
    <w:rsid w:val="00766D6F"/>
    <w:rsid w:val="007F0C4A"/>
    <w:rsid w:val="007F7564"/>
    <w:rsid w:val="00812277"/>
    <w:rsid w:val="0083432E"/>
    <w:rsid w:val="008375DC"/>
    <w:rsid w:val="00855767"/>
    <w:rsid w:val="008C6279"/>
    <w:rsid w:val="008C7E09"/>
    <w:rsid w:val="009126FA"/>
    <w:rsid w:val="00973BA5"/>
    <w:rsid w:val="009A3DDC"/>
    <w:rsid w:val="009A4A66"/>
    <w:rsid w:val="009F3978"/>
    <w:rsid w:val="009F559D"/>
    <w:rsid w:val="00A0070D"/>
    <w:rsid w:val="00A06697"/>
    <w:rsid w:val="00A6783E"/>
    <w:rsid w:val="00AF7D23"/>
    <w:rsid w:val="00B0604F"/>
    <w:rsid w:val="00B342AA"/>
    <w:rsid w:val="00B4179E"/>
    <w:rsid w:val="00B447E1"/>
    <w:rsid w:val="00B731BF"/>
    <w:rsid w:val="00B96701"/>
    <w:rsid w:val="00BA7547"/>
    <w:rsid w:val="00BA7A7B"/>
    <w:rsid w:val="00BC236B"/>
    <w:rsid w:val="00BC7469"/>
    <w:rsid w:val="00C52706"/>
    <w:rsid w:val="00C64414"/>
    <w:rsid w:val="00C777BD"/>
    <w:rsid w:val="00C824DE"/>
    <w:rsid w:val="00C86567"/>
    <w:rsid w:val="00C86577"/>
    <w:rsid w:val="00CB09A9"/>
    <w:rsid w:val="00CF6F68"/>
    <w:rsid w:val="00D254EF"/>
    <w:rsid w:val="00E10BAD"/>
    <w:rsid w:val="00E3393D"/>
    <w:rsid w:val="00E350C6"/>
    <w:rsid w:val="00E55DD9"/>
    <w:rsid w:val="00E85F86"/>
    <w:rsid w:val="00EC22BD"/>
    <w:rsid w:val="00ED3C28"/>
    <w:rsid w:val="00F10AF2"/>
    <w:rsid w:val="00F5603D"/>
    <w:rsid w:val="00F84FCE"/>
    <w:rsid w:val="00FA30E3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477593"/>
  <w15:docId w15:val="{08D0B7A9-B916-4E38-BAC5-6ED168D4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Temp\notesFCBCEE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</Template>
  <TotalTime>3</TotalTime>
  <Pages>7</Pages>
  <Words>1646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Horáková Irena</dc:creator>
  <cp:lastModifiedBy>Horáková Irena</cp:lastModifiedBy>
  <cp:revision>3</cp:revision>
  <cp:lastPrinted>2010-07-15T13:45:00Z</cp:lastPrinted>
  <dcterms:created xsi:type="dcterms:W3CDTF">2018-08-30T08:50:00Z</dcterms:created>
  <dcterms:modified xsi:type="dcterms:W3CDTF">2018-08-30T09:06:00Z</dcterms:modified>
</cp:coreProperties>
</file>