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6"/>
        <w:gridCol w:w="1400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444"/>
      </w:tblGrid>
      <w:tr w:rsidR="00D30197" w:rsidRPr="00D30197" w:rsidTr="00D30197">
        <w:trPr>
          <w:trHeight w:val="300"/>
        </w:trPr>
        <w:tc>
          <w:tcPr>
            <w:tcW w:w="11300" w:type="dxa"/>
            <w:gridSpan w:val="12"/>
            <w:hideMark/>
          </w:tcPr>
          <w:p w:rsidR="00D30197" w:rsidRPr="00D30197" w:rsidRDefault="00D30197">
            <w:pPr>
              <w:rPr>
                <w:b/>
                <w:bCs/>
              </w:rPr>
            </w:pPr>
            <w:bookmarkStart w:id="0" w:name="RANGE!A1:L29"/>
            <w:r w:rsidRPr="00D30197">
              <w:rPr>
                <w:b/>
                <w:bCs/>
              </w:rPr>
              <w:t>Rozsah činností a požadavků  - oblast BOZP</w:t>
            </w:r>
            <w:bookmarkEnd w:id="0"/>
          </w:p>
        </w:tc>
      </w:tr>
      <w:tr w:rsidR="00D30197" w:rsidRPr="00D30197" w:rsidTr="00D30197">
        <w:trPr>
          <w:trHeight w:val="3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zpracování podkladů pro zatřídění zaměstnanců do kategorizace prací dle aktuálního stavu pracovních pozic zadavatele</w:t>
            </w:r>
          </w:p>
        </w:tc>
      </w:tr>
      <w:tr w:rsidR="00D30197" w:rsidRPr="00D30197" w:rsidTr="00D30197">
        <w:trPr>
          <w:trHeight w:val="58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2.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vyhledávání, identifikování a hodnocení rizika a navrhování zadavateli opatření k jejich odstraňování nebo omezení jejich působení, stanovení zdrojů a příčin rizik</w:t>
            </w:r>
          </w:p>
        </w:tc>
      </w:tr>
      <w:tr w:rsidR="00D30197" w:rsidRPr="00D30197" w:rsidTr="00D30197">
        <w:trPr>
          <w:trHeight w:val="3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3.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zajišťování odborného poradenství, konzultační a informační činnost v oblasti BOZP</w:t>
            </w:r>
          </w:p>
        </w:tc>
      </w:tr>
      <w:tr w:rsidR="00D30197" w:rsidRPr="00D30197" w:rsidTr="00D30197">
        <w:trPr>
          <w:trHeight w:val="54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4.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zastupování zadavatele jako odborný poradce při kontrolách státního dozoru, orgánů veřejného zdraví či jiných orgánů kontrolujících BOZP na vyzvání zadavatele</w:t>
            </w:r>
          </w:p>
        </w:tc>
      </w:tr>
      <w:tr w:rsidR="00D30197" w:rsidRPr="00D30197" w:rsidTr="00D30197">
        <w:trPr>
          <w:trHeight w:val="3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5.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spolupráce se zadavatelem na zpracování zpráv a rozborů z hlediska bezpečnosti pro nadřízené orgány</w:t>
            </w:r>
          </w:p>
        </w:tc>
      </w:tr>
      <w:tr w:rsidR="00D30197" w:rsidRPr="00D30197" w:rsidTr="00D30197">
        <w:trPr>
          <w:trHeight w:val="61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6.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zpracování dokumentaci BOZP dle platné legislativy, dle vzniklé potřeby  připravení návrhů nové dokumentace a aktualizování stávající dokumentaci BOZP dle platné legislativy</w:t>
            </w:r>
          </w:p>
        </w:tc>
      </w:tr>
      <w:tr w:rsidR="00D30197" w:rsidRPr="00D30197" w:rsidTr="00D30197">
        <w:trPr>
          <w:trHeight w:val="3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7.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kontrolování odstranění závad uvedených v kontrolních záznamech</w:t>
            </w:r>
          </w:p>
        </w:tc>
      </w:tr>
      <w:tr w:rsidR="00D30197" w:rsidRPr="00D30197" w:rsidTr="00D30197">
        <w:trPr>
          <w:trHeight w:val="63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8.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kontrolování jednotlivých pracovišť, pracovního prostředí, pracovních podmínek, strojů a technického zařízení z hlediska BOZP vč. vyhotovování  příslušné dokumentace (protokolů)</w:t>
            </w:r>
          </w:p>
        </w:tc>
      </w:tr>
      <w:tr w:rsidR="00D30197" w:rsidRPr="00D30197" w:rsidTr="00D30197">
        <w:trPr>
          <w:trHeight w:val="57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9.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vyjadřování se k organizačním směrnicím a organizačním a výchovným opatřením, k rizikovým pracovištím a pracovištím s výskytem úrazů a nemocí z povolání</w:t>
            </w:r>
          </w:p>
        </w:tc>
      </w:tr>
      <w:tr w:rsidR="00D30197" w:rsidRPr="00D30197" w:rsidTr="00D30197">
        <w:trPr>
          <w:trHeight w:val="6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10.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připravování podkladů ke školení BOZP, osnovy školení a v případě ověření znalosti písemnou formou i zkušební otázky</w:t>
            </w:r>
          </w:p>
        </w:tc>
      </w:tr>
      <w:tr w:rsidR="00D30197" w:rsidRPr="00D30197" w:rsidTr="00D30197">
        <w:trPr>
          <w:trHeight w:val="6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11.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vstupní školení nově přijatých zaměstnanců</w:t>
            </w:r>
          </w:p>
        </w:tc>
      </w:tr>
      <w:tr w:rsidR="00D30197" w:rsidRPr="00D30197" w:rsidTr="00D30197">
        <w:trPr>
          <w:trHeight w:val="6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12.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školení zaměstnanců a vedoucích zaměstnanců v oblasti BOZP dle stanovených periodik</w:t>
            </w:r>
          </w:p>
        </w:tc>
      </w:tr>
      <w:tr w:rsidR="00D30197" w:rsidRPr="00D30197" w:rsidTr="00D30197">
        <w:trPr>
          <w:trHeight w:val="153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13.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 xml:space="preserve">zajišťování vedení evidence pracovních úrazů a nemocí z povolání dle jejich příčin: příslušný vedoucí zaměstnanec zadavatele zapíše pracovní úraz v aplikaci el.knihy úrazů,  poskytovatel služeb provede šetření úrazového děje a v případě naplnění zákonných povinností vypracuje záznam o pracovním úrazu, odešle jej v el. podobě příkazci, který provede kontrolu správnosti zadaných údajů a potvrdí svým podpisem vyhotovení odešle zpět příkazníkovi, který odešle záznam o úrazu příslušným  institucím a  zástupci zadavatele </w:t>
            </w:r>
          </w:p>
        </w:tc>
      </w:tr>
      <w:tr w:rsidR="00D30197" w:rsidRPr="00D30197" w:rsidTr="00D30197">
        <w:trPr>
          <w:trHeight w:val="3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14.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tvorba plánů činností v oblasti BOZP</w:t>
            </w:r>
          </w:p>
        </w:tc>
      </w:tr>
      <w:tr w:rsidR="00D30197" w:rsidRPr="00D30197" w:rsidTr="00D30197">
        <w:trPr>
          <w:trHeight w:val="6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15.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účast na vyšetřování smrtelných úrazů jako součást jmenované komise</w:t>
            </w:r>
          </w:p>
        </w:tc>
      </w:tr>
      <w:tr w:rsidR="00D30197" w:rsidRPr="00D30197" w:rsidTr="00D30197">
        <w:trPr>
          <w:trHeight w:val="6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16.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předkládání vedení společnosti materiály k projednání smrtelných úrazů</w:t>
            </w:r>
          </w:p>
        </w:tc>
      </w:tr>
      <w:tr w:rsidR="00D30197" w:rsidRPr="00D30197" w:rsidTr="00D30197">
        <w:trPr>
          <w:trHeight w:val="64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17.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na základě spolupráce s vedoucími zaměstnanci a vyhodnocení rizikových faktorů zpracování seznamu profesí, kterým je potřeba přidělovat OOPP a typ OOPP, které budou poskytnuty; tento seznam pravidelně aktualizovat dle potřeby</w:t>
            </w:r>
          </w:p>
        </w:tc>
      </w:tr>
      <w:tr w:rsidR="00D30197" w:rsidRPr="00D30197" w:rsidTr="00D30197">
        <w:trPr>
          <w:trHeight w:val="6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18.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provádění kontroly přidělovaných OOPP zaměstnancům</w:t>
            </w:r>
          </w:p>
        </w:tc>
      </w:tr>
      <w:tr w:rsidR="00D30197" w:rsidRPr="00D30197" w:rsidTr="00D30197">
        <w:trPr>
          <w:trHeight w:val="60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19.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ve spolupráci se zadavatelem namátkové sledování provádění pravidelných lékařských prohlídek</w:t>
            </w:r>
          </w:p>
        </w:tc>
      </w:tr>
      <w:tr w:rsidR="00D30197" w:rsidRPr="00D30197" w:rsidTr="00D30197">
        <w:trPr>
          <w:trHeight w:val="70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20.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zajišťování provedení ročních prověrek bezpečnosti a ochrany zdraví při práci; 1x ročně na všech pracovištích zadavatele</w:t>
            </w:r>
          </w:p>
        </w:tc>
      </w:tr>
      <w:tr w:rsidR="00D30197" w:rsidRPr="00D30197" w:rsidTr="00D30197">
        <w:trPr>
          <w:trHeight w:val="54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21.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provádění preventivní kontroly stavu předmětu dodávky BOZP v dohodnutých termínech a s příslušnými vedoucími zaměstnanci jednotlivých oddělení s výsledným kontrolním záznamem o provedené kontrole s návrhy  na opatření;</w:t>
            </w:r>
          </w:p>
        </w:tc>
      </w:tr>
      <w:tr w:rsidR="00D30197" w:rsidRPr="00D30197" w:rsidTr="00D30197">
        <w:trPr>
          <w:trHeight w:val="420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22.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 xml:space="preserve">odborně dohlížet na dodržování organizačních směrnic a bezpečných postupů práce na </w:t>
            </w:r>
            <w:r w:rsidRPr="00D30197">
              <w:lastRenderedPageBreak/>
              <w:t>pracovištích</w:t>
            </w:r>
          </w:p>
        </w:tc>
      </w:tr>
      <w:tr w:rsidR="00D30197" w:rsidRPr="00D30197" w:rsidTr="00D30197">
        <w:trPr>
          <w:trHeight w:val="55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lastRenderedPageBreak/>
              <w:t>23.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o výsledcích kontrol zpracovávat kontrolní záznamy;  v případě zjištěných nedostatků navrhovat opatření k nápravě; tyto záznamy předávat příkazci</w:t>
            </w:r>
          </w:p>
        </w:tc>
      </w:tr>
      <w:tr w:rsidR="00D30197" w:rsidRPr="00D30197" w:rsidTr="00D30197">
        <w:trPr>
          <w:trHeight w:val="64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24.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 xml:space="preserve">výkon osoby odborně způsobilé k prevenci rizik podle § 9 Zákona č. 309/2006 Sb., zákon o zajištění dalších podmínek bezpečnosti a ochrany zdraví při práci </w:t>
            </w:r>
          </w:p>
        </w:tc>
      </w:tr>
      <w:tr w:rsidR="00D30197" w:rsidRPr="00D30197" w:rsidTr="00D30197">
        <w:trPr>
          <w:trHeight w:val="64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25.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odborná školení zaměstnanců v oblasti obsluhy křovinořezů, sněhových fréz a travních sekaček na základě požadavků zadavatele</w:t>
            </w:r>
          </w:p>
        </w:tc>
      </w:tr>
      <w:tr w:rsidR="00D30197" w:rsidRPr="00D30197" w:rsidTr="00D30197">
        <w:trPr>
          <w:trHeight w:val="405"/>
        </w:trPr>
        <w:tc>
          <w:tcPr>
            <w:tcW w:w="340" w:type="dxa"/>
            <w:hideMark/>
          </w:tcPr>
          <w:p w:rsidR="00D30197" w:rsidRPr="00D30197" w:rsidRDefault="00D30197">
            <w:r w:rsidRPr="00D30197">
              <w:t>26.</w:t>
            </w:r>
          </w:p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vedení elektronické dokumentace pracovních úrazů</w:t>
            </w:r>
          </w:p>
        </w:tc>
      </w:tr>
      <w:tr w:rsidR="00D30197" w:rsidRPr="00D30197" w:rsidTr="00D30197">
        <w:trPr>
          <w:trHeight w:val="300"/>
        </w:trPr>
        <w:tc>
          <w:tcPr>
            <w:tcW w:w="340" w:type="dxa"/>
            <w:hideMark/>
          </w:tcPr>
          <w:p w:rsidR="00D30197" w:rsidRPr="00D30197" w:rsidRDefault="00D30197"/>
        </w:tc>
        <w:tc>
          <w:tcPr>
            <w:tcW w:w="180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960" w:type="dxa"/>
            <w:hideMark/>
          </w:tcPr>
          <w:p w:rsidR="00D30197" w:rsidRPr="00D30197" w:rsidRDefault="00D30197"/>
        </w:tc>
        <w:tc>
          <w:tcPr>
            <w:tcW w:w="520" w:type="dxa"/>
            <w:hideMark/>
          </w:tcPr>
          <w:p w:rsidR="00D30197" w:rsidRPr="00D30197" w:rsidRDefault="00D30197"/>
        </w:tc>
      </w:tr>
      <w:tr w:rsidR="00D30197" w:rsidRPr="00D30197" w:rsidTr="00D30197">
        <w:trPr>
          <w:trHeight w:val="2775"/>
        </w:trPr>
        <w:tc>
          <w:tcPr>
            <w:tcW w:w="340" w:type="dxa"/>
            <w:hideMark/>
          </w:tcPr>
          <w:p w:rsidR="00D30197" w:rsidRPr="00D30197" w:rsidRDefault="00D30197"/>
        </w:tc>
        <w:tc>
          <w:tcPr>
            <w:tcW w:w="10960" w:type="dxa"/>
            <w:gridSpan w:val="11"/>
            <w:hideMark/>
          </w:tcPr>
          <w:p w:rsidR="00D30197" w:rsidRPr="00D30197" w:rsidRDefault="00D30197">
            <w:r w:rsidRPr="00D30197">
              <w:t>Výše uvedený soupis činností je orientační, tedy bude se jednat zejména, nikoli však o pouze zde uvedené činnosti. Požadavkem zadavatele je plnění povinností zejména v rozsahu zákona č. 262/2006 Sb. Zákoníku práce, nařízení vlády č. 201/2010 Sb. o způsobu evidence úrazů, hlášení a zasílání záznamu o úrazu, nařízením vlády č. 101/2005 Sb. o podrobnějších požadavcích na pracoviště a pracovní prostředí, nařízením vlády č. 361/2007 Sb., kterým se stanoví podmínky ochrany zdraví při práci, nařízením vlády č. 378/2001 Sb., kterým se stanoví bližší požadavky na bezpečný provoz a používání strojů, technických zařízení, přístrojů a nářadí, vyhláškou Českého úřadu bezpečnosti práce č. 48/1982 Sb., kterou se stanoví základní požadavky k zajištění bezpečnosti práce a technických zařízení. Zadavatel bude v rámci uzavřené smlouvy požadovat předem stanovenou reakční dobu ze strany dodavatele od momentu vzniku požadavku zadavatele. Tato doba bude oboustranně dohodnuta před uzavřením příslušné smlouvy.</w:t>
            </w:r>
          </w:p>
        </w:tc>
      </w:tr>
    </w:tbl>
    <w:p w:rsidR="00F05A34" w:rsidRDefault="00F05A34">
      <w:bookmarkStart w:id="1" w:name="_GoBack"/>
      <w:bookmarkEnd w:id="1"/>
    </w:p>
    <w:sectPr w:rsidR="00F0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97"/>
    <w:rsid w:val="00D30197"/>
    <w:rsid w:val="00F0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1</cp:revision>
  <dcterms:created xsi:type="dcterms:W3CDTF">2018-09-12T08:55:00Z</dcterms:created>
  <dcterms:modified xsi:type="dcterms:W3CDTF">2018-09-12T08:55:00Z</dcterms:modified>
</cp:coreProperties>
</file>