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EB1" w:rsidRDefault="00406EB1" w:rsidP="00406EB1">
      <w:bookmarkStart w:id="0" w:name="_GoBack"/>
      <w:bookmarkEnd w:id="0"/>
    </w:p>
    <w:p w:rsidR="00406EB1" w:rsidRDefault="00406EB1" w:rsidP="00406EB1">
      <w:pPr>
        <w:jc w:val="center"/>
        <w:rPr>
          <w:b/>
          <w:sz w:val="36"/>
          <w:szCs w:val="36"/>
        </w:rPr>
      </w:pPr>
      <w:r>
        <w:tab/>
      </w:r>
      <w:r w:rsidR="0078750A">
        <w:rPr>
          <w:b/>
          <w:sz w:val="36"/>
          <w:szCs w:val="36"/>
        </w:rPr>
        <w:t>Smlouva o dokončení</w:t>
      </w:r>
      <w:r>
        <w:rPr>
          <w:b/>
          <w:sz w:val="36"/>
          <w:szCs w:val="36"/>
        </w:rPr>
        <w:t xml:space="preserve"> pilotní</w:t>
      </w:r>
      <w:r w:rsidR="00561315">
        <w:rPr>
          <w:b/>
          <w:sz w:val="36"/>
          <w:szCs w:val="36"/>
        </w:rPr>
        <w:t>ho</w:t>
      </w:r>
      <w:r>
        <w:rPr>
          <w:b/>
          <w:sz w:val="36"/>
          <w:szCs w:val="36"/>
        </w:rPr>
        <w:t xml:space="preserve"> projektu podpory racionální preskripce RBP prostřednictvím ambulantních informačních systém</w:t>
      </w:r>
      <w:r w:rsidR="0027021C">
        <w:rPr>
          <w:b/>
          <w:sz w:val="36"/>
          <w:szCs w:val="36"/>
        </w:rPr>
        <w:t xml:space="preserve">ů </w:t>
      </w:r>
    </w:p>
    <w:p w:rsidR="00406EB1" w:rsidRDefault="00406EB1" w:rsidP="00406EB1">
      <w:pPr>
        <w:spacing w:after="120"/>
        <w:jc w:val="center"/>
        <w:rPr>
          <w:b/>
          <w:sz w:val="36"/>
          <w:szCs w:val="36"/>
        </w:rPr>
      </w:pPr>
    </w:p>
    <w:p w:rsidR="00406EB1" w:rsidRPr="00C422FE" w:rsidRDefault="00406EB1" w:rsidP="00406EB1">
      <w:pPr>
        <w:jc w:val="center"/>
      </w:pPr>
      <w:r w:rsidRPr="00C422FE">
        <w:t>uzavřen</w:t>
      </w:r>
      <w:r w:rsidR="00561315">
        <w:t>á</w:t>
      </w:r>
      <w:r w:rsidRPr="00C422FE">
        <w:t xml:space="preserve"> podle zák. č. </w:t>
      </w:r>
      <w:r>
        <w:t>89</w:t>
      </w:r>
      <w:r w:rsidRPr="00C422FE">
        <w:t>/</w:t>
      </w:r>
      <w:r>
        <w:t>2012</w:t>
      </w:r>
      <w:r w:rsidRPr="00C422FE">
        <w:t xml:space="preserve"> Sb.,</w:t>
      </w:r>
      <w:r w:rsidR="004D7374">
        <w:t xml:space="preserve"> </w:t>
      </w:r>
      <w:r w:rsidRPr="00C422FE">
        <w:t>ob</w:t>
      </w:r>
      <w:r>
        <w:t>čanský</w:t>
      </w:r>
      <w:r w:rsidRPr="00C422FE">
        <w:t xml:space="preserve"> zákoník, ve znění pozdějších předpisů (dále jen „ob</w:t>
      </w:r>
      <w:r>
        <w:t>čanský</w:t>
      </w:r>
      <w:r w:rsidRPr="00C422FE">
        <w:t xml:space="preserve"> zákoník“)</w:t>
      </w:r>
    </w:p>
    <w:p w:rsidR="00406EB1" w:rsidRPr="00C422FE" w:rsidRDefault="00406EB1" w:rsidP="00561315">
      <w:pPr>
        <w:ind w:left="3540" w:firstLine="708"/>
      </w:pPr>
      <w:proofErr w:type="gramStart"/>
      <w:r>
        <w:t>mezi</w:t>
      </w:r>
      <w:proofErr w:type="gramEnd"/>
      <w:r>
        <w:t xml:space="preserve"> </w:t>
      </w:r>
    </w:p>
    <w:p w:rsidR="00406EB1" w:rsidRPr="00C422FE" w:rsidRDefault="00406EB1" w:rsidP="00406EB1">
      <w:pPr>
        <w:ind w:left="720"/>
      </w:pPr>
    </w:p>
    <w:p w:rsidR="00406EB1" w:rsidRPr="00C422FE" w:rsidRDefault="00406EB1" w:rsidP="00406EB1">
      <w:pPr>
        <w:ind w:left="709"/>
        <w:rPr>
          <w:b/>
          <w:bCs/>
        </w:rPr>
      </w:pPr>
      <w:proofErr w:type="spellStart"/>
      <w:r w:rsidRPr="00C422FE">
        <w:rPr>
          <w:b/>
          <w:bCs/>
        </w:rPr>
        <w:t>CompuGroupMedical</w:t>
      </w:r>
      <w:proofErr w:type="spellEnd"/>
      <w:r w:rsidRPr="00C422FE">
        <w:rPr>
          <w:b/>
          <w:bCs/>
        </w:rPr>
        <w:t xml:space="preserve"> Česká republika s.r.o.</w:t>
      </w:r>
    </w:p>
    <w:p w:rsidR="00406EB1" w:rsidRPr="00C422FE" w:rsidRDefault="00406EB1" w:rsidP="00406EB1">
      <w:pPr>
        <w:ind w:left="709"/>
      </w:pPr>
      <w:r w:rsidRPr="00C422FE">
        <w:t xml:space="preserve">zapsaná v obchodním rejstříku vedeném Městským soudem v Praze, </w:t>
      </w:r>
    </w:p>
    <w:p w:rsidR="00406EB1" w:rsidRPr="00C422FE" w:rsidRDefault="00406EB1" w:rsidP="00406EB1">
      <w:pPr>
        <w:ind w:left="709"/>
      </w:pPr>
      <w:r w:rsidRPr="00C422FE">
        <w:t xml:space="preserve">oddíl C, vložka 131584 </w:t>
      </w:r>
    </w:p>
    <w:p w:rsidR="00406EB1" w:rsidRPr="00C422FE" w:rsidRDefault="00406EB1" w:rsidP="00406EB1">
      <w:pPr>
        <w:tabs>
          <w:tab w:val="left" w:pos="1843"/>
        </w:tabs>
        <w:ind w:left="709"/>
      </w:pPr>
      <w:r>
        <w:t>se sídlem:</w:t>
      </w:r>
      <w:r>
        <w:tab/>
      </w:r>
      <w:r w:rsidRPr="00C422FE">
        <w:t>Jeremiášova 1422/7b, 155 00 Praha 5</w:t>
      </w:r>
    </w:p>
    <w:p w:rsidR="00406EB1" w:rsidRPr="00C422FE" w:rsidRDefault="00406EB1" w:rsidP="00406EB1">
      <w:pPr>
        <w:tabs>
          <w:tab w:val="left" w:pos="1843"/>
        </w:tabs>
        <w:ind w:left="709"/>
      </w:pPr>
      <w:r w:rsidRPr="00C422FE">
        <w:t>IČO</w:t>
      </w:r>
      <w:r>
        <w:t>:</w:t>
      </w:r>
      <w:r>
        <w:tab/>
      </w:r>
      <w:r w:rsidRPr="00C422FE">
        <w:t>47902442</w:t>
      </w:r>
    </w:p>
    <w:p w:rsidR="00406EB1" w:rsidRPr="00C422FE" w:rsidRDefault="00406EB1" w:rsidP="00406EB1">
      <w:pPr>
        <w:tabs>
          <w:tab w:val="left" w:pos="1843"/>
        </w:tabs>
        <w:ind w:left="709"/>
      </w:pPr>
      <w:r w:rsidRPr="00C422FE">
        <w:t>DIČ:</w:t>
      </w:r>
      <w:r>
        <w:tab/>
      </w:r>
      <w:r w:rsidRPr="00C422FE">
        <w:t>CZ47902442</w:t>
      </w:r>
    </w:p>
    <w:p w:rsidR="00844864" w:rsidRDefault="00844864" w:rsidP="00844864">
      <w:pPr>
        <w:tabs>
          <w:tab w:val="left" w:pos="1843"/>
        </w:tabs>
        <w:ind w:left="709"/>
      </w:pPr>
      <w:r w:rsidRPr="00C422FE">
        <w:t>jednající:</w:t>
      </w:r>
      <w:r>
        <w:tab/>
      </w:r>
      <w:r w:rsidRPr="00FB406E">
        <w:t>Bc. Vladimír Přikryl, jednatel</w:t>
      </w:r>
    </w:p>
    <w:p w:rsidR="00844864" w:rsidRDefault="00844864" w:rsidP="00844864">
      <w:pPr>
        <w:tabs>
          <w:tab w:val="left" w:pos="1843"/>
        </w:tabs>
        <w:ind w:left="709"/>
      </w:pPr>
      <w:r>
        <w:tab/>
        <w:t xml:space="preserve">Dan Navrátil, </w:t>
      </w:r>
      <w:proofErr w:type="spellStart"/>
      <w:r>
        <w:t>MSc</w:t>
      </w:r>
      <w:proofErr w:type="spellEnd"/>
      <w:r>
        <w:t>, MBA, jednatel</w:t>
      </w:r>
    </w:p>
    <w:p w:rsidR="00406EB1" w:rsidRPr="00C422FE" w:rsidRDefault="00C32C19" w:rsidP="00BE6A2D">
      <w:pPr>
        <w:ind w:firstLine="708"/>
      </w:pPr>
      <w:r>
        <w:t xml:space="preserve">Bankovní spojení a číslo účtu: </w:t>
      </w:r>
      <w:proofErr w:type="spellStart"/>
      <w:r w:rsidR="003A5ABE" w:rsidRPr="003A5ABE">
        <w:rPr>
          <w:highlight w:val="black"/>
        </w:rPr>
        <w:t>xxxxxxxxxxx</w:t>
      </w:r>
      <w:proofErr w:type="spellEnd"/>
    </w:p>
    <w:p w:rsidR="00406EB1" w:rsidRPr="00C422FE" w:rsidRDefault="00406EB1" w:rsidP="00406EB1">
      <w:pPr>
        <w:ind w:left="709"/>
      </w:pPr>
      <w:r w:rsidRPr="00C422FE">
        <w:t>(dále jen „Poskytovatel“)</w:t>
      </w:r>
    </w:p>
    <w:p w:rsidR="00406EB1" w:rsidRPr="00C422FE" w:rsidRDefault="00406EB1" w:rsidP="00406EB1">
      <w:pPr>
        <w:ind w:left="720"/>
      </w:pPr>
    </w:p>
    <w:p w:rsidR="00406EB1" w:rsidRPr="00C422FE" w:rsidRDefault="00406EB1" w:rsidP="00406EB1">
      <w:pPr>
        <w:ind w:left="720"/>
      </w:pPr>
      <w:r w:rsidRPr="00C422FE">
        <w:t xml:space="preserve">a </w:t>
      </w:r>
    </w:p>
    <w:p w:rsidR="00406EB1" w:rsidRPr="00C422FE" w:rsidRDefault="00406EB1" w:rsidP="00406EB1">
      <w:pPr>
        <w:ind w:left="720"/>
      </w:pPr>
    </w:p>
    <w:p w:rsidR="00406EB1" w:rsidRPr="00C422FE" w:rsidRDefault="00406EB1" w:rsidP="00406EB1">
      <w:pPr>
        <w:ind w:left="720"/>
        <w:rPr>
          <w:b/>
        </w:rPr>
      </w:pPr>
      <w:r>
        <w:rPr>
          <w:b/>
        </w:rPr>
        <w:t>Revírní bratrská pokladna, zdravotní pojišťovna</w:t>
      </w:r>
    </w:p>
    <w:p w:rsidR="00406EB1" w:rsidRDefault="00406EB1" w:rsidP="00406EB1">
      <w:pPr>
        <w:ind w:left="720"/>
      </w:pPr>
      <w:r>
        <w:t>vedená u Krajského soudu v Ostravě, AXIV 554</w:t>
      </w:r>
    </w:p>
    <w:p w:rsidR="00406EB1" w:rsidRPr="00C422FE" w:rsidRDefault="00406EB1" w:rsidP="00406EB1">
      <w:pPr>
        <w:tabs>
          <w:tab w:val="left" w:pos="1843"/>
        </w:tabs>
        <w:ind w:left="720"/>
        <w:rPr>
          <w:bCs/>
        </w:rPr>
      </w:pPr>
      <w:r w:rsidRPr="00C422FE">
        <w:t>se sídlem:</w:t>
      </w:r>
      <w:r>
        <w:tab/>
      </w:r>
      <w:r>
        <w:rPr>
          <w:bCs/>
        </w:rPr>
        <w:t xml:space="preserve">Michálkovická </w:t>
      </w:r>
      <w:r w:rsidR="00C32C19">
        <w:rPr>
          <w:bCs/>
        </w:rPr>
        <w:t>967/</w:t>
      </w:r>
      <w:r>
        <w:rPr>
          <w:bCs/>
        </w:rPr>
        <w:t>108, Slezská Ostrava, 710 00 Ostrava</w:t>
      </w:r>
    </w:p>
    <w:p w:rsidR="00406EB1" w:rsidRPr="00C422FE" w:rsidRDefault="00406EB1" w:rsidP="00406EB1">
      <w:pPr>
        <w:tabs>
          <w:tab w:val="left" w:pos="1843"/>
        </w:tabs>
        <w:ind w:left="720"/>
      </w:pPr>
      <w:r w:rsidRPr="00C422FE">
        <w:t>IČO</w:t>
      </w:r>
      <w:r>
        <w:t>:</w:t>
      </w:r>
      <w:r>
        <w:tab/>
        <w:t>47673036</w:t>
      </w:r>
    </w:p>
    <w:p w:rsidR="00406EB1" w:rsidRPr="00C422FE" w:rsidRDefault="00406EB1" w:rsidP="00406EB1">
      <w:pPr>
        <w:tabs>
          <w:tab w:val="left" w:pos="1843"/>
        </w:tabs>
        <w:ind w:left="720"/>
      </w:pPr>
      <w:r w:rsidRPr="00C422FE">
        <w:t>DIČ:</w:t>
      </w:r>
      <w:r>
        <w:tab/>
      </w:r>
      <w:r w:rsidRPr="00410E63">
        <w:t>CZ</w:t>
      </w:r>
      <w:r>
        <w:t>47673036</w:t>
      </w:r>
    </w:p>
    <w:p w:rsidR="00406EB1" w:rsidRDefault="00406EB1" w:rsidP="00844864">
      <w:pPr>
        <w:pStyle w:val="Nadpis3"/>
        <w:tabs>
          <w:tab w:val="left" w:pos="1843"/>
        </w:tabs>
        <w:ind w:left="720"/>
        <w:rPr>
          <w:rFonts w:ascii="Times New Roman" w:hAnsi="Times New Roman"/>
          <w:szCs w:val="24"/>
        </w:rPr>
      </w:pPr>
      <w:r w:rsidRPr="00C422FE">
        <w:rPr>
          <w:rFonts w:ascii="Times New Roman" w:hAnsi="Times New Roman"/>
          <w:szCs w:val="24"/>
        </w:rPr>
        <w:t>jednající:</w:t>
      </w:r>
      <w:r>
        <w:rPr>
          <w:rFonts w:ascii="Times New Roman" w:hAnsi="Times New Roman"/>
          <w:szCs w:val="24"/>
        </w:rPr>
        <w:tab/>
      </w:r>
      <w:r w:rsidR="00844864" w:rsidRPr="00844864">
        <w:rPr>
          <w:rFonts w:ascii="Times New Roman" w:hAnsi="Times New Roman"/>
          <w:szCs w:val="24"/>
        </w:rPr>
        <w:t xml:space="preserve">Ing. </w:t>
      </w:r>
      <w:r w:rsidR="00844864">
        <w:rPr>
          <w:rFonts w:ascii="Times New Roman" w:hAnsi="Times New Roman"/>
          <w:szCs w:val="24"/>
        </w:rPr>
        <w:t>Antonín Klimša</w:t>
      </w:r>
      <w:r w:rsidR="00844864" w:rsidRPr="00844864">
        <w:rPr>
          <w:rFonts w:ascii="Times New Roman" w:hAnsi="Times New Roman"/>
          <w:szCs w:val="24"/>
        </w:rPr>
        <w:t>, MBA</w:t>
      </w:r>
      <w:r>
        <w:rPr>
          <w:rFonts w:ascii="Times New Roman" w:hAnsi="Times New Roman"/>
          <w:szCs w:val="24"/>
        </w:rPr>
        <w:t xml:space="preserve">, </w:t>
      </w:r>
      <w:r w:rsidR="004D7374">
        <w:rPr>
          <w:rFonts w:ascii="Times New Roman" w:hAnsi="Times New Roman"/>
          <w:szCs w:val="24"/>
        </w:rPr>
        <w:t xml:space="preserve">výkonný </w:t>
      </w:r>
      <w:r>
        <w:rPr>
          <w:rFonts w:ascii="Times New Roman" w:hAnsi="Times New Roman"/>
          <w:szCs w:val="24"/>
        </w:rPr>
        <w:t>ředitel</w:t>
      </w:r>
    </w:p>
    <w:p w:rsidR="00406EB1" w:rsidRPr="00C422FE" w:rsidRDefault="00C32C19" w:rsidP="00406EB1">
      <w:r>
        <w:tab/>
        <w:t xml:space="preserve">Bankovní spojení a číslo účtu: </w:t>
      </w:r>
      <w:proofErr w:type="spellStart"/>
      <w:r w:rsidR="003A5ABE" w:rsidRPr="003A5ABE">
        <w:rPr>
          <w:highlight w:val="black"/>
        </w:rPr>
        <w:t>xxxxxxxxxxx</w:t>
      </w:r>
      <w:proofErr w:type="spellEnd"/>
    </w:p>
    <w:p w:rsidR="00406EB1" w:rsidRDefault="00406EB1" w:rsidP="00406EB1">
      <w:pPr>
        <w:ind w:left="720"/>
      </w:pPr>
      <w:r w:rsidRPr="00C422FE">
        <w:t xml:space="preserve"> (dále jen „</w:t>
      </w:r>
      <w:r>
        <w:t>Objednatel</w:t>
      </w:r>
      <w:r w:rsidRPr="00C422FE">
        <w:t>“</w:t>
      </w:r>
      <w:r>
        <w:t xml:space="preserve"> nebo též „RBP“</w:t>
      </w:r>
      <w:r w:rsidRPr="00C422FE">
        <w:t>)</w:t>
      </w:r>
      <w:r>
        <w:t>,</w:t>
      </w:r>
    </w:p>
    <w:p w:rsidR="00406EB1" w:rsidRDefault="00406EB1" w:rsidP="00406EB1">
      <w:pPr>
        <w:ind w:left="720"/>
      </w:pPr>
    </w:p>
    <w:p w:rsidR="00406EB1" w:rsidRPr="00C422FE" w:rsidRDefault="00406EB1" w:rsidP="00BE6A2D">
      <w:pPr>
        <w:ind w:left="708" w:firstLine="12"/>
      </w:pPr>
      <w:r>
        <w:t>(společně dále jako „Smluvní strany“)</w:t>
      </w:r>
    </w:p>
    <w:p w:rsidR="00406EB1" w:rsidRPr="00C422FE" w:rsidRDefault="00406EB1" w:rsidP="00CA254F"/>
    <w:p w:rsidR="00406EB1" w:rsidRDefault="00561315" w:rsidP="00561315">
      <w:pPr>
        <w:ind w:left="3552"/>
        <w:rPr>
          <w:b/>
        </w:rPr>
      </w:pPr>
      <w:r w:rsidRPr="00561315">
        <w:rPr>
          <w:b/>
        </w:rPr>
        <w:t>Preambule</w:t>
      </w:r>
    </w:p>
    <w:p w:rsidR="00561315" w:rsidRDefault="00561315" w:rsidP="00561315">
      <w:pPr>
        <w:ind w:left="3552"/>
        <w:rPr>
          <w:b/>
        </w:rPr>
      </w:pPr>
    </w:p>
    <w:p w:rsidR="00B937CE" w:rsidRDefault="00561315" w:rsidP="00561315">
      <w:pPr>
        <w:jc w:val="both"/>
      </w:pPr>
      <w:r>
        <w:t xml:space="preserve">Smluvní strany mezi sebou uzavřely Smlouvu o pilotním projektu podpory racionální preskripce RBP prostřednictvím ambulantních informačních systémů </w:t>
      </w:r>
      <w:r w:rsidRPr="00561315">
        <w:t>č.SML2016HCS0010</w:t>
      </w:r>
      <w:r>
        <w:t xml:space="preserve"> (dále jen „Pilotní smlouva“). </w:t>
      </w:r>
    </w:p>
    <w:p w:rsidR="00B937CE" w:rsidRDefault="00B937CE" w:rsidP="00561315">
      <w:pPr>
        <w:jc w:val="both"/>
      </w:pPr>
    </w:p>
    <w:p w:rsidR="00B937CE" w:rsidRDefault="00561315" w:rsidP="00561315">
      <w:pPr>
        <w:jc w:val="both"/>
      </w:pPr>
      <w:r>
        <w:t>Jelikož</w:t>
      </w:r>
      <w:r w:rsidR="00B937CE">
        <w:t>:</w:t>
      </w:r>
      <w:r>
        <w:t xml:space="preserve"> </w:t>
      </w:r>
    </w:p>
    <w:p w:rsidR="00B937CE" w:rsidRDefault="00B937CE" w:rsidP="00561315">
      <w:pPr>
        <w:jc w:val="both"/>
      </w:pPr>
      <w:r>
        <w:t>-</w:t>
      </w:r>
      <w:r>
        <w:tab/>
      </w:r>
      <w:r w:rsidR="00561315">
        <w:t xml:space="preserve">Pilotní smlouva byla ukončena ke dni </w:t>
      </w:r>
      <w:proofErr w:type="gramStart"/>
      <w:r w:rsidR="00561315">
        <w:t>31.8.2017</w:t>
      </w:r>
      <w:proofErr w:type="gramEnd"/>
      <w:r w:rsidR="00561315">
        <w:t xml:space="preserve"> uplynutím času</w:t>
      </w:r>
      <w:r>
        <w:t>;</w:t>
      </w:r>
      <w:r w:rsidR="00561315">
        <w:t xml:space="preserve"> </w:t>
      </w:r>
    </w:p>
    <w:p w:rsidR="00B937CE" w:rsidRDefault="00B937CE" w:rsidP="00415025">
      <w:pPr>
        <w:ind w:left="700" w:hanging="700"/>
        <w:jc w:val="both"/>
      </w:pPr>
      <w:r>
        <w:t>-</w:t>
      </w:r>
      <w:r>
        <w:tab/>
        <w:t>na základě Pilotní smlouvy nebyla zajištěna požadovaná a zamýšlená prostá návratnost požadovaná Objednatelem a Smluvní strany mají zájem na dosažení požadované prosté návratnosti;</w:t>
      </w:r>
    </w:p>
    <w:p w:rsidR="00B937CE" w:rsidRDefault="00B937CE" w:rsidP="00415025">
      <w:pPr>
        <w:ind w:left="700" w:hanging="700"/>
        <w:jc w:val="both"/>
      </w:pPr>
      <w:r>
        <w:t>-</w:t>
      </w:r>
      <w:r>
        <w:tab/>
      </w:r>
      <w:proofErr w:type="gramStart"/>
      <w:r>
        <w:t>Objednatel  má</w:t>
      </w:r>
      <w:proofErr w:type="gramEnd"/>
      <w:r>
        <w:t xml:space="preserve"> zájem na dalším rozvoji pilotního projektu za účelem úspory prostředků vynakládaných z veřejného zdravotního pojištění;</w:t>
      </w:r>
    </w:p>
    <w:p w:rsidR="00B937CE" w:rsidRDefault="00B937CE" w:rsidP="00415025">
      <w:pPr>
        <w:ind w:left="700" w:hanging="700"/>
        <w:jc w:val="both"/>
      </w:pPr>
      <w:r>
        <w:t>-</w:t>
      </w:r>
      <w:r>
        <w:tab/>
        <w:t xml:space="preserve">Objednatel má zájem podporovat a racionalizovat svou preskripci; </w:t>
      </w:r>
    </w:p>
    <w:p w:rsidR="00B937CE" w:rsidRDefault="00B937CE" w:rsidP="00415025">
      <w:pPr>
        <w:ind w:left="700" w:hanging="700"/>
        <w:jc w:val="both"/>
      </w:pPr>
    </w:p>
    <w:p w:rsidR="00561315" w:rsidRDefault="004D7374" w:rsidP="00B937CE">
      <w:pPr>
        <w:jc w:val="both"/>
      </w:pPr>
      <w:r>
        <w:lastRenderedPageBreak/>
        <w:t xml:space="preserve">došly smluvní strany, po vyhodnocení plnění Pilotní </w:t>
      </w:r>
      <w:r w:rsidR="00B937CE">
        <w:t xml:space="preserve">smlouvy, </w:t>
      </w:r>
      <w:r>
        <w:t>k rozhodnutí pokračovat ve spolupráci nastavené Pilotní smlouvou</w:t>
      </w:r>
      <w:r w:rsidR="00561315">
        <w:t xml:space="preserve"> </w:t>
      </w:r>
      <w:r>
        <w:t xml:space="preserve">a dokončit </w:t>
      </w:r>
      <w:r w:rsidR="00637A9B">
        <w:t xml:space="preserve">pilotní </w:t>
      </w:r>
      <w:r>
        <w:t>projekt touto smlouvou zahájený.</w:t>
      </w:r>
    </w:p>
    <w:p w:rsidR="004D7374" w:rsidRDefault="004D7374" w:rsidP="00561315">
      <w:pPr>
        <w:jc w:val="both"/>
      </w:pPr>
    </w:p>
    <w:p w:rsidR="006831BC" w:rsidRDefault="004D7374" w:rsidP="00561315">
      <w:pPr>
        <w:jc w:val="both"/>
      </w:pPr>
      <w:r>
        <w:t>S ohledem na výše uvedené se smluvní strany rozhodly uzavřít tuto Smlouvu o dokončení pilotního projektu podpory racionální preskripce RBP prostřednictvím ambulantních informačních systémů (dále jen „Smlouva“).</w:t>
      </w:r>
    </w:p>
    <w:p w:rsidR="006831BC" w:rsidRPr="00561315" w:rsidRDefault="006831BC" w:rsidP="00561315">
      <w:pPr>
        <w:jc w:val="both"/>
      </w:pPr>
    </w:p>
    <w:p w:rsidR="00B127B1" w:rsidRPr="00B127B1" w:rsidRDefault="00844864" w:rsidP="00B127B1">
      <w:pPr>
        <w:numPr>
          <w:ilvl w:val="0"/>
          <w:numId w:val="1"/>
        </w:numPr>
        <w:spacing w:after="240"/>
        <w:ind w:left="284" w:hanging="284"/>
        <w:jc w:val="center"/>
        <w:rPr>
          <w:b/>
        </w:rPr>
      </w:pPr>
      <w:r>
        <w:rPr>
          <w:b/>
        </w:rPr>
        <w:t>Rozšíření pilotního projektu</w:t>
      </w:r>
    </w:p>
    <w:p w:rsidR="00B127B1" w:rsidRDefault="00B127B1" w:rsidP="00B127B1">
      <w:pPr>
        <w:numPr>
          <w:ilvl w:val="1"/>
          <w:numId w:val="2"/>
        </w:numPr>
        <w:spacing w:after="120"/>
        <w:ind w:left="425" w:hanging="425"/>
        <w:jc w:val="both"/>
      </w:pPr>
      <w:r w:rsidRPr="00C422FE">
        <w:t xml:space="preserve">Poskytovatel prohlašuje, že je společností zaměřenou na tvorbu medicínského software a je </w:t>
      </w:r>
      <w:r>
        <w:t xml:space="preserve">vlastníkem a vykonavatelem majetkových práv k autorskému dílu - </w:t>
      </w:r>
      <w:r w:rsidRPr="00C422FE">
        <w:t>počítačový</w:t>
      </w:r>
      <w:r>
        <w:t>m</w:t>
      </w:r>
      <w:r w:rsidRPr="00C422FE">
        <w:t xml:space="preserve"> software produktů s názvy PC DOKTOR, PC DENT, AMICUS, DENTIST</w:t>
      </w:r>
      <w:r>
        <w:t>, TURBOASISTENT</w:t>
      </w:r>
      <w:r w:rsidRPr="00C422FE">
        <w:t xml:space="preserve"> a MEDICUS (SW produkty jsou ve smlouvě dále označeny jednotlivě jako „Produkt“ a společně jako „Produkty“)</w:t>
      </w:r>
      <w:r>
        <w:t xml:space="preserve">. </w:t>
      </w:r>
    </w:p>
    <w:p w:rsidR="00B127B1" w:rsidRPr="00CA254F" w:rsidRDefault="008724A7" w:rsidP="00B127B1">
      <w:pPr>
        <w:numPr>
          <w:ilvl w:val="1"/>
          <w:numId w:val="2"/>
        </w:numPr>
        <w:spacing w:after="120"/>
        <w:ind w:left="425" w:hanging="425"/>
        <w:jc w:val="both"/>
      </w:pPr>
      <w:r>
        <w:t>Poskytovatel nasadí Produkt vybraným</w:t>
      </w:r>
      <w:r w:rsidR="00B127B1">
        <w:t xml:space="preserve"> lékařů</w:t>
      </w:r>
      <w:r>
        <w:t>m - uživatelům, jejichž seznam</w:t>
      </w:r>
      <w:r w:rsidR="00B127B1">
        <w:t xml:space="preserve"> </w:t>
      </w:r>
      <w:proofErr w:type="gramStart"/>
      <w:r w:rsidR="00B127B1" w:rsidRPr="00A277A4">
        <w:t>bude</w:t>
      </w:r>
      <w:proofErr w:type="gramEnd"/>
      <w:r w:rsidR="00B127B1" w:rsidRPr="00A277A4">
        <w:t xml:space="preserve"> předán </w:t>
      </w:r>
      <w:proofErr w:type="gramStart"/>
      <w:r w:rsidR="00B127B1" w:rsidRPr="00A277A4">
        <w:t>Poskytovali</w:t>
      </w:r>
      <w:proofErr w:type="gramEnd"/>
      <w:r w:rsidR="00B127B1" w:rsidRPr="00A277A4">
        <w:t xml:space="preserve"> formou seznamu IČP v MS Excel.</w:t>
      </w:r>
    </w:p>
    <w:p w:rsidR="00B127B1" w:rsidRDefault="008724A7" w:rsidP="008724A7">
      <w:pPr>
        <w:numPr>
          <w:ilvl w:val="1"/>
          <w:numId w:val="2"/>
        </w:numPr>
        <w:spacing w:after="120"/>
        <w:ind w:left="425" w:hanging="425"/>
        <w:jc w:val="both"/>
      </w:pPr>
      <w:r>
        <w:t>Součástí plnění Smlouvy je rovněž závazek Poskytovatele k instalaci a podpoře softwarového řešení u vybraných uživatelů po dobu pilotního trvání pilotního provozu. Maximální počet vybraných uživatelů není omezen a postupem dle článku 1.2 Smlouvy může být dle požadavku Objednatele rozšířen.</w:t>
      </w:r>
    </w:p>
    <w:p w:rsidR="006831BC" w:rsidRDefault="008724A7" w:rsidP="006831BC">
      <w:pPr>
        <w:numPr>
          <w:ilvl w:val="1"/>
          <w:numId w:val="2"/>
        </w:numPr>
        <w:spacing w:after="120"/>
        <w:ind w:left="425" w:hanging="425"/>
        <w:jc w:val="both"/>
      </w:pPr>
      <w:r>
        <w:t>Smluvní strany sjednávají, že dokončení</w:t>
      </w:r>
      <w:r w:rsidR="00336587">
        <w:t xml:space="preserve"> pilotního pro</w:t>
      </w:r>
      <w:r>
        <w:t xml:space="preserve">vozu projektu je stanoveno na </w:t>
      </w:r>
      <w:proofErr w:type="gramStart"/>
      <w:r>
        <w:t>31.12.2019</w:t>
      </w:r>
      <w:proofErr w:type="gramEnd"/>
      <w:r>
        <w:t xml:space="preserve">, přičemž </w:t>
      </w:r>
      <w:r w:rsidR="00336587">
        <w:t xml:space="preserve">Objednatel se zavazuje vyhodnocovat provoz </w:t>
      </w:r>
      <w:r>
        <w:t xml:space="preserve">projektu </w:t>
      </w:r>
      <w:r w:rsidR="00EE5A64">
        <w:t xml:space="preserve">vždy </w:t>
      </w:r>
      <w:r>
        <w:t>měsíčně</w:t>
      </w:r>
      <w:r w:rsidR="00336587">
        <w:t xml:space="preserve"> s tím, že písemné vyhodnocení předá vždy do 30ti dnů od konce vyhodnoceného měsíce</w:t>
      </w:r>
      <w:r>
        <w:t xml:space="preserve"> Poskytovatel</w:t>
      </w:r>
      <w:r w:rsidR="00415025">
        <w:t>i</w:t>
      </w:r>
      <w:r>
        <w:t xml:space="preserve">, a to </w:t>
      </w:r>
      <w:r w:rsidR="00EE5A64">
        <w:t xml:space="preserve">e-mailem </w:t>
      </w:r>
      <w:r>
        <w:t>kontaktní osobě</w:t>
      </w:r>
      <w:r w:rsidR="00EE5A64">
        <w:t xml:space="preserve"> Poskytovatele.</w:t>
      </w:r>
    </w:p>
    <w:p w:rsidR="006831BC" w:rsidRPr="00C422FE" w:rsidRDefault="006831BC" w:rsidP="006831BC">
      <w:pPr>
        <w:spacing w:after="120"/>
        <w:ind w:left="425"/>
        <w:jc w:val="both"/>
      </w:pPr>
    </w:p>
    <w:p w:rsidR="00EE5A64" w:rsidRDefault="00EE5A64" w:rsidP="00EE5A64">
      <w:pPr>
        <w:numPr>
          <w:ilvl w:val="0"/>
          <w:numId w:val="2"/>
        </w:numPr>
        <w:spacing w:after="240"/>
        <w:jc w:val="center"/>
        <w:rPr>
          <w:b/>
        </w:rPr>
      </w:pPr>
      <w:r>
        <w:rPr>
          <w:b/>
        </w:rPr>
        <w:t>Cena a platební podmínky</w:t>
      </w:r>
    </w:p>
    <w:p w:rsidR="00637A9B" w:rsidRDefault="00C32C19" w:rsidP="00637A9B">
      <w:pPr>
        <w:numPr>
          <w:ilvl w:val="1"/>
          <w:numId w:val="2"/>
        </w:numPr>
        <w:spacing w:after="120"/>
        <w:ind w:left="425" w:hanging="425"/>
        <w:jc w:val="both"/>
      </w:pPr>
      <w:r>
        <w:t>Smluvní strany prohlašují, že se jim</w:t>
      </w:r>
      <w:r w:rsidR="00637A9B">
        <w:t xml:space="preserve"> na základě Pilotní smlouvy podařilo dosáhnout úspory ve výši</w:t>
      </w:r>
      <w:r w:rsidR="00BE6A2D">
        <w:t xml:space="preserve"> </w:t>
      </w:r>
      <w:r w:rsidR="00FF216C">
        <w:t>479.104</w:t>
      </w:r>
      <w:r w:rsidR="00BE6A2D">
        <w:t xml:space="preserve"> </w:t>
      </w:r>
      <w:proofErr w:type="gramStart"/>
      <w:r w:rsidR="00BE6A2D">
        <w:t xml:space="preserve">Kč </w:t>
      </w:r>
      <w:r w:rsidR="00637A9B">
        <w:t>přičemž</w:t>
      </w:r>
      <w:proofErr w:type="gramEnd"/>
      <w:r w:rsidR="00637A9B">
        <w:t xml:space="preserve"> cílem a minimálním požadavkem Objednatele na dosažení úspory je kumulovaná částka 960.000 Kč</w:t>
      </w:r>
      <w:r w:rsidR="006831BC">
        <w:t xml:space="preserve"> bez DPH</w:t>
      </w:r>
      <w:r w:rsidR="00637A9B">
        <w:t>. Do doby ukončení Smlouvy uplynutím doby dle článku 1.4, resp. do doby dosažení částky dle tohoto článku nemá Poskytovatel právo na jakékoliv plnění, případně podíl z úspory, který vznikne plněním Smlouvy na straně Objednatele. Pro výpočet dosažených úspor se použije porovnání dosažených úspor při preskripci z ATC skupin léčivých přípravků obsažených na Pozitivním listu na vybraných pracovištích (identifikovaných IČP) za daný měsíc v porovnání s úsporami dosaženými na těchto pracovištích v období stejného měsíce v roce 2016.</w:t>
      </w:r>
    </w:p>
    <w:p w:rsidR="00637A9B" w:rsidRDefault="00637A9B" w:rsidP="002864CB">
      <w:pPr>
        <w:numPr>
          <w:ilvl w:val="1"/>
          <w:numId w:val="2"/>
        </w:numPr>
        <w:spacing w:after="120"/>
        <w:ind w:left="425" w:hanging="425"/>
        <w:jc w:val="both"/>
      </w:pPr>
      <w:r>
        <w:t xml:space="preserve">Objednatel se zavazuje ke dni </w:t>
      </w:r>
      <w:proofErr w:type="gramStart"/>
      <w:r>
        <w:t>31.1</w:t>
      </w:r>
      <w:r w:rsidR="00E0394D">
        <w:t>2</w:t>
      </w:r>
      <w:r>
        <w:t>.20</w:t>
      </w:r>
      <w:r w:rsidR="00E0394D">
        <w:t>18</w:t>
      </w:r>
      <w:proofErr w:type="gramEnd"/>
      <w:r w:rsidR="00C32C19">
        <w:t xml:space="preserve"> provést </w:t>
      </w:r>
      <w:r w:rsidR="00E0394D">
        <w:t xml:space="preserve">průběžné </w:t>
      </w:r>
      <w:r w:rsidR="00C32C19">
        <w:t>vyhodnocení pilotního projektu spolu s případný</w:t>
      </w:r>
      <w:r w:rsidR="00B937CE">
        <w:t>m</w:t>
      </w:r>
      <w:r w:rsidR="00C32C19">
        <w:t xml:space="preserve"> efektem spočívajícím ve vygenerování úspory </w:t>
      </w:r>
      <w:r w:rsidR="00027EFA">
        <w:t>vynakládaných</w:t>
      </w:r>
      <w:r w:rsidR="00C32C19">
        <w:t xml:space="preserve"> prostředků na straně Objednatele v souvislosti s plněním Smlouvy</w:t>
      </w:r>
      <w:r w:rsidR="00E0394D">
        <w:t xml:space="preserve"> (dále jen „vyhodnocení“) a následně pak nejpozději ke dni 31.12.2019 provést finální vyhodnocení</w:t>
      </w:r>
      <w:r w:rsidR="00C32C19">
        <w:t xml:space="preserve">. Případná úspora na straně Objednatele, která vyplyne z vyhodnocení dle tohoto článku a která bude </w:t>
      </w:r>
      <w:r w:rsidR="00F13438">
        <w:t xml:space="preserve">ke dni </w:t>
      </w:r>
      <w:proofErr w:type="gramStart"/>
      <w:r w:rsidR="00F13438">
        <w:t>31.12.2018</w:t>
      </w:r>
      <w:proofErr w:type="gramEnd"/>
      <w:r w:rsidR="00F13438">
        <w:t xml:space="preserve"> </w:t>
      </w:r>
      <w:r w:rsidR="00C32C19">
        <w:t xml:space="preserve">převyšovat částku </w:t>
      </w:r>
      <w:r w:rsidR="00BE6A2D">
        <w:t xml:space="preserve">960.000 </w:t>
      </w:r>
      <w:r w:rsidR="00C32C19">
        <w:t xml:space="preserve">Kč </w:t>
      </w:r>
      <w:r w:rsidR="0037132A">
        <w:t>bez DPH</w:t>
      </w:r>
      <w:r w:rsidR="00027EFA">
        <w:t>,</w:t>
      </w:r>
      <w:r w:rsidR="0037132A">
        <w:t xml:space="preserve"> </w:t>
      </w:r>
      <w:r w:rsidR="00C32C19">
        <w:t xml:space="preserve">bude rozdělena mezi Smluvní strany tak, že Objednateli připadne 70% a Poskytovateli 30% z vygenerované úspory. </w:t>
      </w:r>
      <w:r w:rsidR="00591C52">
        <w:t xml:space="preserve">Celková </w:t>
      </w:r>
      <w:r w:rsidR="00F13438">
        <w:t>úspora na straně Objednatele</w:t>
      </w:r>
      <w:r w:rsidR="00726293">
        <w:t xml:space="preserve"> vyplývající </w:t>
      </w:r>
      <w:r w:rsidR="00F13438">
        <w:t>z</w:t>
      </w:r>
      <w:r w:rsidR="00726293">
        <w:t xml:space="preserve"> finálního </w:t>
      </w:r>
      <w:r w:rsidR="00F13438">
        <w:t xml:space="preserve">vyhodnocení </w:t>
      </w:r>
      <w:r w:rsidR="00726293">
        <w:t>k</w:t>
      </w:r>
      <w:r w:rsidR="002864CB">
        <w:t>e dni</w:t>
      </w:r>
      <w:r w:rsidR="00726293">
        <w:t> </w:t>
      </w:r>
      <w:proofErr w:type="gramStart"/>
      <w:r w:rsidR="00726293">
        <w:t>31.12.2019</w:t>
      </w:r>
      <w:proofErr w:type="gramEnd"/>
      <w:r w:rsidR="00726293">
        <w:t xml:space="preserve">, </w:t>
      </w:r>
      <w:r w:rsidR="00F13438">
        <w:t xml:space="preserve">která bude </w:t>
      </w:r>
      <w:r w:rsidR="006C2AE3">
        <w:t xml:space="preserve">v souhrnu </w:t>
      </w:r>
      <w:r w:rsidR="00F13438">
        <w:t>převyšovat částku 960.000Kč bez DPH,</w:t>
      </w:r>
      <w:r w:rsidR="006C2AE3">
        <w:t xml:space="preserve"> a která bude ponížena o částku případně rozdělované úspory </w:t>
      </w:r>
      <w:r w:rsidR="006C2AE3">
        <w:lastRenderedPageBreak/>
        <w:t>provedené dle vyhodnocení k 31.12.2018,</w:t>
      </w:r>
      <w:r w:rsidR="00F13438">
        <w:t xml:space="preserve"> bude rozdělena mezi Smluvní strany tak, že Objednateli připadne 70% a Poskytovateli 30% z vygenerované úspory</w:t>
      </w:r>
      <w:r w:rsidR="00BE6A2D">
        <w:t>.</w:t>
      </w:r>
      <w:r w:rsidR="006C2AE3">
        <w:t xml:space="preserve"> </w:t>
      </w:r>
    </w:p>
    <w:p w:rsidR="00415025" w:rsidRDefault="00C32C19" w:rsidP="00BE6A2D">
      <w:pPr>
        <w:numPr>
          <w:ilvl w:val="1"/>
          <w:numId w:val="2"/>
        </w:numPr>
        <w:spacing w:after="120"/>
        <w:ind w:left="425" w:hanging="425"/>
        <w:jc w:val="both"/>
      </w:pPr>
      <w:r>
        <w:t xml:space="preserve">Částku připadající na Poskytovatele dle článku 2.2 </w:t>
      </w:r>
      <w:r w:rsidR="006831BC">
        <w:t xml:space="preserve">této </w:t>
      </w:r>
      <w:r w:rsidR="00415025">
        <w:t>Smlouvy se Objednatel</w:t>
      </w:r>
      <w:r>
        <w:t xml:space="preserve"> zavazuje </w:t>
      </w:r>
      <w:r w:rsidR="006831BC">
        <w:t xml:space="preserve">uhradit </w:t>
      </w:r>
      <w:r>
        <w:t>Poskytovateli na jeho účet uvedený v záhlaví této Smlouvy, a to nejpozději do 60</w:t>
      </w:r>
      <w:r w:rsidR="006831BC">
        <w:t xml:space="preserve"> kalendářních</w:t>
      </w:r>
      <w:r>
        <w:t xml:space="preserve"> dní od provedení </w:t>
      </w:r>
      <w:r w:rsidR="00E0394D">
        <w:t xml:space="preserve">průběžného </w:t>
      </w:r>
      <w:r>
        <w:t xml:space="preserve">vyhodnocení </w:t>
      </w:r>
      <w:r w:rsidR="006831BC">
        <w:t>dle článku 2.2 této Smlouvy</w:t>
      </w:r>
      <w:r w:rsidR="00E0394D">
        <w:t xml:space="preserve"> a dále </w:t>
      </w:r>
      <w:r w:rsidR="00BE6A2D">
        <w:t xml:space="preserve">pak </w:t>
      </w:r>
      <w:r w:rsidR="00E0394D">
        <w:t xml:space="preserve">zbývající částku nejpozději do 60 kalendářních dní od provedení finálního vyhodnocení </w:t>
      </w:r>
      <w:proofErr w:type="spellStart"/>
      <w:r w:rsidR="00E0394D">
        <w:t>vyhodnocení</w:t>
      </w:r>
      <w:proofErr w:type="spellEnd"/>
      <w:r w:rsidR="00E0394D">
        <w:t xml:space="preserve"> dle článku 2.2 této Smlouvy</w:t>
      </w:r>
      <w:r w:rsidR="00BE6A2D">
        <w:t>.</w:t>
      </w:r>
    </w:p>
    <w:p w:rsidR="00382F5C" w:rsidRPr="00CA254F" w:rsidRDefault="00382F5C" w:rsidP="00382F5C">
      <w:pPr>
        <w:spacing w:after="120"/>
        <w:ind w:left="425"/>
        <w:jc w:val="both"/>
      </w:pPr>
    </w:p>
    <w:p w:rsidR="006831BC" w:rsidRPr="00C422FE" w:rsidRDefault="006831BC" w:rsidP="006831BC">
      <w:pPr>
        <w:numPr>
          <w:ilvl w:val="0"/>
          <w:numId w:val="2"/>
        </w:numPr>
        <w:spacing w:after="240"/>
        <w:jc w:val="center"/>
        <w:rPr>
          <w:b/>
        </w:rPr>
      </w:pPr>
      <w:r w:rsidRPr="00C422FE">
        <w:rPr>
          <w:b/>
        </w:rPr>
        <w:t xml:space="preserve">Práva a povinnosti </w:t>
      </w:r>
      <w:r>
        <w:rPr>
          <w:b/>
        </w:rPr>
        <w:t>Smluvní</w:t>
      </w:r>
      <w:r w:rsidRPr="00C422FE">
        <w:rPr>
          <w:b/>
        </w:rPr>
        <w:t>ch stran</w:t>
      </w:r>
      <w:r>
        <w:rPr>
          <w:b/>
        </w:rPr>
        <w:t>, licenční dohoda</w:t>
      </w:r>
    </w:p>
    <w:p w:rsidR="006831BC" w:rsidRDefault="006831BC" w:rsidP="006831BC">
      <w:pPr>
        <w:numPr>
          <w:ilvl w:val="1"/>
          <w:numId w:val="2"/>
        </w:numPr>
        <w:spacing w:after="120"/>
        <w:ind w:left="425" w:hanging="425"/>
        <w:jc w:val="both"/>
      </w:pPr>
      <w:r w:rsidRPr="00D968E2">
        <w:t xml:space="preserve">Dílo provedené </w:t>
      </w:r>
      <w:r>
        <w:t>dle této S</w:t>
      </w:r>
      <w:r w:rsidRPr="00D968E2">
        <w:t xml:space="preserve">mlouvy podléhá režimu zák. č. 121/2000 Sb. autorský zákon v platném znění. Poskytovatel prohlašuje, že je </w:t>
      </w:r>
      <w:r>
        <w:t xml:space="preserve">vykonavatel majetkových autorských práv k </w:t>
      </w:r>
      <w:r w:rsidRPr="00D968E2">
        <w:t xml:space="preserve">Dílu. </w:t>
      </w:r>
      <w:r>
        <w:t>Poskytnutí licence k dalšímu užití díla Objednatelem, resp. dalším uživatelům Produktu/ů Poskytovatele v rámci podlicence, není součástí této smlouvy s výjimkou poskytnutí Díla k užívání vybraným uživatelům v Pilotním provozu.</w:t>
      </w:r>
    </w:p>
    <w:p w:rsidR="006831BC" w:rsidRPr="00D968E2" w:rsidRDefault="006831BC" w:rsidP="006831BC">
      <w:pPr>
        <w:numPr>
          <w:ilvl w:val="1"/>
          <w:numId w:val="2"/>
        </w:numPr>
        <w:spacing w:after="120"/>
        <w:ind w:left="425" w:hanging="425"/>
        <w:jc w:val="both"/>
      </w:pPr>
      <w:r>
        <w:t xml:space="preserve">Součástí této Smlouvy není postoupení jakýchkoliv majetkových práv k autorskému dílu. </w:t>
      </w:r>
    </w:p>
    <w:p w:rsidR="006831BC" w:rsidRDefault="006831BC" w:rsidP="006831BC">
      <w:pPr>
        <w:numPr>
          <w:ilvl w:val="1"/>
          <w:numId w:val="2"/>
        </w:numPr>
        <w:spacing w:after="120"/>
        <w:ind w:left="425" w:hanging="425"/>
        <w:jc w:val="both"/>
      </w:pPr>
      <w:r w:rsidRPr="00D968E2">
        <w:t>Poskytovatel prohlašuje, že na Díle neváznou práva třetích osob, která</w:t>
      </w:r>
      <w:r>
        <w:t xml:space="preserve"> brání případnému budoucímu</w:t>
      </w:r>
      <w:r w:rsidRPr="00D968E2">
        <w:t xml:space="preserve"> poskytnutí licence</w:t>
      </w:r>
      <w:r>
        <w:t>/podlicence</w:t>
      </w:r>
      <w:r w:rsidRPr="00D968E2">
        <w:t xml:space="preserve"> a je oprávněn poskytnou licenci</w:t>
      </w:r>
      <w:r>
        <w:t xml:space="preserve"> i podlicenci v rozsahu uvedeném v této S</w:t>
      </w:r>
      <w:r w:rsidRPr="00D968E2">
        <w:t>mlouvě.</w:t>
      </w:r>
    </w:p>
    <w:p w:rsidR="006831BC" w:rsidRDefault="006831BC" w:rsidP="006831BC">
      <w:pPr>
        <w:numPr>
          <w:ilvl w:val="1"/>
          <w:numId w:val="2"/>
        </w:numPr>
        <w:spacing w:after="120"/>
        <w:ind w:left="425" w:hanging="425"/>
        <w:jc w:val="both"/>
      </w:pPr>
      <w:r>
        <w:t>Poskytovatel se zavazuje instalovat Dílo u vybraných uživatelů v průběhu pilotního provozu a průběžně Objednatele informovat o funkcionalitách racionální preskripce.</w:t>
      </w:r>
    </w:p>
    <w:p w:rsidR="006831BC" w:rsidRDefault="006831BC" w:rsidP="006831BC">
      <w:pPr>
        <w:numPr>
          <w:ilvl w:val="1"/>
          <w:numId w:val="2"/>
        </w:numPr>
        <w:spacing w:after="120"/>
        <w:ind w:left="425" w:hanging="425"/>
        <w:jc w:val="both"/>
      </w:pPr>
      <w:r>
        <w:t>Objednatel se zavazuje bezodkladně dodat Poskytovateli všechny aktuální verze Pozitivního listu Svazu zdravotních pojišťoven České republiky platné v průběhu pilotního provozu, a to ve formátu popsaném v příloze č. 3 Smlouvy Pilotní smlouvy.</w:t>
      </w:r>
    </w:p>
    <w:p w:rsidR="006831BC" w:rsidRDefault="006831BC" w:rsidP="006831BC">
      <w:pPr>
        <w:numPr>
          <w:ilvl w:val="1"/>
          <w:numId w:val="2"/>
        </w:numPr>
        <w:spacing w:after="120"/>
        <w:ind w:left="425" w:hanging="425"/>
        <w:jc w:val="both"/>
      </w:pPr>
      <w:r>
        <w:t>Objednatel se zavazuje předat Poskytovateli grafické podklady dle potřeby Poskytovatele – zejména logotyp Objednatele.</w:t>
      </w:r>
    </w:p>
    <w:p w:rsidR="006831BC" w:rsidRPr="006831BC" w:rsidRDefault="006831BC" w:rsidP="006831BC">
      <w:pPr>
        <w:spacing w:after="120"/>
        <w:ind w:left="425"/>
        <w:jc w:val="both"/>
      </w:pPr>
    </w:p>
    <w:p w:rsidR="006831BC" w:rsidRPr="00C422FE" w:rsidRDefault="006831BC" w:rsidP="006831BC">
      <w:pPr>
        <w:numPr>
          <w:ilvl w:val="0"/>
          <w:numId w:val="2"/>
        </w:numPr>
        <w:spacing w:after="240"/>
        <w:jc w:val="center"/>
        <w:rPr>
          <w:b/>
        </w:rPr>
      </w:pPr>
      <w:r>
        <w:rPr>
          <w:b/>
        </w:rPr>
        <w:t>Odpovědnost</w:t>
      </w:r>
    </w:p>
    <w:p w:rsidR="006831BC" w:rsidRDefault="006831BC" w:rsidP="006831BC">
      <w:pPr>
        <w:numPr>
          <w:ilvl w:val="1"/>
          <w:numId w:val="2"/>
        </w:numPr>
        <w:spacing w:after="120"/>
        <w:ind w:left="425" w:hanging="425"/>
        <w:jc w:val="both"/>
      </w:pPr>
      <w:r>
        <w:t>Objednatel je odpovědný za to, že užívání Pozitivního listu Svazu zdravotních pojišťoven je v souladu s platnými zákony. Poskytovatel je odpovědný za poskytnutí všech informací o Díle, které jsou k plnění této odpovědnosti nezbytné.</w:t>
      </w:r>
    </w:p>
    <w:p w:rsidR="006831BC" w:rsidRDefault="006831BC" w:rsidP="006831BC">
      <w:pPr>
        <w:numPr>
          <w:ilvl w:val="1"/>
          <w:numId w:val="2"/>
        </w:numPr>
        <w:spacing w:after="120"/>
        <w:ind w:left="425" w:hanging="425"/>
        <w:jc w:val="both"/>
      </w:pPr>
      <w:r>
        <w:t>Poskytovatel i Objednatel jsou odpovědní za dodržení všech daňových a pojistných předpisů v souvislosti s touto Smlouvou.</w:t>
      </w:r>
    </w:p>
    <w:p w:rsidR="006831BC" w:rsidRDefault="006831BC" w:rsidP="006831BC">
      <w:pPr>
        <w:numPr>
          <w:ilvl w:val="1"/>
          <w:numId w:val="2"/>
        </w:numPr>
        <w:spacing w:after="120"/>
        <w:ind w:left="425" w:hanging="425"/>
        <w:jc w:val="both"/>
      </w:pPr>
      <w:r>
        <w:t xml:space="preserve">Žádná ze Smluvních stran není odpovědná druhé straně za plnění této Smlouvy v případě takových okolností, jako je válka, nepřátelské akce, revoluce, občanské nepokoje, stávky, epidemie, nehody, oheň, vítr, záplavy nebo obecně zásahů vyšší moci. Strana postižená takovou okolností toto bezodkladně ohlásí písemně druhé straně, pokud takové postižení znamená zpoždění nebo přerušení v plnění této Smlouvy. </w:t>
      </w:r>
    </w:p>
    <w:p w:rsidR="006831BC" w:rsidRDefault="006831BC" w:rsidP="006831BC">
      <w:pPr>
        <w:spacing w:after="120"/>
        <w:ind w:left="360"/>
        <w:jc w:val="both"/>
      </w:pPr>
    </w:p>
    <w:p w:rsidR="006831BC" w:rsidRPr="00C422FE" w:rsidRDefault="006831BC" w:rsidP="006831BC">
      <w:pPr>
        <w:numPr>
          <w:ilvl w:val="0"/>
          <w:numId w:val="2"/>
        </w:numPr>
        <w:spacing w:after="240"/>
        <w:jc w:val="center"/>
        <w:rPr>
          <w:b/>
        </w:rPr>
      </w:pPr>
      <w:r>
        <w:rPr>
          <w:b/>
        </w:rPr>
        <w:t>Doba trvání smlouvy, Ukončení smlouvy</w:t>
      </w:r>
    </w:p>
    <w:p w:rsidR="006831BC" w:rsidRDefault="006831BC" w:rsidP="006831BC">
      <w:pPr>
        <w:numPr>
          <w:ilvl w:val="1"/>
          <w:numId w:val="2"/>
        </w:numPr>
        <w:spacing w:after="120"/>
        <w:ind w:left="425" w:hanging="425"/>
      </w:pPr>
      <w:r>
        <w:t xml:space="preserve">Smlouva se uzavírá na dobu určitou, a to s datem ukončení ke dni </w:t>
      </w:r>
      <w:proofErr w:type="gramStart"/>
      <w:r>
        <w:t>31.12.2019</w:t>
      </w:r>
      <w:proofErr w:type="gramEnd"/>
      <w:r>
        <w:t>.</w:t>
      </w:r>
    </w:p>
    <w:p w:rsidR="006831BC" w:rsidRDefault="006831BC" w:rsidP="006831BC">
      <w:pPr>
        <w:numPr>
          <w:ilvl w:val="1"/>
          <w:numId w:val="2"/>
        </w:numPr>
        <w:spacing w:after="120"/>
        <w:ind w:left="425" w:hanging="425"/>
        <w:jc w:val="both"/>
      </w:pPr>
      <w:r>
        <w:t>Smlouva může být ukončena:</w:t>
      </w:r>
    </w:p>
    <w:p w:rsidR="006831BC" w:rsidRDefault="006831BC" w:rsidP="006831BC">
      <w:pPr>
        <w:numPr>
          <w:ilvl w:val="2"/>
          <w:numId w:val="2"/>
        </w:numPr>
        <w:spacing w:after="120"/>
        <w:ind w:left="567" w:hanging="283"/>
        <w:jc w:val="both"/>
      </w:pPr>
      <w:r>
        <w:lastRenderedPageBreak/>
        <w:t>písemnou dohodou obou stran,</w:t>
      </w:r>
    </w:p>
    <w:p w:rsidR="006831BC" w:rsidRDefault="006831BC" w:rsidP="006831BC">
      <w:pPr>
        <w:numPr>
          <w:ilvl w:val="2"/>
          <w:numId w:val="2"/>
        </w:numPr>
        <w:spacing w:after="120"/>
        <w:ind w:left="567" w:hanging="283"/>
        <w:jc w:val="both"/>
      </w:pPr>
      <w:r>
        <w:t>okamžitým odstoupením od smlouvy v případě:</w:t>
      </w:r>
    </w:p>
    <w:p w:rsidR="006831BC" w:rsidRDefault="006831BC" w:rsidP="006831BC">
      <w:pPr>
        <w:numPr>
          <w:ilvl w:val="2"/>
          <w:numId w:val="6"/>
        </w:numPr>
        <w:spacing w:after="120"/>
        <w:jc w:val="both"/>
      </w:pPr>
      <w:r>
        <w:t>porušení smluvních podmínek,</w:t>
      </w:r>
    </w:p>
    <w:p w:rsidR="006831BC" w:rsidRDefault="006831BC" w:rsidP="006831BC">
      <w:pPr>
        <w:numPr>
          <w:ilvl w:val="2"/>
          <w:numId w:val="6"/>
        </w:numPr>
        <w:spacing w:after="120"/>
        <w:jc w:val="both"/>
      </w:pPr>
      <w:r>
        <w:t>takových zákonných změn, které vylučují další pokračování Smlouvy,</w:t>
      </w:r>
    </w:p>
    <w:p w:rsidR="006831BC" w:rsidRDefault="006831BC" w:rsidP="006831BC">
      <w:pPr>
        <w:numPr>
          <w:ilvl w:val="2"/>
          <w:numId w:val="6"/>
        </w:numPr>
        <w:spacing w:after="120"/>
        <w:jc w:val="both"/>
      </w:pPr>
      <w:r>
        <w:t>změn ve vlastnické struktuře druhé strany,</w:t>
      </w:r>
    </w:p>
    <w:p w:rsidR="006831BC" w:rsidRDefault="006831BC" w:rsidP="006831BC">
      <w:pPr>
        <w:numPr>
          <w:ilvl w:val="2"/>
          <w:numId w:val="6"/>
        </w:numPr>
        <w:spacing w:after="120"/>
        <w:jc w:val="both"/>
      </w:pPr>
      <w:r>
        <w:t>nastalých okolností dle čl. 4.3 Smlouvy, pokud tyto okolnosti představují zpoždění v plnění Smlouvy delší než čtyři týdny.</w:t>
      </w:r>
    </w:p>
    <w:p w:rsidR="006831BC" w:rsidRDefault="006831BC" w:rsidP="006831BC">
      <w:pPr>
        <w:spacing w:after="120"/>
        <w:ind w:left="720"/>
        <w:jc w:val="both"/>
      </w:pPr>
      <w:r>
        <w:t>V tomto případě bude tato Smlouva ukončena ke dni doručení písemného vyrozumění o odstoupení od Smlouvy druhé Smluvní straně.</w:t>
      </w:r>
    </w:p>
    <w:p w:rsidR="00EE5A64" w:rsidRPr="00FE45DC" w:rsidRDefault="00FE45DC" w:rsidP="00EE5A64">
      <w:pPr>
        <w:spacing w:after="240"/>
        <w:ind w:left="360"/>
      </w:pPr>
      <w:r>
        <w:t xml:space="preserve">Tato smlouva se sjednává s účinností od </w:t>
      </w:r>
      <w:proofErr w:type="gramStart"/>
      <w:r>
        <w:t>1.8.2018</w:t>
      </w:r>
      <w:proofErr w:type="gramEnd"/>
      <w:r>
        <w:t>.</w:t>
      </w:r>
    </w:p>
    <w:tbl>
      <w:tblPr>
        <w:tblW w:w="0" w:type="auto"/>
        <w:tblInd w:w="-72" w:type="dxa"/>
        <w:tblLayout w:type="fixed"/>
        <w:tblCellMar>
          <w:left w:w="70" w:type="dxa"/>
          <w:right w:w="70" w:type="dxa"/>
        </w:tblCellMar>
        <w:tblLook w:val="0000"/>
      </w:tblPr>
      <w:tblGrid>
        <w:gridCol w:w="4636"/>
        <w:gridCol w:w="4636"/>
      </w:tblGrid>
      <w:tr w:rsidR="00CA254F" w:rsidRPr="000A375D" w:rsidTr="00A37970">
        <w:tc>
          <w:tcPr>
            <w:tcW w:w="4636" w:type="dxa"/>
          </w:tcPr>
          <w:p w:rsidR="00CA254F" w:rsidRPr="000A375D" w:rsidRDefault="00CA254F" w:rsidP="00A37970">
            <w:pPr>
              <w:pStyle w:val="SBSnormln"/>
              <w:snapToGrid w:val="0"/>
              <w:rPr>
                <w:rFonts w:ascii="Times New Roman" w:hAnsi="Times New Roman"/>
                <w:sz w:val="24"/>
              </w:rPr>
            </w:pPr>
            <w:r>
              <w:rPr>
                <w:rFonts w:ascii="Times New Roman" w:hAnsi="Times New Roman"/>
                <w:sz w:val="24"/>
              </w:rPr>
              <w:t>V Praze dne ………</w:t>
            </w:r>
            <w:proofErr w:type="gramStart"/>
            <w:r>
              <w:rPr>
                <w:rFonts w:ascii="Times New Roman" w:hAnsi="Times New Roman"/>
                <w:sz w:val="24"/>
              </w:rPr>
              <w:t>…...  2018</w:t>
            </w:r>
            <w:proofErr w:type="gramEnd"/>
          </w:p>
        </w:tc>
        <w:tc>
          <w:tcPr>
            <w:tcW w:w="4636" w:type="dxa"/>
          </w:tcPr>
          <w:p w:rsidR="00CA254F" w:rsidRPr="000A375D" w:rsidRDefault="00CA254F" w:rsidP="00A37970">
            <w:pPr>
              <w:pStyle w:val="SBSnormln"/>
              <w:snapToGrid w:val="0"/>
              <w:rPr>
                <w:rFonts w:ascii="Times New Roman" w:hAnsi="Times New Roman"/>
                <w:sz w:val="24"/>
              </w:rPr>
            </w:pPr>
            <w:r>
              <w:rPr>
                <w:rFonts w:ascii="Times New Roman" w:hAnsi="Times New Roman"/>
                <w:sz w:val="24"/>
              </w:rPr>
              <w:t>V Ostravě dne ………</w:t>
            </w:r>
            <w:proofErr w:type="gramStart"/>
            <w:r>
              <w:rPr>
                <w:rFonts w:ascii="Times New Roman" w:hAnsi="Times New Roman"/>
                <w:sz w:val="24"/>
              </w:rPr>
              <w:t>…... 2018</w:t>
            </w:r>
            <w:proofErr w:type="gramEnd"/>
          </w:p>
        </w:tc>
      </w:tr>
      <w:tr w:rsidR="00CA254F" w:rsidRPr="000A375D" w:rsidTr="00A37970">
        <w:trPr>
          <w:trHeight w:val="483"/>
        </w:trPr>
        <w:tc>
          <w:tcPr>
            <w:tcW w:w="4636" w:type="dxa"/>
          </w:tcPr>
          <w:p w:rsidR="00CA254F" w:rsidRDefault="00CA254F" w:rsidP="00A37970">
            <w:pPr>
              <w:pStyle w:val="SBSnormln"/>
              <w:snapToGrid w:val="0"/>
              <w:spacing w:before="0"/>
              <w:rPr>
                <w:rFonts w:ascii="Times New Roman" w:hAnsi="Times New Roman"/>
                <w:sz w:val="24"/>
              </w:rPr>
            </w:pPr>
          </w:p>
          <w:p w:rsidR="00CA254F" w:rsidRPr="000A375D" w:rsidRDefault="00CA254F" w:rsidP="00A37970">
            <w:pPr>
              <w:pStyle w:val="SBSnormln"/>
              <w:snapToGrid w:val="0"/>
              <w:spacing w:before="0"/>
              <w:rPr>
                <w:rFonts w:ascii="Times New Roman" w:hAnsi="Times New Roman"/>
                <w:sz w:val="24"/>
              </w:rPr>
            </w:pPr>
          </w:p>
          <w:p w:rsidR="00CA254F" w:rsidRPr="000A375D" w:rsidRDefault="00CA254F" w:rsidP="00A37970">
            <w:pPr>
              <w:pStyle w:val="SBSnormln"/>
              <w:spacing w:before="0"/>
              <w:rPr>
                <w:rFonts w:ascii="Times New Roman" w:hAnsi="Times New Roman"/>
                <w:sz w:val="24"/>
              </w:rPr>
            </w:pPr>
            <w:r w:rsidRPr="000A375D">
              <w:rPr>
                <w:rFonts w:ascii="Times New Roman" w:hAnsi="Times New Roman"/>
                <w:sz w:val="24"/>
              </w:rPr>
              <w:t xml:space="preserve">Za </w:t>
            </w:r>
            <w:r>
              <w:rPr>
                <w:rFonts w:ascii="Times New Roman" w:hAnsi="Times New Roman"/>
                <w:sz w:val="24"/>
              </w:rPr>
              <w:t>Poskytovatele</w:t>
            </w:r>
            <w:r w:rsidRPr="000A375D">
              <w:rPr>
                <w:rFonts w:ascii="Times New Roman" w:hAnsi="Times New Roman"/>
                <w:sz w:val="24"/>
              </w:rPr>
              <w:t>:</w:t>
            </w:r>
          </w:p>
        </w:tc>
        <w:tc>
          <w:tcPr>
            <w:tcW w:w="4636" w:type="dxa"/>
          </w:tcPr>
          <w:p w:rsidR="00CA254F" w:rsidRDefault="00CA254F" w:rsidP="00A37970">
            <w:pPr>
              <w:pStyle w:val="SBSnormln"/>
              <w:snapToGrid w:val="0"/>
              <w:spacing w:before="0"/>
              <w:rPr>
                <w:rFonts w:ascii="Times New Roman" w:hAnsi="Times New Roman"/>
                <w:sz w:val="24"/>
                <w:lang w:val="de-DE"/>
              </w:rPr>
            </w:pPr>
          </w:p>
          <w:p w:rsidR="00CA254F" w:rsidRPr="000A375D" w:rsidRDefault="00CA254F" w:rsidP="00A37970">
            <w:pPr>
              <w:pStyle w:val="SBSnormln"/>
              <w:snapToGrid w:val="0"/>
              <w:spacing w:before="0"/>
              <w:rPr>
                <w:rFonts w:ascii="Times New Roman" w:hAnsi="Times New Roman"/>
                <w:sz w:val="24"/>
                <w:lang w:val="de-DE"/>
              </w:rPr>
            </w:pPr>
          </w:p>
          <w:p w:rsidR="00CA254F" w:rsidRPr="000A375D" w:rsidRDefault="00CA254F" w:rsidP="00A37970">
            <w:pPr>
              <w:pStyle w:val="SBSnormln"/>
              <w:spacing w:before="0"/>
              <w:rPr>
                <w:rFonts w:ascii="Times New Roman" w:hAnsi="Times New Roman"/>
                <w:sz w:val="24"/>
              </w:rPr>
            </w:pPr>
            <w:r w:rsidRPr="000A375D">
              <w:rPr>
                <w:rFonts w:ascii="Times New Roman" w:hAnsi="Times New Roman"/>
                <w:sz w:val="24"/>
              </w:rPr>
              <w:t xml:space="preserve">Za </w:t>
            </w:r>
            <w:r>
              <w:rPr>
                <w:rFonts w:ascii="Times New Roman" w:hAnsi="Times New Roman"/>
                <w:sz w:val="24"/>
              </w:rPr>
              <w:t>Objednatel</w:t>
            </w:r>
            <w:r w:rsidRPr="000A375D">
              <w:rPr>
                <w:rFonts w:ascii="Times New Roman" w:hAnsi="Times New Roman"/>
                <w:sz w:val="24"/>
              </w:rPr>
              <w:t>e:</w:t>
            </w:r>
          </w:p>
        </w:tc>
      </w:tr>
      <w:tr w:rsidR="00CA254F" w:rsidRPr="000A375D" w:rsidTr="00A37970">
        <w:trPr>
          <w:trHeight w:val="668"/>
        </w:trPr>
        <w:tc>
          <w:tcPr>
            <w:tcW w:w="4636" w:type="dxa"/>
          </w:tcPr>
          <w:p w:rsidR="00CA254F" w:rsidRDefault="00CA254F" w:rsidP="00990BD7">
            <w:pPr>
              <w:pStyle w:val="SBSnormln"/>
              <w:spacing w:before="0"/>
              <w:rPr>
                <w:rFonts w:ascii="Times New Roman" w:hAnsi="Times New Roman"/>
                <w:sz w:val="24"/>
                <w:szCs w:val="18"/>
              </w:rPr>
            </w:pPr>
          </w:p>
          <w:p w:rsidR="00CA254F" w:rsidRDefault="00CA254F" w:rsidP="00A37970">
            <w:pPr>
              <w:pStyle w:val="SBSnormln"/>
              <w:spacing w:before="0"/>
              <w:jc w:val="center"/>
              <w:rPr>
                <w:rFonts w:ascii="Times New Roman" w:hAnsi="Times New Roman"/>
                <w:sz w:val="24"/>
                <w:szCs w:val="18"/>
              </w:rPr>
            </w:pPr>
          </w:p>
          <w:p w:rsidR="00CA254F" w:rsidRPr="000A375D" w:rsidRDefault="00CA254F" w:rsidP="00990BD7">
            <w:pPr>
              <w:pStyle w:val="SBSnormln"/>
              <w:spacing w:before="0"/>
              <w:rPr>
                <w:rFonts w:ascii="Times New Roman" w:hAnsi="Times New Roman"/>
                <w:sz w:val="24"/>
                <w:szCs w:val="18"/>
              </w:rPr>
            </w:pPr>
          </w:p>
          <w:p w:rsidR="00CA254F" w:rsidRPr="000A375D" w:rsidRDefault="00CA254F" w:rsidP="00A37970">
            <w:pPr>
              <w:pStyle w:val="SBSnormln"/>
              <w:spacing w:before="0"/>
              <w:jc w:val="center"/>
              <w:rPr>
                <w:rFonts w:ascii="Times New Roman" w:hAnsi="Times New Roman"/>
                <w:sz w:val="24"/>
                <w:szCs w:val="18"/>
              </w:rPr>
            </w:pPr>
          </w:p>
          <w:p w:rsidR="00CA254F" w:rsidRPr="000A375D" w:rsidRDefault="00CA254F" w:rsidP="00A37970">
            <w:pPr>
              <w:pStyle w:val="SBSnormln"/>
              <w:spacing w:before="0"/>
              <w:jc w:val="center"/>
              <w:rPr>
                <w:rFonts w:ascii="Times New Roman" w:hAnsi="Times New Roman"/>
                <w:sz w:val="24"/>
              </w:rPr>
            </w:pPr>
            <w:r>
              <w:rPr>
                <w:rFonts w:ascii="Times New Roman" w:hAnsi="Times New Roman"/>
                <w:sz w:val="24"/>
              </w:rPr>
              <w:t>……………………………..…………………</w:t>
            </w:r>
          </w:p>
        </w:tc>
        <w:tc>
          <w:tcPr>
            <w:tcW w:w="4636" w:type="dxa"/>
          </w:tcPr>
          <w:p w:rsidR="00CA254F" w:rsidRDefault="00CA254F" w:rsidP="00990BD7">
            <w:pPr>
              <w:pStyle w:val="SBSnormln"/>
              <w:spacing w:before="0"/>
              <w:rPr>
                <w:rFonts w:ascii="Times New Roman" w:hAnsi="Times New Roman"/>
                <w:sz w:val="24"/>
                <w:szCs w:val="18"/>
              </w:rPr>
            </w:pPr>
          </w:p>
          <w:p w:rsidR="00CA254F" w:rsidRDefault="00CA254F" w:rsidP="00990BD7">
            <w:pPr>
              <w:pStyle w:val="SBSnormln"/>
              <w:spacing w:before="0"/>
              <w:rPr>
                <w:rFonts w:ascii="Times New Roman" w:hAnsi="Times New Roman"/>
                <w:sz w:val="24"/>
                <w:szCs w:val="18"/>
              </w:rPr>
            </w:pPr>
          </w:p>
          <w:p w:rsidR="00CA254F" w:rsidRPr="000A375D" w:rsidRDefault="00CA254F" w:rsidP="00A37970">
            <w:pPr>
              <w:pStyle w:val="SBSnormln"/>
              <w:spacing w:before="0"/>
              <w:jc w:val="center"/>
              <w:rPr>
                <w:rFonts w:ascii="Times New Roman" w:hAnsi="Times New Roman"/>
                <w:sz w:val="24"/>
                <w:szCs w:val="18"/>
              </w:rPr>
            </w:pPr>
          </w:p>
          <w:p w:rsidR="00CA254F" w:rsidRPr="000A375D" w:rsidRDefault="00CA254F" w:rsidP="00A37970">
            <w:pPr>
              <w:pStyle w:val="SBSnormln"/>
              <w:spacing w:before="0"/>
              <w:jc w:val="center"/>
              <w:rPr>
                <w:rFonts w:ascii="Times New Roman" w:hAnsi="Times New Roman"/>
                <w:sz w:val="24"/>
                <w:szCs w:val="18"/>
              </w:rPr>
            </w:pPr>
          </w:p>
          <w:p w:rsidR="00CA254F" w:rsidRPr="000A375D" w:rsidRDefault="00CA254F" w:rsidP="00A37970">
            <w:pPr>
              <w:pStyle w:val="SBSnormln"/>
              <w:spacing w:before="0"/>
              <w:jc w:val="center"/>
              <w:rPr>
                <w:rFonts w:ascii="Times New Roman" w:hAnsi="Times New Roman"/>
                <w:sz w:val="24"/>
              </w:rPr>
            </w:pPr>
            <w:r>
              <w:rPr>
                <w:rFonts w:ascii="Times New Roman" w:hAnsi="Times New Roman"/>
                <w:sz w:val="24"/>
              </w:rPr>
              <w:t>……………………………..…………………</w:t>
            </w:r>
          </w:p>
        </w:tc>
      </w:tr>
      <w:tr w:rsidR="00CA254F" w:rsidRPr="000A375D" w:rsidTr="00A37970">
        <w:tc>
          <w:tcPr>
            <w:tcW w:w="4636" w:type="dxa"/>
          </w:tcPr>
          <w:p w:rsidR="00CA254F" w:rsidRDefault="00CA254F" w:rsidP="00A37970">
            <w:pPr>
              <w:pStyle w:val="SBSnormln"/>
              <w:snapToGrid w:val="0"/>
              <w:spacing w:before="0"/>
              <w:jc w:val="center"/>
              <w:rPr>
                <w:rFonts w:ascii="Times New Roman" w:hAnsi="Times New Roman"/>
                <w:sz w:val="24"/>
              </w:rPr>
            </w:pPr>
            <w:r>
              <w:rPr>
                <w:rFonts w:ascii="Times New Roman" w:hAnsi="Times New Roman"/>
                <w:sz w:val="24"/>
              </w:rPr>
              <w:t>Bc. Vladimír Přikryl</w:t>
            </w:r>
          </w:p>
          <w:p w:rsidR="00CA254F" w:rsidRPr="000A375D" w:rsidRDefault="00CA254F" w:rsidP="00A37970">
            <w:pPr>
              <w:pStyle w:val="SBSnormln"/>
              <w:snapToGrid w:val="0"/>
              <w:spacing w:before="0" w:after="120"/>
              <w:jc w:val="center"/>
              <w:rPr>
                <w:rFonts w:ascii="Times New Roman" w:hAnsi="Times New Roman"/>
                <w:sz w:val="24"/>
              </w:rPr>
            </w:pPr>
            <w:r>
              <w:rPr>
                <w:rFonts w:ascii="Times New Roman" w:hAnsi="Times New Roman"/>
                <w:sz w:val="24"/>
              </w:rPr>
              <w:t>j</w:t>
            </w:r>
            <w:r w:rsidRPr="000A375D">
              <w:rPr>
                <w:rFonts w:ascii="Times New Roman" w:hAnsi="Times New Roman"/>
                <w:sz w:val="24"/>
              </w:rPr>
              <w:t>ednatel</w:t>
            </w:r>
          </w:p>
        </w:tc>
        <w:tc>
          <w:tcPr>
            <w:tcW w:w="4636" w:type="dxa"/>
          </w:tcPr>
          <w:p w:rsidR="00CA254F" w:rsidRDefault="00CA254F" w:rsidP="00A37970">
            <w:pPr>
              <w:pStyle w:val="SBSnormln"/>
              <w:snapToGrid w:val="0"/>
              <w:spacing w:before="0" w:after="120"/>
              <w:jc w:val="center"/>
              <w:rPr>
                <w:rFonts w:ascii="Times New Roman" w:hAnsi="Times New Roman"/>
                <w:sz w:val="24"/>
              </w:rPr>
            </w:pPr>
            <w:r>
              <w:rPr>
                <w:rFonts w:ascii="Times New Roman" w:hAnsi="Times New Roman"/>
                <w:sz w:val="24"/>
              </w:rPr>
              <w:t>Ing. Antonín Klimša, MBA</w:t>
            </w:r>
          </w:p>
          <w:p w:rsidR="00CA254F" w:rsidRDefault="006831BC" w:rsidP="00A37970">
            <w:pPr>
              <w:pStyle w:val="SBSnormln"/>
              <w:snapToGrid w:val="0"/>
              <w:spacing w:before="0" w:after="120"/>
              <w:jc w:val="center"/>
              <w:rPr>
                <w:rFonts w:ascii="Times New Roman" w:hAnsi="Times New Roman"/>
                <w:sz w:val="24"/>
              </w:rPr>
            </w:pPr>
            <w:r>
              <w:rPr>
                <w:rFonts w:ascii="Times New Roman" w:hAnsi="Times New Roman"/>
                <w:sz w:val="24"/>
              </w:rPr>
              <w:t xml:space="preserve">výkonný </w:t>
            </w:r>
            <w:r w:rsidR="00CA254F">
              <w:rPr>
                <w:rFonts w:ascii="Times New Roman" w:hAnsi="Times New Roman"/>
                <w:sz w:val="24"/>
              </w:rPr>
              <w:t>ředitel</w:t>
            </w:r>
          </w:p>
          <w:p w:rsidR="00CA254F" w:rsidRPr="000A375D" w:rsidRDefault="00CA254F" w:rsidP="00A37970">
            <w:pPr>
              <w:pStyle w:val="SBSnormln"/>
              <w:snapToGrid w:val="0"/>
              <w:spacing w:before="0" w:after="120"/>
              <w:jc w:val="center"/>
              <w:rPr>
                <w:rFonts w:ascii="Times New Roman" w:hAnsi="Times New Roman"/>
                <w:sz w:val="24"/>
              </w:rPr>
            </w:pPr>
            <w:r>
              <w:rPr>
                <w:rFonts w:ascii="Times New Roman" w:hAnsi="Times New Roman"/>
                <w:sz w:val="24"/>
              </w:rPr>
              <w:t>Revírní bratrská pokladna, zdravotní pojišťovna</w:t>
            </w:r>
          </w:p>
        </w:tc>
      </w:tr>
      <w:tr w:rsidR="00CA254F" w:rsidRPr="000A375D" w:rsidTr="00A37970">
        <w:tc>
          <w:tcPr>
            <w:tcW w:w="4636" w:type="dxa"/>
          </w:tcPr>
          <w:p w:rsidR="00CA254F" w:rsidRPr="000A375D" w:rsidRDefault="00CA254F" w:rsidP="00A37970">
            <w:pPr>
              <w:pStyle w:val="SBSnormln"/>
              <w:snapToGrid w:val="0"/>
              <w:spacing w:before="0"/>
              <w:rPr>
                <w:rFonts w:ascii="Times New Roman" w:hAnsi="Times New Roman"/>
                <w:sz w:val="24"/>
              </w:rPr>
            </w:pPr>
          </w:p>
        </w:tc>
        <w:tc>
          <w:tcPr>
            <w:tcW w:w="4636" w:type="dxa"/>
          </w:tcPr>
          <w:p w:rsidR="00CA254F" w:rsidRPr="000A375D" w:rsidRDefault="00CA254F" w:rsidP="00A37970">
            <w:pPr>
              <w:pStyle w:val="SBSnormln"/>
              <w:snapToGrid w:val="0"/>
              <w:spacing w:before="0"/>
              <w:jc w:val="center"/>
              <w:rPr>
                <w:rFonts w:ascii="Times New Roman" w:hAnsi="Times New Roman"/>
                <w:sz w:val="24"/>
              </w:rPr>
            </w:pPr>
          </w:p>
        </w:tc>
      </w:tr>
      <w:tr w:rsidR="00CA254F" w:rsidRPr="000A375D" w:rsidTr="00A37970">
        <w:trPr>
          <w:gridAfter w:val="1"/>
          <w:wAfter w:w="4636" w:type="dxa"/>
          <w:trHeight w:val="668"/>
        </w:trPr>
        <w:tc>
          <w:tcPr>
            <w:tcW w:w="4636" w:type="dxa"/>
          </w:tcPr>
          <w:p w:rsidR="00CA254F" w:rsidRPr="000A375D" w:rsidRDefault="00CA254F" w:rsidP="00990BD7">
            <w:pPr>
              <w:pStyle w:val="SBSnormln"/>
              <w:spacing w:before="0"/>
              <w:rPr>
                <w:rFonts w:ascii="Times New Roman" w:hAnsi="Times New Roman"/>
                <w:sz w:val="24"/>
                <w:szCs w:val="18"/>
              </w:rPr>
            </w:pPr>
          </w:p>
          <w:p w:rsidR="00CA254F" w:rsidRPr="000A375D" w:rsidRDefault="00CA254F" w:rsidP="00A37970">
            <w:pPr>
              <w:pStyle w:val="SBSnormln"/>
              <w:spacing w:before="0"/>
              <w:jc w:val="center"/>
              <w:rPr>
                <w:rFonts w:ascii="Times New Roman" w:hAnsi="Times New Roman"/>
                <w:sz w:val="24"/>
                <w:szCs w:val="18"/>
              </w:rPr>
            </w:pPr>
          </w:p>
          <w:p w:rsidR="00CA254F" w:rsidRPr="000A375D" w:rsidRDefault="00CA254F" w:rsidP="00A37970">
            <w:pPr>
              <w:pStyle w:val="SBSnormln"/>
              <w:spacing w:before="0"/>
              <w:jc w:val="center"/>
              <w:rPr>
                <w:rFonts w:ascii="Times New Roman" w:hAnsi="Times New Roman"/>
                <w:sz w:val="24"/>
              </w:rPr>
            </w:pPr>
            <w:r>
              <w:rPr>
                <w:rFonts w:ascii="Times New Roman" w:hAnsi="Times New Roman"/>
                <w:sz w:val="24"/>
              </w:rPr>
              <w:t>……………………………..…………………</w:t>
            </w:r>
          </w:p>
        </w:tc>
      </w:tr>
      <w:tr w:rsidR="00CA254F" w:rsidRPr="000A375D" w:rsidTr="00A37970">
        <w:trPr>
          <w:gridAfter w:val="1"/>
          <w:wAfter w:w="4636" w:type="dxa"/>
        </w:trPr>
        <w:tc>
          <w:tcPr>
            <w:tcW w:w="4636" w:type="dxa"/>
          </w:tcPr>
          <w:p w:rsidR="00CA254F" w:rsidRDefault="00CA254F" w:rsidP="00A37970">
            <w:pPr>
              <w:pStyle w:val="SBSnormln"/>
              <w:snapToGrid w:val="0"/>
              <w:spacing w:before="0"/>
              <w:jc w:val="center"/>
              <w:rPr>
                <w:rFonts w:ascii="Times New Roman" w:hAnsi="Times New Roman"/>
                <w:sz w:val="24"/>
              </w:rPr>
            </w:pPr>
            <w:r>
              <w:rPr>
                <w:rFonts w:ascii="Times New Roman" w:hAnsi="Times New Roman"/>
                <w:sz w:val="24"/>
              </w:rPr>
              <w:t xml:space="preserve">Dan Navrátil, </w:t>
            </w:r>
            <w:proofErr w:type="spellStart"/>
            <w:r>
              <w:rPr>
                <w:rFonts w:ascii="Times New Roman" w:hAnsi="Times New Roman"/>
                <w:sz w:val="24"/>
              </w:rPr>
              <w:t>MSc</w:t>
            </w:r>
            <w:proofErr w:type="spellEnd"/>
            <w:r>
              <w:rPr>
                <w:rFonts w:ascii="Times New Roman" w:hAnsi="Times New Roman"/>
                <w:sz w:val="24"/>
              </w:rPr>
              <w:t>, MBA</w:t>
            </w:r>
          </w:p>
          <w:p w:rsidR="00CA254F" w:rsidRPr="000A375D" w:rsidRDefault="00CA254F" w:rsidP="00A37970">
            <w:pPr>
              <w:pStyle w:val="SBSnormln"/>
              <w:snapToGrid w:val="0"/>
              <w:spacing w:before="0" w:after="120"/>
              <w:jc w:val="center"/>
              <w:rPr>
                <w:rFonts w:ascii="Times New Roman" w:hAnsi="Times New Roman"/>
                <w:sz w:val="24"/>
              </w:rPr>
            </w:pPr>
            <w:r>
              <w:rPr>
                <w:rFonts w:ascii="Times New Roman" w:hAnsi="Times New Roman"/>
                <w:sz w:val="24"/>
              </w:rPr>
              <w:t>j</w:t>
            </w:r>
            <w:r w:rsidRPr="000A375D">
              <w:rPr>
                <w:rFonts w:ascii="Times New Roman" w:hAnsi="Times New Roman"/>
                <w:sz w:val="24"/>
              </w:rPr>
              <w:t>ednatel</w:t>
            </w:r>
          </w:p>
        </w:tc>
      </w:tr>
      <w:tr w:rsidR="00CA254F" w:rsidRPr="000A375D" w:rsidTr="00A37970">
        <w:trPr>
          <w:gridAfter w:val="1"/>
          <w:wAfter w:w="4636" w:type="dxa"/>
        </w:trPr>
        <w:tc>
          <w:tcPr>
            <w:tcW w:w="4636" w:type="dxa"/>
          </w:tcPr>
          <w:p w:rsidR="00CA254F" w:rsidRPr="000A375D" w:rsidRDefault="00CA254F" w:rsidP="00A37970">
            <w:pPr>
              <w:pStyle w:val="SBSnormln"/>
              <w:snapToGrid w:val="0"/>
              <w:spacing w:before="0"/>
              <w:rPr>
                <w:rFonts w:ascii="Times New Roman" w:hAnsi="Times New Roman"/>
                <w:sz w:val="24"/>
              </w:rPr>
            </w:pPr>
            <w:proofErr w:type="spellStart"/>
            <w:r w:rsidRPr="000A375D">
              <w:rPr>
                <w:rFonts w:ascii="Times New Roman" w:hAnsi="Times New Roman"/>
                <w:sz w:val="24"/>
              </w:rPr>
              <w:t>CompuGroupMedical</w:t>
            </w:r>
            <w:proofErr w:type="spellEnd"/>
            <w:r w:rsidRPr="000A375D">
              <w:rPr>
                <w:rFonts w:ascii="Times New Roman" w:hAnsi="Times New Roman"/>
                <w:sz w:val="24"/>
              </w:rPr>
              <w:t xml:space="preserve"> Česká republika s.r.o</w:t>
            </w:r>
            <w:r>
              <w:rPr>
                <w:rFonts w:ascii="Times New Roman" w:hAnsi="Times New Roman"/>
                <w:sz w:val="24"/>
              </w:rPr>
              <w:t>.</w:t>
            </w:r>
          </w:p>
        </w:tc>
      </w:tr>
    </w:tbl>
    <w:p w:rsidR="00406EB1" w:rsidRPr="00406EB1" w:rsidRDefault="00406EB1" w:rsidP="00406EB1">
      <w:pPr>
        <w:tabs>
          <w:tab w:val="left" w:pos="2190"/>
        </w:tabs>
      </w:pPr>
    </w:p>
    <w:sectPr w:rsidR="00406EB1" w:rsidRPr="00406EB1" w:rsidSect="00A86685">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E0E" w:rsidRDefault="005A5E0E" w:rsidP="00406EB1">
      <w:r>
        <w:separator/>
      </w:r>
    </w:p>
  </w:endnote>
  <w:endnote w:type="continuationSeparator" w:id="0">
    <w:p w:rsidR="005A5E0E" w:rsidRDefault="005A5E0E" w:rsidP="00406E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E0E" w:rsidRDefault="005A5E0E" w:rsidP="00406EB1">
      <w:r>
        <w:separator/>
      </w:r>
    </w:p>
  </w:footnote>
  <w:footnote w:type="continuationSeparator" w:id="0">
    <w:p w:rsidR="005A5E0E" w:rsidRDefault="005A5E0E" w:rsidP="00406E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EB1" w:rsidRPr="0003607D" w:rsidRDefault="00406EB1" w:rsidP="00406EB1">
    <w:pPr>
      <w:pStyle w:val="Zhlav"/>
      <w:tabs>
        <w:tab w:val="clear" w:pos="4536"/>
      </w:tabs>
      <w:jc w:val="right"/>
    </w:pPr>
  </w:p>
  <w:p w:rsidR="00406EB1" w:rsidRDefault="00406EB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35DAC"/>
    <w:multiLevelType w:val="hybridMultilevel"/>
    <w:tmpl w:val="2BBAC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DCD607B"/>
    <w:multiLevelType w:val="hybridMultilevel"/>
    <w:tmpl w:val="9E140800"/>
    <w:lvl w:ilvl="0" w:tplc="10640E66">
      <w:start w:val="1"/>
      <w:numFmt w:val="decimal"/>
      <w:lvlText w:val="%1."/>
      <w:lvlJc w:val="left"/>
      <w:pPr>
        <w:ind w:left="4052" w:hanging="360"/>
      </w:pPr>
      <w:rPr>
        <w:rFonts w:hint="default"/>
      </w:rPr>
    </w:lvl>
    <w:lvl w:ilvl="1" w:tplc="04050019">
      <w:start w:val="1"/>
      <w:numFmt w:val="lowerLetter"/>
      <w:lvlText w:val="%2."/>
      <w:lvlJc w:val="left"/>
      <w:pPr>
        <w:ind w:left="4772" w:hanging="360"/>
      </w:pPr>
    </w:lvl>
    <w:lvl w:ilvl="2" w:tplc="1BB431A2">
      <w:start w:val="1"/>
      <w:numFmt w:val="decimal"/>
      <w:lvlText w:val="%3)"/>
      <w:lvlJc w:val="left"/>
      <w:pPr>
        <w:ind w:left="5672" w:hanging="360"/>
      </w:pPr>
      <w:rPr>
        <w:rFonts w:hint="default"/>
      </w:rPr>
    </w:lvl>
    <w:lvl w:ilvl="3" w:tplc="0405000F" w:tentative="1">
      <w:start w:val="1"/>
      <w:numFmt w:val="decimal"/>
      <w:lvlText w:val="%4."/>
      <w:lvlJc w:val="left"/>
      <w:pPr>
        <w:ind w:left="6212" w:hanging="360"/>
      </w:pPr>
    </w:lvl>
    <w:lvl w:ilvl="4" w:tplc="04050019" w:tentative="1">
      <w:start w:val="1"/>
      <w:numFmt w:val="lowerLetter"/>
      <w:lvlText w:val="%5."/>
      <w:lvlJc w:val="left"/>
      <w:pPr>
        <w:ind w:left="6932" w:hanging="360"/>
      </w:pPr>
    </w:lvl>
    <w:lvl w:ilvl="5" w:tplc="0405001B" w:tentative="1">
      <w:start w:val="1"/>
      <w:numFmt w:val="lowerRoman"/>
      <w:lvlText w:val="%6."/>
      <w:lvlJc w:val="right"/>
      <w:pPr>
        <w:ind w:left="7652" w:hanging="180"/>
      </w:pPr>
    </w:lvl>
    <w:lvl w:ilvl="6" w:tplc="0405000F" w:tentative="1">
      <w:start w:val="1"/>
      <w:numFmt w:val="decimal"/>
      <w:lvlText w:val="%7."/>
      <w:lvlJc w:val="left"/>
      <w:pPr>
        <w:ind w:left="8372" w:hanging="360"/>
      </w:pPr>
    </w:lvl>
    <w:lvl w:ilvl="7" w:tplc="04050019" w:tentative="1">
      <w:start w:val="1"/>
      <w:numFmt w:val="lowerLetter"/>
      <w:lvlText w:val="%8."/>
      <w:lvlJc w:val="left"/>
      <w:pPr>
        <w:ind w:left="9092" w:hanging="360"/>
      </w:pPr>
    </w:lvl>
    <w:lvl w:ilvl="8" w:tplc="0405001B" w:tentative="1">
      <w:start w:val="1"/>
      <w:numFmt w:val="lowerRoman"/>
      <w:lvlText w:val="%9."/>
      <w:lvlJc w:val="right"/>
      <w:pPr>
        <w:ind w:left="9812" w:hanging="180"/>
      </w:pPr>
    </w:lvl>
  </w:abstractNum>
  <w:abstractNum w:abstractNumId="2">
    <w:nsid w:val="3EBD0D5A"/>
    <w:multiLevelType w:val="multilevel"/>
    <w:tmpl w:val="4BEE41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10" w:firstLine="2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85914AD"/>
    <w:multiLevelType w:val="multilevel"/>
    <w:tmpl w:val="ED3CBEC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8BC7A03"/>
    <w:multiLevelType w:val="multilevel"/>
    <w:tmpl w:val="4BEE41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10" w:firstLine="2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7C62B1D"/>
    <w:multiLevelType w:val="multilevel"/>
    <w:tmpl w:val="4BEE41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10" w:firstLine="2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406EB1"/>
    <w:rsid w:val="00027EFA"/>
    <w:rsid w:val="00046DBA"/>
    <w:rsid w:val="0011538D"/>
    <w:rsid w:val="0014512D"/>
    <w:rsid w:val="001E1987"/>
    <w:rsid w:val="0020389E"/>
    <w:rsid w:val="0027021C"/>
    <w:rsid w:val="002864CB"/>
    <w:rsid w:val="00332EB4"/>
    <w:rsid w:val="00336587"/>
    <w:rsid w:val="00367C78"/>
    <w:rsid w:val="0037132A"/>
    <w:rsid w:val="00382F5C"/>
    <w:rsid w:val="003A5ABE"/>
    <w:rsid w:val="00402312"/>
    <w:rsid w:val="00406EB1"/>
    <w:rsid w:val="00415025"/>
    <w:rsid w:val="00453202"/>
    <w:rsid w:val="004C01ED"/>
    <w:rsid w:val="004D7374"/>
    <w:rsid w:val="00554A35"/>
    <w:rsid w:val="00561315"/>
    <w:rsid w:val="00591C52"/>
    <w:rsid w:val="005A5E0E"/>
    <w:rsid w:val="005E5A93"/>
    <w:rsid w:val="005F565F"/>
    <w:rsid w:val="00637A9B"/>
    <w:rsid w:val="0064484D"/>
    <w:rsid w:val="006831BC"/>
    <w:rsid w:val="006B555C"/>
    <w:rsid w:val="006C2AE3"/>
    <w:rsid w:val="00726293"/>
    <w:rsid w:val="0078750A"/>
    <w:rsid w:val="007A133C"/>
    <w:rsid w:val="007C2102"/>
    <w:rsid w:val="007E274C"/>
    <w:rsid w:val="00844864"/>
    <w:rsid w:val="008475CC"/>
    <w:rsid w:val="008724A7"/>
    <w:rsid w:val="00990BD7"/>
    <w:rsid w:val="009922BC"/>
    <w:rsid w:val="00A277A4"/>
    <w:rsid w:val="00A86685"/>
    <w:rsid w:val="00B127B1"/>
    <w:rsid w:val="00B72262"/>
    <w:rsid w:val="00B937CE"/>
    <w:rsid w:val="00BE6A2D"/>
    <w:rsid w:val="00C32C19"/>
    <w:rsid w:val="00C41523"/>
    <w:rsid w:val="00C57C48"/>
    <w:rsid w:val="00CA254F"/>
    <w:rsid w:val="00D769DC"/>
    <w:rsid w:val="00D77D90"/>
    <w:rsid w:val="00E0394D"/>
    <w:rsid w:val="00EE5A64"/>
    <w:rsid w:val="00F13438"/>
    <w:rsid w:val="00F13C1F"/>
    <w:rsid w:val="00F2598C"/>
    <w:rsid w:val="00FE45DC"/>
    <w:rsid w:val="00FF216C"/>
    <w:rsid w:val="00FF2A9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2C1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406EB1"/>
    <w:pPr>
      <w:keepNext/>
      <w:outlineLvl w:val="2"/>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06EB1"/>
    <w:rPr>
      <w:rFonts w:ascii="Arial" w:eastAsia="Times New Roman" w:hAnsi="Arial" w:cs="Times New Roman"/>
      <w:sz w:val="24"/>
      <w:szCs w:val="20"/>
      <w:lang w:eastAsia="cs-CZ"/>
    </w:rPr>
  </w:style>
  <w:style w:type="paragraph" w:styleId="Zhlav">
    <w:name w:val="header"/>
    <w:basedOn w:val="Normln"/>
    <w:link w:val="ZhlavChar"/>
    <w:unhideWhenUsed/>
    <w:rsid w:val="00406EB1"/>
    <w:pPr>
      <w:tabs>
        <w:tab w:val="center" w:pos="4536"/>
        <w:tab w:val="right" w:pos="9072"/>
      </w:tabs>
    </w:pPr>
  </w:style>
  <w:style w:type="character" w:customStyle="1" w:styleId="ZhlavChar">
    <w:name w:val="Záhlaví Char"/>
    <w:basedOn w:val="Standardnpsmoodstavce"/>
    <w:link w:val="Zhlav"/>
    <w:rsid w:val="00406EB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06EB1"/>
    <w:pPr>
      <w:tabs>
        <w:tab w:val="center" w:pos="4536"/>
        <w:tab w:val="right" w:pos="9072"/>
      </w:tabs>
    </w:pPr>
  </w:style>
  <w:style w:type="character" w:customStyle="1" w:styleId="ZpatChar">
    <w:name w:val="Zápatí Char"/>
    <w:basedOn w:val="Standardnpsmoodstavce"/>
    <w:link w:val="Zpat"/>
    <w:uiPriority w:val="99"/>
    <w:rsid w:val="00406EB1"/>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A254F"/>
    <w:pPr>
      <w:ind w:left="720"/>
      <w:contextualSpacing/>
    </w:pPr>
  </w:style>
  <w:style w:type="paragraph" w:customStyle="1" w:styleId="SBSnormln">
    <w:name w:val="SBS normální"/>
    <w:basedOn w:val="Normln"/>
    <w:rsid w:val="00CA254F"/>
    <w:pPr>
      <w:suppressAutoHyphens/>
      <w:spacing w:before="120"/>
      <w:jc w:val="both"/>
    </w:pPr>
    <w:rPr>
      <w:rFonts w:ascii="Arial" w:hAnsi="Arial"/>
      <w:sz w:val="22"/>
      <w:szCs w:val="22"/>
      <w:lang w:eastAsia="ar-SA"/>
    </w:rPr>
  </w:style>
  <w:style w:type="paragraph" w:styleId="Textbubliny">
    <w:name w:val="Balloon Text"/>
    <w:basedOn w:val="Normln"/>
    <w:link w:val="TextbublinyChar"/>
    <w:uiPriority w:val="99"/>
    <w:semiHidden/>
    <w:unhideWhenUsed/>
    <w:rsid w:val="009922BC"/>
    <w:rPr>
      <w:rFonts w:ascii="Tahoma" w:hAnsi="Tahoma" w:cs="Tahoma"/>
      <w:sz w:val="16"/>
      <w:szCs w:val="16"/>
    </w:rPr>
  </w:style>
  <w:style w:type="character" w:customStyle="1" w:styleId="TextbublinyChar">
    <w:name w:val="Text bubliny Char"/>
    <w:basedOn w:val="Standardnpsmoodstavce"/>
    <w:link w:val="Textbubliny"/>
    <w:uiPriority w:val="99"/>
    <w:semiHidden/>
    <w:rsid w:val="009922BC"/>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570500984">
      <w:bodyDiv w:val="1"/>
      <w:marLeft w:val="0"/>
      <w:marRight w:val="0"/>
      <w:marTop w:val="0"/>
      <w:marBottom w:val="0"/>
      <w:divBdr>
        <w:top w:val="none" w:sz="0" w:space="0" w:color="auto"/>
        <w:left w:val="none" w:sz="0" w:space="0" w:color="auto"/>
        <w:bottom w:val="none" w:sz="0" w:space="0" w:color="auto"/>
        <w:right w:val="none" w:sz="0" w:space="0" w:color="auto"/>
      </w:divBdr>
    </w:div>
    <w:div w:id="1104500692">
      <w:bodyDiv w:val="1"/>
      <w:marLeft w:val="0"/>
      <w:marRight w:val="0"/>
      <w:marTop w:val="0"/>
      <w:marBottom w:val="0"/>
      <w:divBdr>
        <w:top w:val="none" w:sz="0" w:space="0" w:color="auto"/>
        <w:left w:val="none" w:sz="0" w:space="0" w:color="auto"/>
        <w:bottom w:val="none" w:sz="0" w:space="0" w:color="auto"/>
        <w:right w:val="none" w:sz="0" w:space="0" w:color="auto"/>
      </w:divBdr>
    </w:div>
    <w:div w:id="117676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1209</Words>
  <Characters>7134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Leník, Jiří</dc:creator>
  <cp:lastModifiedBy>mikula-pavel-1</cp:lastModifiedBy>
  <cp:revision>4</cp:revision>
  <cp:lastPrinted>2018-07-17T07:33:00Z</cp:lastPrinted>
  <dcterms:created xsi:type="dcterms:W3CDTF">2018-07-17T09:15:00Z</dcterms:created>
  <dcterms:modified xsi:type="dcterms:W3CDTF">2018-09-11T09:34:00Z</dcterms:modified>
</cp:coreProperties>
</file>