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8286" w14:textId="77777777" w:rsidR="0059758F" w:rsidRPr="00D4655D" w:rsidRDefault="00344021" w:rsidP="009D4BB5">
      <w:pPr>
        <w:widowControl w:val="0"/>
        <w:spacing w:after="360" w:line="360" w:lineRule="auto"/>
        <w:contextualSpacing/>
        <w:jc w:val="center"/>
        <w:rPr>
          <w:rFonts w:cstheme="majorHAnsi"/>
          <w:b/>
          <w:szCs w:val="28"/>
        </w:rPr>
      </w:pPr>
      <w:bookmarkStart w:id="0" w:name="_Hlk491960784"/>
      <w:r w:rsidRPr="00D4655D">
        <w:rPr>
          <w:rFonts w:cstheme="majorHAnsi"/>
          <w:b/>
          <w:szCs w:val="28"/>
        </w:rPr>
        <w:t>Smlouv</w:t>
      </w:r>
      <w:r w:rsidR="00A93528" w:rsidRPr="00D4655D">
        <w:rPr>
          <w:rFonts w:cstheme="majorHAnsi"/>
          <w:b/>
          <w:szCs w:val="28"/>
        </w:rPr>
        <w:t>a</w:t>
      </w:r>
      <w:r w:rsidRPr="00D4655D">
        <w:rPr>
          <w:rFonts w:cstheme="majorHAnsi"/>
          <w:b/>
          <w:szCs w:val="28"/>
        </w:rPr>
        <w:t xml:space="preserve"> o dílo</w:t>
      </w:r>
    </w:p>
    <w:p w14:paraId="3D221CAE" w14:textId="77777777" w:rsidR="00344021" w:rsidRPr="00D4655D" w:rsidRDefault="00344021" w:rsidP="009D4BB5">
      <w:pPr>
        <w:widowControl w:val="0"/>
        <w:spacing w:before="360" w:after="120"/>
        <w:contextualSpacing/>
        <w:jc w:val="center"/>
        <w:rPr>
          <w:rFonts w:cstheme="majorHAnsi"/>
          <w:bCs/>
          <w:snapToGrid w:val="0"/>
          <w:sz w:val="22"/>
          <w:szCs w:val="22"/>
          <w:lang w:val="x-none" w:eastAsia="x-none"/>
        </w:rPr>
      </w:pPr>
      <w:r w:rsidRPr="00D4655D">
        <w:rPr>
          <w:rFonts w:cstheme="majorHAnsi"/>
          <w:bCs/>
          <w:snapToGrid w:val="0"/>
          <w:sz w:val="22"/>
          <w:szCs w:val="22"/>
          <w:lang w:val="x-none" w:eastAsia="x-none"/>
        </w:rPr>
        <w:t xml:space="preserve">uzavřená </w:t>
      </w: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dle § 2586 a následujících z. č. 89/2012 Sb. občanského zákoníku </w:t>
      </w:r>
    </w:p>
    <w:p w14:paraId="60B31C6C" w14:textId="77777777" w:rsidR="00344021" w:rsidRPr="00D4655D" w:rsidRDefault="00344021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eastAsia="MS Mincho" w:cstheme="majorHAnsi"/>
          <w:bCs/>
          <w:snapToGrid w:val="0"/>
          <w:sz w:val="22"/>
          <w:szCs w:val="22"/>
          <w:lang w:val="x-none" w:eastAsia="x-none"/>
        </w:rPr>
        <w:t>a předpisů souvisejících v platném znění</w:t>
      </w:r>
      <w:r w:rsidRPr="00D4655D">
        <w:rPr>
          <w:rFonts w:eastAsia="MS Mincho" w:cstheme="majorHAnsi"/>
          <w:bCs/>
          <w:snapToGrid w:val="0"/>
          <w:sz w:val="22"/>
          <w:szCs w:val="22"/>
          <w:lang w:eastAsia="x-none"/>
        </w:rPr>
        <w:t xml:space="preserve"> </w:t>
      </w:r>
    </w:p>
    <w:p w14:paraId="52563393" w14:textId="77777777" w:rsidR="00B51628" w:rsidRPr="00D4655D" w:rsidRDefault="00B51628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>mezi těmito smluvními stranami</w:t>
      </w:r>
    </w:p>
    <w:p w14:paraId="50056E29" w14:textId="77777777" w:rsidR="000A699F" w:rsidRPr="00D4655D" w:rsidRDefault="00B51628" w:rsidP="009D4BB5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 </w:t>
      </w:r>
      <w:r w:rsidR="000A699F" w:rsidRPr="00D4655D">
        <w:rPr>
          <w:rFonts w:cstheme="majorHAnsi"/>
          <w:sz w:val="22"/>
          <w:szCs w:val="22"/>
        </w:rPr>
        <w:t>Smluvní strany</w:t>
      </w:r>
    </w:p>
    <w:p w14:paraId="7B5FF9FA" w14:textId="77777777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ind w:left="425" w:firstLine="0"/>
        <w:jc w:val="both"/>
        <w:rPr>
          <w:rFonts w:asciiTheme="majorHAnsi" w:hAnsiTheme="majorHAnsi" w:cstheme="majorHAnsi"/>
          <w:b/>
        </w:rPr>
      </w:pPr>
      <w:bookmarkStart w:id="1" w:name="_Ref472319983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r w:rsidRPr="00D4655D">
        <w:rPr>
          <w:rFonts w:asciiTheme="majorHAnsi" w:hAnsiTheme="majorHAnsi" w:cstheme="majorHAnsi"/>
          <w:b/>
        </w:rPr>
        <w:t>GTS ALIVE s.r.o.</w:t>
      </w:r>
      <w:bookmarkEnd w:id="1"/>
    </w:p>
    <w:p w14:paraId="2C05D8EB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  <w:t>26193272</w:t>
      </w:r>
    </w:p>
    <w:p w14:paraId="775F74D4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  <w:t>Praha 1, Letenská 118/1, PSČ 11800</w:t>
      </w:r>
    </w:p>
    <w:p w14:paraId="2411D178" w14:textId="77777777" w:rsidR="000A699F" w:rsidRPr="00D4655D" w:rsidRDefault="000A699F" w:rsidP="009D4BB5">
      <w:pPr>
        <w:pStyle w:val="Odstavecseseznamem"/>
        <w:widowControl w:val="0"/>
        <w:tabs>
          <w:tab w:val="left" w:pos="2268"/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Zápis v rejstříku:</w:t>
      </w:r>
      <w:r w:rsidRPr="00D4655D">
        <w:rPr>
          <w:rFonts w:asciiTheme="majorHAnsi" w:hAnsiTheme="majorHAnsi" w:cstheme="majorHAnsi"/>
        </w:rPr>
        <w:tab/>
        <w:t>OR u Městského soudu v Praze, oddíl C, vložka 78560</w:t>
      </w:r>
    </w:p>
    <w:p w14:paraId="5A9DA429" w14:textId="624EDB9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810E6F">
        <w:rPr>
          <w:rFonts w:asciiTheme="majorHAnsi" w:hAnsiTheme="majorHAnsi" w:cstheme="majorHAnsi"/>
        </w:rPr>
        <w:t>Tomáš Vyskočil</w:t>
      </w:r>
      <w:r w:rsidRPr="00D4655D">
        <w:rPr>
          <w:rFonts w:asciiTheme="majorHAnsi" w:hAnsiTheme="majorHAnsi" w:cstheme="majorHAnsi"/>
        </w:rPr>
        <w:t>, jednatel</w:t>
      </w:r>
    </w:p>
    <w:p w14:paraId="6CAFA23E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spacing w:after="240"/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„GTS“)</w:t>
      </w:r>
    </w:p>
    <w:p w14:paraId="28F00D33" w14:textId="079C6821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spacing w:before="480" w:line="360" w:lineRule="auto"/>
        <w:ind w:left="425" w:firstLine="0"/>
        <w:jc w:val="both"/>
        <w:rPr>
          <w:rFonts w:asciiTheme="majorHAnsi" w:hAnsiTheme="majorHAnsi" w:cstheme="majorHAnsi"/>
          <w:b/>
        </w:rPr>
      </w:pPr>
      <w:bookmarkStart w:id="2" w:name="_Ref472319999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bookmarkEnd w:id="2"/>
      <w:r w:rsidR="00DC026C">
        <w:rPr>
          <w:rFonts w:asciiTheme="majorHAnsi" w:hAnsiTheme="majorHAnsi" w:cstheme="majorHAnsi"/>
          <w:b/>
        </w:rPr>
        <w:t xml:space="preserve">Základní škola Ostrov, Masarykova 1289, </w:t>
      </w:r>
      <w:r w:rsidR="00717EE5">
        <w:rPr>
          <w:rFonts w:asciiTheme="majorHAnsi" w:hAnsiTheme="majorHAnsi" w:cstheme="majorHAnsi"/>
          <w:b/>
        </w:rPr>
        <w:t>příspěvková organizace</w:t>
      </w:r>
    </w:p>
    <w:p w14:paraId="1C372DEE" w14:textId="47F1A4AD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  <w:b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</w:r>
      <w:r w:rsidR="00717EE5">
        <w:rPr>
          <w:rFonts w:asciiTheme="majorHAnsi" w:hAnsiTheme="majorHAnsi" w:cstheme="majorHAnsi"/>
        </w:rPr>
        <w:t>49753347</w:t>
      </w:r>
    </w:p>
    <w:p w14:paraId="0BE9B31E" w14:textId="7F704649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  <w:b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</w:r>
      <w:r w:rsidR="00717EE5">
        <w:rPr>
          <w:rFonts w:asciiTheme="majorHAnsi" w:hAnsiTheme="majorHAnsi" w:cstheme="majorHAnsi"/>
        </w:rPr>
        <w:t>Masarykova 1289, 363 01 Ostrov</w:t>
      </w:r>
    </w:p>
    <w:p w14:paraId="1F894D75" w14:textId="3AFD419D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717EE5">
        <w:rPr>
          <w:rFonts w:asciiTheme="majorHAnsi" w:hAnsiTheme="majorHAnsi" w:cstheme="majorHAnsi"/>
        </w:rPr>
        <w:t>Mgr. Helmut Harzer – ředitel školy</w:t>
      </w:r>
    </w:p>
    <w:p w14:paraId="716D46E3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„Objednatel“)</w:t>
      </w:r>
    </w:p>
    <w:p w14:paraId="084553F3" w14:textId="77777777" w:rsidR="00F72253" w:rsidRPr="00D4655D" w:rsidRDefault="00756B3E" w:rsidP="009D4BB5">
      <w:pPr>
        <w:pStyle w:val="Nadpis1"/>
        <w:keepNext w:val="0"/>
        <w:widowControl w:val="0"/>
        <w:numPr>
          <w:ilvl w:val="0"/>
          <w:numId w:val="0"/>
        </w:numPr>
        <w:ind w:left="714" w:hanging="35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Předmět smlouvy</w:t>
      </w:r>
    </w:p>
    <w:p w14:paraId="66B250E4" w14:textId="77777777" w:rsidR="007F32C1" w:rsidRPr="00D4655D" w:rsidRDefault="003B161E" w:rsidP="00A721EF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Předmětem smlouvy je </w:t>
      </w:r>
      <w:r w:rsidR="005937E9" w:rsidRPr="00D4655D">
        <w:rPr>
          <w:rFonts w:cstheme="majorHAnsi"/>
          <w:sz w:val="22"/>
          <w:szCs w:val="22"/>
        </w:rPr>
        <w:t>dodávka, instalace a zprovoznění elektronického přístupového</w:t>
      </w:r>
      <w:r w:rsidR="00180C24" w:rsidRPr="00D4655D">
        <w:rPr>
          <w:rFonts w:cstheme="majorHAnsi"/>
          <w:sz w:val="22"/>
          <w:szCs w:val="22"/>
        </w:rPr>
        <w:t xml:space="preserve"> a docházkového</w:t>
      </w:r>
      <w:r w:rsidR="005937E9" w:rsidRPr="00D4655D">
        <w:rPr>
          <w:rFonts w:cstheme="majorHAnsi"/>
          <w:sz w:val="22"/>
          <w:szCs w:val="22"/>
        </w:rPr>
        <w:t xml:space="preserve"> systému do objektů Objednatele. Tento systém umožňuje integraci do školního informačního systému </w:t>
      </w:r>
      <w:r w:rsidR="005937E9" w:rsidRPr="00125879">
        <w:rPr>
          <w:rFonts w:cstheme="majorHAnsi"/>
          <w:sz w:val="22"/>
          <w:szCs w:val="22"/>
        </w:rPr>
        <w:t>Bakaláři</w:t>
      </w:r>
      <w:r w:rsidR="000D4804" w:rsidRPr="00D4655D">
        <w:rPr>
          <w:rFonts w:cstheme="majorHAnsi"/>
          <w:sz w:val="22"/>
          <w:szCs w:val="22"/>
        </w:rPr>
        <w:t xml:space="preserve"> včetně propojení na elektronickou třídní knihu</w:t>
      </w:r>
      <w:r w:rsidR="005937E9" w:rsidRPr="00D4655D">
        <w:rPr>
          <w:rFonts w:cstheme="majorHAnsi"/>
          <w:sz w:val="22"/>
          <w:szCs w:val="22"/>
        </w:rPr>
        <w:t>. Seznam jednotlivých komponent je uveden v Příloze č. 1</w:t>
      </w:r>
      <w:r w:rsidR="009966CD" w:rsidRPr="00D4655D">
        <w:rPr>
          <w:rFonts w:cstheme="majorHAnsi"/>
          <w:sz w:val="22"/>
          <w:szCs w:val="22"/>
        </w:rPr>
        <w:t>, která je nedílnou součástí této smlouvy.</w:t>
      </w:r>
    </w:p>
    <w:p w14:paraId="61D61CD5" w14:textId="77777777" w:rsidR="003B161E" w:rsidRPr="00D4655D" w:rsidRDefault="001364F5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Dílo</w:t>
      </w:r>
      <w:r w:rsidR="003B161E" w:rsidRPr="00D4655D">
        <w:rPr>
          <w:rFonts w:cstheme="majorHAnsi"/>
          <w:sz w:val="22"/>
          <w:szCs w:val="22"/>
        </w:rPr>
        <w:t xml:space="preserve"> obsahuje:</w:t>
      </w:r>
    </w:p>
    <w:p w14:paraId="6E1D07B2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dodávku všech potřebných komponentů</w:t>
      </w:r>
    </w:p>
    <w:p w14:paraId="6ABD1C37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uvedení systému do provozu</w:t>
      </w:r>
    </w:p>
    <w:p w14:paraId="73F06130" w14:textId="10913F02" w:rsidR="001958B3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zaškolení určených pracovníků uživatele v používání systému</w:t>
      </w:r>
    </w:p>
    <w:p w14:paraId="2F2AED8B" w14:textId="75FC6136" w:rsidR="008F73E6" w:rsidRPr="00A721EF" w:rsidRDefault="008F73E6" w:rsidP="008F73E6">
      <w:pPr>
        <w:rPr>
          <w:rFonts w:cstheme="majorHAnsi"/>
          <w:sz w:val="22"/>
          <w:szCs w:val="22"/>
        </w:rPr>
      </w:pPr>
      <w:r w:rsidRPr="00A721EF">
        <w:rPr>
          <w:rFonts w:cstheme="majorHAnsi"/>
          <w:sz w:val="22"/>
          <w:szCs w:val="22"/>
        </w:rPr>
        <w:t>a další komponenty uvedené v Příloze č. 1 (</w:t>
      </w:r>
      <w:r w:rsidR="00896A74">
        <w:rPr>
          <w:rFonts w:cstheme="majorHAnsi"/>
          <w:sz w:val="22"/>
          <w:szCs w:val="22"/>
        </w:rPr>
        <w:t xml:space="preserve">dílo </w:t>
      </w:r>
      <w:r w:rsidRPr="00A721EF">
        <w:rPr>
          <w:rFonts w:cstheme="majorHAnsi"/>
          <w:sz w:val="22"/>
          <w:szCs w:val="22"/>
        </w:rPr>
        <w:t>souhrnně dále jen „systém“)</w:t>
      </w:r>
      <w:r w:rsidR="00896A74">
        <w:rPr>
          <w:rFonts w:cstheme="majorHAnsi"/>
          <w:sz w:val="22"/>
          <w:szCs w:val="22"/>
        </w:rPr>
        <w:t>.</w:t>
      </w:r>
    </w:p>
    <w:p w14:paraId="350FA300" w14:textId="1161F614" w:rsidR="008F73E6" w:rsidRDefault="008F73E6" w:rsidP="00A721EF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96774B">
        <w:rPr>
          <w:rFonts w:cstheme="majorHAnsi"/>
          <w:sz w:val="22"/>
          <w:szCs w:val="22"/>
        </w:rPr>
        <w:t xml:space="preserve">Předmětem smlouvy je </w:t>
      </w:r>
      <w:r w:rsidR="0096774B" w:rsidRPr="00896A74">
        <w:rPr>
          <w:rFonts w:cstheme="majorHAnsi"/>
          <w:sz w:val="22"/>
          <w:szCs w:val="22"/>
        </w:rPr>
        <w:t xml:space="preserve">pouze </w:t>
      </w:r>
      <w:r w:rsidRPr="00896A74">
        <w:rPr>
          <w:rFonts w:cstheme="majorHAnsi"/>
          <w:sz w:val="22"/>
          <w:szCs w:val="22"/>
        </w:rPr>
        <w:t xml:space="preserve">dodávka, instalace a zprovoznění </w:t>
      </w:r>
      <w:r w:rsidR="0096774B" w:rsidRPr="00896A74">
        <w:rPr>
          <w:rFonts w:cstheme="majorHAnsi"/>
          <w:sz w:val="22"/>
          <w:szCs w:val="22"/>
        </w:rPr>
        <w:t>systému, přičemž Objednatel bere na vědomí, že k dodávce systému či jeho části GTS využije subdodavatele v podobě odborné společnosti (dále jen „subdodavatel“)</w:t>
      </w:r>
      <w:r w:rsidRPr="00896A74">
        <w:rPr>
          <w:rFonts w:cstheme="majorHAnsi"/>
          <w:sz w:val="22"/>
          <w:szCs w:val="22"/>
        </w:rPr>
        <w:t>.</w:t>
      </w:r>
    </w:p>
    <w:p w14:paraId="4D99357D" w14:textId="58E69766" w:rsidR="00896A74" w:rsidRDefault="00896A74" w:rsidP="00A721EF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A721EF">
        <w:rPr>
          <w:rFonts w:cstheme="majorHAnsi"/>
          <w:sz w:val="22"/>
          <w:szCs w:val="22"/>
        </w:rPr>
        <w:t>Předmětem smlouvy není související zpracování osobních údajů, za které GTS nenese žádnou odpovědnost. Ke zpracování osobních údajů se zavazuje Objednatel uzavřít se subdodavatelem napřímo smlouvu o zpracování osobních údajů, která je uvedena v Příloze č. 2 a</w:t>
      </w:r>
      <w:r w:rsidR="00545F85">
        <w:rPr>
          <w:rFonts w:cstheme="majorHAnsi"/>
          <w:sz w:val="22"/>
          <w:szCs w:val="22"/>
        </w:rPr>
        <w:t xml:space="preserve"> je</w:t>
      </w:r>
      <w:r w:rsidRPr="00A721EF">
        <w:rPr>
          <w:rFonts w:cstheme="majorHAnsi"/>
          <w:sz w:val="22"/>
          <w:szCs w:val="22"/>
        </w:rPr>
        <w:t xml:space="preserve"> nedílnou součástí této smlouvy.</w:t>
      </w:r>
      <w:r>
        <w:rPr>
          <w:rFonts w:cstheme="majorHAnsi"/>
          <w:sz w:val="22"/>
          <w:szCs w:val="22"/>
        </w:rPr>
        <w:t xml:space="preserve"> Objednatel podpisem této smlouvy prohlašuje, že byl ze strany GTS seznámen se subdodavatelem a tento odpovídá zpracovateli, který poskytuje dostatečné záruky zavedení vhodných technických a organizačních opatření, tak aby byla splněna právní úprava v oblasti regulace ochrany osobních údajů.</w:t>
      </w:r>
    </w:p>
    <w:p w14:paraId="2A4FC6D0" w14:textId="7D36B572" w:rsidR="00796672" w:rsidRDefault="00796672" w:rsidP="00796672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EC290D">
        <w:rPr>
          <w:rFonts w:cstheme="majorHAnsi"/>
          <w:sz w:val="22"/>
          <w:szCs w:val="22"/>
        </w:rPr>
        <w:t xml:space="preserve">Předmětem smlouvy </w:t>
      </w:r>
      <w:r>
        <w:rPr>
          <w:rFonts w:cstheme="majorHAnsi"/>
          <w:sz w:val="22"/>
          <w:szCs w:val="22"/>
        </w:rPr>
        <w:t xml:space="preserve">rovněž </w:t>
      </w:r>
      <w:r w:rsidRPr="00EC290D">
        <w:rPr>
          <w:rFonts w:cstheme="majorHAnsi"/>
          <w:sz w:val="22"/>
          <w:szCs w:val="22"/>
        </w:rPr>
        <w:t>ne</w:t>
      </w:r>
      <w:r w:rsidR="00545F85">
        <w:rPr>
          <w:rFonts w:cstheme="majorHAnsi"/>
          <w:sz w:val="22"/>
          <w:szCs w:val="22"/>
        </w:rPr>
        <w:t>jsou</w:t>
      </w:r>
      <w:r w:rsidRPr="00EC290D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>servisní, pozáruční či jiné obdobné služby. Objednatel je oprávněn takovou smlouvu uzavřít se subdodavatelem GTS.</w:t>
      </w:r>
    </w:p>
    <w:p w14:paraId="7A5F8F69" w14:textId="5432C600" w:rsidR="00796672" w:rsidRPr="00A721EF" w:rsidRDefault="00796672" w:rsidP="00A721EF"/>
    <w:p w14:paraId="4F7FC7D6" w14:textId="77777777" w:rsidR="00896A74" w:rsidRPr="00A721EF" w:rsidRDefault="00896A74" w:rsidP="00A721EF"/>
    <w:p w14:paraId="67CD6E43" w14:textId="77777777" w:rsidR="00F72253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AC6EF1" w:rsidRPr="00D4655D">
        <w:rPr>
          <w:rFonts w:cstheme="majorHAnsi"/>
          <w:sz w:val="22"/>
          <w:szCs w:val="22"/>
        </w:rPr>
        <w:t>GTS</w:t>
      </w:r>
    </w:p>
    <w:p w14:paraId="4F0BFC0C" w14:textId="397D2BAB" w:rsidR="00F11FB6" w:rsidRPr="00D4655D" w:rsidRDefault="005937E9" w:rsidP="00A721EF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A17BF" w:rsidRPr="00D4655D">
        <w:rPr>
          <w:rFonts w:cstheme="majorHAnsi"/>
          <w:sz w:val="22"/>
          <w:szCs w:val="22"/>
        </w:rPr>
        <w:t xml:space="preserve">dodá </w:t>
      </w:r>
      <w:r w:rsidR="001A17BF" w:rsidRPr="00A34C07">
        <w:rPr>
          <w:rFonts w:cstheme="majorHAnsi"/>
          <w:sz w:val="22"/>
          <w:szCs w:val="22"/>
        </w:rPr>
        <w:t xml:space="preserve">systém </w:t>
      </w:r>
      <w:r w:rsidR="00BB76D5" w:rsidRPr="00A34C07">
        <w:rPr>
          <w:rFonts w:cstheme="majorHAnsi"/>
          <w:sz w:val="22"/>
          <w:szCs w:val="22"/>
        </w:rPr>
        <w:t xml:space="preserve">do </w:t>
      </w:r>
      <w:r w:rsidR="00A34C07" w:rsidRPr="00A34C07">
        <w:rPr>
          <w:rFonts w:cstheme="majorHAnsi"/>
          <w:sz w:val="22"/>
          <w:szCs w:val="22"/>
        </w:rPr>
        <w:t>31.10.2018</w:t>
      </w:r>
      <w:r w:rsidR="00393443" w:rsidRPr="00A34C07">
        <w:rPr>
          <w:rFonts w:cstheme="majorHAnsi"/>
          <w:sz w:val="22"/>
          <w:szCs w:val="22"/>
        </w:rPr>
        <w:t>.</w:t>
      </w:r>
      <w:r w:rsidR="008F73E6" w:rsidRPr="00A34C07">
        <w:rPr>
          <w:rFonts w:cstheme="majorHAnsi"/>
          <w:sz w:val="22"/>
          <w:szCs w:val="22"/>
        </w:rPr>
        <w:t xml:space="preserve"> V případě, že nebude zajištěna veškerá součinnost či připravenost ze strany Objednatele, je GTS oprávněno</w:t>
      </w:r>
      <w:r w:rsidR="008F73E6">
        <w:rPr>
          <w:rFonts w:cstheme="majorHAnsi"/>
          <w:sz w:val="22"/>
          <w:szCs w:val="22"/>
        </w:rPr>
        <w:t xml:space="preserve"> lhůtu dodání prodloužit na termín, který bude Objednateli sdělen.</w:t>
      </w:r>
    </w:p>
    <w:p w14:paraId="19D12DEE" w14:textId="42A1845F" w:rsidR="00201002" w:rsidRPr="00D4655D" w:rsidRDefault="005937E9" w:rsidP="00A721EF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jc w:val="both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GTS</w:t>
      </w:r>
      <w:r w:rsidR="00DD3497" w:rsidRPr="00D4655D">
        <w:rPr>
          <w:rFonts w:cstheme="majorHAnsi"/>
          <w:b w:val="0"/>
          <w:sz w:val="22"/>
          <w:szCs w:val="22"/>
        </w:rPr>
        <w:t xml:space="preserve"> p</w:t>
      </w:r>
      <w:r w:rsidR="00F72253" w:rsidRPr="00D4655D">
        <w:rPr>
          <w:rFonts w:cstheme="majorHAnsi"/>
          <w:b w:val="0"/>
          <w:sz w:val="22"/>
          <w:szCs w:val="22"/>
        </w:rPr>
        <w:t xml:space="preserve">oskytuje </w:t>
      </w:r>
      <w:r w:rsidR="004A6391" w:rsidRPr="00D4655D">
        <w:rPr>
          <w:rFonts w:cstheme="majorHAnsi"/>
          <w:b w:val="0"/>
          <w:sz w:val="22"/>
          <w:szCs w:val="22"/>
        </w:rPr>
        <w:t xml:space="preserve">plnou </w:t>
      </w:r>
      <w:r w:rsidR="00D5304C" w:rsidRPr="00D4655D">
        <w:rPr>
          <w:rFonts w:cstheme="majorHAnsi"/>
          <w:b w:val="0"/>
          <w:sz w:val="22"/>
          <w:szCs w:val="22"/>
        </w:rPr>
        <w:t>záruku</w:t>
      </w:r>
      <w:r w:rsidR="004A6391" w:rsidRPr="00D4655D">
        <w:rPr>
          <w:rFonts w:cstheme="majorHAnsi"/>
          <w:b w:val="0"/>
          <w:sz w:val="22"/>
          <w:szCs w:val="22"/>
        </w:rPr>
        <w:t xml:space="preserve"> na funkčnost systému</w:t>
      </w:r>
      <w:r w:rsidR="00644EEF">
        <w:rPr>
          <w:rFonts w:cstheme="majorHAnsi"/>
          <w:b w:val="0"/>
          <w:sz w:val="22"/>
          <w:szCs w:val="22"/>
        </w:rPr>
        <w:t xml:space="preserve"> (tj. že budou zachovány všechny jeho funkcionality s ohledem na účel této smlouvy)</w:t>
      </w:r>
      <w:r w:rsidR="004A6391" w:rsidRPr="00D4655D">
        <w:rPr>
          <w:rFonts w:cstheme="majorHAnsi"/>
          <w:b w:val="0"/>
          <w:sz w:val="22"/>
          <w:szCs w:val="22"/>
        </w:rPr>
        <w:t xml:space="preserve"> po dobu</w:t>
      </w:r>
      <w:r w:rsidR="00F72253" w:rsidRPr="00D4655D">
        <w:rPr>
          <w:rFonts w:cstheme="majorHAnsi"/>
          <w:b w:val="0"/>
          <w:sz w:val="22"/>
          <w:szCs w:val="22"/>
        </w:rPr>
        <w:t xml:space="preserve"> </w:t>
      </w:r>
      <w:r w:rsidR="00A823E6" w:rsidRPr="00D4655D">
        <w:rPr>
          <w:rFonts w:cstheme="majorHAnsi"/>
          <w:b w:val="0"/>
          <w:sz w:val="22"/>
          <w:szCs w:val="22"/>
        </w:rPr>
        <w:t>24</w:t>
      </w:r>
      <w:r w:rsidR="001E09AB" w:rsidRPr="00D4655D">
        <w:rPr>
          <w:rFonts w:cstheme="majorHAnsi"/>
          <w:b w:val="0"/>
          <w:sz w:val="22"/>
          <w:szCs w:val="22"/>
        </w:rPr>
        <w:t xml:space="preserve"> </w:t>
      </w:r>
      <w:r w:rsidR="00F72253" w:rsidRPr="00D4655D">
        <w:rPr>
          <w:rFonts w:cstheme="majorHAnsi"/>
          <w:b w:val="0"/>
          <w:sz w:val="22"/>
          <w:szCs w:val="22"/>
        </w:rPr>
        <w:t xml:space="preserve">měsíců od předání systému. </w:t>
      </w:r>
      <w:r w:rsidR="004A6391" w:rsidRPr="00D4655D">
        <w:rPr>
          <w:rFonts w:cstheme="majorHAnsi"/>
          <w:b w:val="0"/>
          <w:sz w:val="22"/>
          <w:szCs w:val="22"/>
        </w:rPr>
        <w:t xml:space="preserve">Záruka </w:t>
      </w:r>
      <w:r w:rsidR="004A6391" w:rsidRPr="00D4655D">
        <w:rPr>
          <w:rFonts w:cstheme="majorHAnsi"/>
          <w:b w:val="0"/>
          <w:sz w:val="22"/>
          <w:szCs w:val="22"/>
        </w:rPr>
        <w:lastRenderedPageBreak/>
        <w:t>se neuplatňuje na poškození systému způsobené Objednatelem</w:t>
      </w:r>
      <w:r w:rsidR="008F73E6">
        <w:rPr>
          <w:rFonts w:cstheme="majorHAnsi"/>
          <w:b w:val="0"/>
          <w:sz w:val="22"/>
          <w:szCs w:val="22"/>
        </w:rPr>
        <w:t>, užíváním v rozporu s pokyny GTS, dodavatele GTS, s manuálem či pokyny výrobce</w:t>
      </w:r>
      <w:r w:rsidR="004A6391" w:rsidRPr="00D4655D">
        <w:rPr>
          <w:rFonts w:cstheme="majorHAnsi"/>
          <w:b w:val="0"/>
          <w:sz w:val="22"/>
          <w:szCs w:val="22"/>
        </w:rPr>
        <w:t xml:space="preserve"> nebo</w:t>
      </w:r>
      <w:r w:rsidR="00A721EF">
        <w:rPr>
          <w:rFonts w:cstheme="majorHAnsi"/>
          <w:b w:val="0"/>
          <w:sz w:val="22"/>
          <w:szCs w:val="22"/>
        </w:rPr>
        <w:t xml:space="preserve"> poškození</w:t>
      </w:r>
      <w:r w:rsidR="004A6391" w:rsidRPr="00D4655D">
        <w:rPr>
          <w:rFonts w:cstheme="majorHAnsi"/>
          <w:b w:val="0"/>
          <w:sz w:val="22"/>
          <w:szCs w:val="22"/>
        </w:rPr>
        <w:t xml:space="preserve"> přírodními vlivy.</w:t>
      </w:r>
    </w:p>
    <w:p w14:paraId="08DBC793" w14:textId="5D086F87" w:rsidR="00F72253" w:rsidRPr="00D4655D" w:rsidRDefault="00F72253" w:rsidP="00A721EF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jc w:val="both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Všechny komponenty odpovídají technickým požadavkům na výrobky</w:t>
      </w:r>
      <w:r w:rsidR="00FE7C38" w:rsidRPr="00D4655D">
        <w:rPr>
          <w:rFonts w:cstheme="majorHAnsi"/>
          <w:b w:val="0"/>
          <w:sz w:val="22"/>
          <w:szCs w:val="22"/>
        </w:rPr>
        <w:t xml:space="preserve"> dle platných</w:t>
      </w:r>
      <w:r w:rsidRPr="00D4655D">
        <w:rPr>
          <w:rFonts w:cstheme="majorHAnsi"/>
          <w:b w:val="0"/>
          <w:sz w:val="22"/>
          <w:szCs w:val="22"/>
        </w:rPr>
        <w:t xml:space="preserve"> právních</w:t>
      </w:r>
      <w:r w:rsidR="003B161E" w:rsidRPr="00D4655D">
        <w:rPr>
          <w:rFonts w:cstheme="majorHAnsi"/>
          <w:b w:val="0"/>
          <w:sz w:val="22"/>
          <w:szCs w:val="22"/>
        </w:rPr>
        <w:t xml:space="preserve"> předpisů.</w:t>
      </w:r>
    </w:p>
    <w:p w14:paraId="72840A25" w14:textId="386B89C6" w:rsidR="003D43BE" w:rsidRPr="00D4655D" w:rsidRDefault="005A293E" w:rsidP="00A721EF">
      <w:pPr>
        <w:pStyle w:val="Nadpis1"/>
        <w:keepNext w:val="0"/>
        <w:widowControl w:val="0"/>
        <w:numPr>
          <w:ilvl w:val="1"/>
          <w:numId w:val="11"/>
        </w:numPr>
        <w:spacing w:before="0" w:after="0"/>
        <w:ind w:left="935" w:hanging="510"/>
        <w:jc w:val="both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Servisní zásah</w:t>
      </w:r>
      <w:r w:rsidR="00C3140C" w:rsidRPr="00D4655D">
        <w:rPr>
          <w:rFonts w:cstheme="majorHAnsi"/>
          <w:b w:val="0"/>
          <w:sz w:val="22"/>
          <w:szCs w:val="22"/>
        </w:rPr>
        <w:t xml:space="preserve"> k odstranění závady </w:t>
      </w:r>
      <w:r w:rsidR="004A6391" w:rsidRPr="00D4655D">
        <w:rPr>
          <w:rFonts w:cstheme="majorHAnsi"/>
          <w:b w:val="0"/>
          <w:sz w:val="22"/>
          <w:szCs w:val="22"/>
        </w:rPr>
        <w:t>bude proveden</w:t>
      </w:r>
      <w:r w:rsidR="00FE7C38" w:rsidRPr="00D4655D">
        <w:rPr>
          <w:rFonts w:cstheme="majorHAnsi"/>
          <w:b w:val="0"/>
          <w:sz w:val="22"/>
          <w:szCs w:val="22"/>
        </w:rPr>
        <w:t xml:space="preserve"> </w:t>
      </w:r>
      <w:r w:rsidRPr="00D4655D">
        <w:rPr>
          <w:rFonts w:cstheme="majorHAnsi"/>
          <w:b w:val="0"/>
          <w:sz w:val="22"/>
          <w:szCs w:val="22"/>
        </w:rPr>
        <w:t xml:space="preserve">maximálně do </w:t>
      </w:r>
      <w:r w:rsidR="005937E9" w:rsidRPr="00D4655D">
        <w:rPr>
          <w:rFonts w:cstheme="majorHAnsi"/>
          <w:b w:val="0"/>
          <w:sz w:val="22"/>
          <w:szCs w:val="22"/>
        </w:rPr>
        <w:t>48–72</w:t>
      </w:r>
      <w:r w:rsidRPr="00D4655D">
        <w:rPr>
          <w:rFonts w:cstheme="majorHAnsi"/>
          <w:b w:val="0"/>
          <w:sz w:val="22"/>
          <w:szCs w:val="22"/>
        </w:rPr>
        <w:t xml:space="preserve"> hodin od nahlášení závady</w:t>
      </w:r>
      <w:r w:rsidR="004A6391" w:rsidRPr="00D4655D">
        <w:rPr>
          <w:rFonts w:cstheme="majorHAnsi"/>
          <w:b w:val="0"/>
          <w:sz w:val="22"/>
          <w:szCs w:val="22"/>
        </w:rPr>
        <w:t>, a to</w:t>
      </w:r>
      <w:r w:rsidR="00980DC7" w:rsidRPr="00D4655D">
        <w:rPr>
          <w:rFonts w:cstheme="majorHAnsi"/>
          <w:b w:val="0"/>
          <w:sz w:val="22"/>
          <w:szCs w:val="22"/>
        </w:rPr>
        <w:t xml:space="preserve"> v pracovní</w:t>
      </w:r>
      <w:r w:rsidR="004A6391" w:rsidRPr="00D4655D">
        <w:rPr>
          <w:rFonts w:cstheme="majorHAnsi"/>
          <w:b w:val="0"/>
          <w:sz w:val="22"/>
          <w:szCs w:val="22"/>
        </w:rPr>
        <w:t>ch</w:t>
      </w:r>
      <w:r w:rsidR="00980DC7" w:rsidRPr="00D4655D">
        <w:rPr>
          <w:rFonts w:cstheme="majorHAnsi"/>
          <w:b w:val="0"/>
          <w:sz w:val="22"/>
          <w:szCs w:val="22"/>
        </w:rPr>
        <w:t xml:space="preserve"> dn</w:t>
      </w:r>
      <w:r w:rsidR="004A6391" w:rsidRPr="00D4655D">
        <w:rPr>
          <w:rFonts w:cstheme="majorHAnsi"/>
          <w:b w:val="0"/>
          <w:sz w:val="22"/>
          <w:szCs w:val="22"/>
        </w:rPr>
        <w:t>ech</w:t>
      </w:r>
      <w:r w:rsidR="00980DC7" w:rsidRPr="00D4655D">
        <w:rPr>
          <w:rFonts w:cstheme="majorHAnsi"/>
          <w:b w:val="0"/>
          <w:sz w:val="22"/>
          <w:szCs w:val="22"/>
        </w:rPr>
        <w:t xml:space="preserve"> dle závažnosti nahlášené závady.</w:t>
      </w:r>
      <w:r w:rsidR="008F73E6">
        <w:rPr>
          <w:rFonts w:cstheme="majorHAnsi"/>
          <w:b w:val="0"/>
          <w:sz w:val="22"/>
          <w:szCs w:val="22"/>
        </w:rPr>
        <w:t xml:space="preserve"> Pokud konec lhůty připadne na státní svátek, víkend či jiný den pracovního klidu, bude termín odstranění závady přiměřeně prodloužen a sdělen Objednateli.</w:t>
      </w:r>
    </w:p>
    <w:p w14:paraId="4E86330A" w14:textId="77777777" w:rsidR="005937E9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</w:t>
      </w:r>
    </w:p>
    <w:p w14:paraId="0D60DB61" w14:textId="4D17ACE7" w:rsidR="00AC6EF1" w:rsidRPr="00D4655D" w:rsidRDefault="00FE0F69" w:rsidP="005A547E">
      <w:pPr>
        <w:pStyle w:val="Nadpis1"/>
        <w:keepNext w:val="0"/>
        <w:keepLines/>
        <w:widowControl w:val="0"/>
        <w:numPr>
          <w:ilvl w:val="1"/>
          <w:numId w:val="11"/>
        </w:numPr>
        <w:spacing w:before="0" w:after="0"/>
        <w:ind w:left="935" w:hanging="510"/>
        <w:jc w:val="both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 xml:space="preserve">Objednatel umožní přístup pracovníkům </w:t>
      </w:r>
      <w:r w:rsidR="00AC6EF1" w:rsidRPr="00D4655D">
        <w:rPr>
          <w:rFonts w:cstheme="majorHAnsi"/>
          <w:b w:val="0"/>
          <w:sz w:val="22"/>
          <w:szCs w:val="22"/>
        </w:rPr>
        <w:t>GTS</w:t>
      </w:r>
      <w:r w:rsidR="00896A74">
        <w:rPr>
          <w:rFonts w:cstheme="majorHAnsi"/>
          <w:b w:val="0"/>
          <w:sz w:val="22"/>
          <w:szCs w:val="22"/>
        </w:rPr>
        <w:t>, subdodavateli</w:t>
      </w:r>
      <w:r w:rsidR="00AC6EF1" w:rsidRPr="00D4655D">
        <w:rPr>
          <w:rFonts w:cstheme="majorHAnsi"/>
          <w:b w:val="0"/>
          <w:sz w:val="22"/>
          <w:szCs w:val="22"/>
        </w:rPr>
        <w:t xml:space="preserve"> a jejich smluvním partnerům</w:t>
      </w:r>
      <w:r w:rsidRPr="00D4655D">
        <w:rPr>
          <w:rFonts w:cstheme="majorHAnsi"/>
          <w:b w:val="0"/>
          <w:sz w:val="22"/>
          <w:szCs w:val="22"/>
        </w:rPr>
        <w:t xml:space="preserve"> do </w:t>
      </w:r>
      <w:r w:rsidR="004A6391" w:rsidRPr="00D4655D">
        <w:rPr>
          <w:rFonts w:cstheme="majorHAnsi"/>
          <w:b w:val="0"/>
          <w:sz w:val="22"/>
          <w:szCs w:val="22"/>
        </w:rPr>
        <w:t xml:space="preserve">svého </w:t>
      </w:r>
      <w:r w:rsidRPr="00D4655D">
        <w:rPr>
          <w:rFonts w:cstheme="majorHAnsi"/>
          <w:b w:val="0"/>
          <w:sz w:val="22"/>
          <w:szCs w:val="22"/>
        </w:rPr>
        <w:t>areálu za účelem instalace</w:t>
      </w:r>
      <w:r w:rsidR="004A6391" w:rsidRPr="00D4655D">
        <w:rPr>
          <w:rFonts w:cstheme="majorHAnsi"/>
          <w:b w:val="0"/>
          <w:sz w:val="22"/>
          <w:szCs w:val="22"/>
        </w:rPr>
        <w:t xml:space="preserve"> systému</w:t>
      </w:r>
      <w:r w:rsidRPr="00D4655D">
        <w:rPr>
          <w:rFonts w:cstheme="majorHAnsi"/>
          <w:b w:val="0"/>
          <w:sz w:val="22"/>
          <w:szCs w:val="22"/>
        </w:rPr>
        <w:t xml:space="preserve">, odzkoušení a </w:t>
      </w:r>
      <w:r w:rsidR="00896A74">
        <w:rPr>
          <w:rFonts w:cstheme="majorHAnsi"/>
          <w:b w:val="0"/>
          <w:sz w:val="22"/>
          <w:szCs w:val="22"/>
        </w:rPr>
        <w:t xml:space="preserve">případného </w:t>
      </w:r>
      <w:r w:rsidRPr="00D4655D">
        <w:rPr>
          <w:rFonts w:cstheme="majorHAnsi"/>
          <w:b w:val="0"/>
          <w:sz w:val="22"/>
          <w:szCs w:val="22"/>
        </w:rPr>
        <w:t xml:space="preserve">následného servisu na dobu nezbytně nutnou. </w:t>
      </w:r>
      <w:r w:rsidR="000D4804" w:rsidRPr="00D4655D">
        <w:rPr>
          <w:rFonts w:cstheme="majorHAnsi"/>
          <w:b w:val="0"/>
          <w:sz w:val="22"/>
          <w:szCs w:val="22"/>
        </w:rPr>
        <w:t>Přístup bude umožněn v čase stanoveném vzájemnou domluvou Objednatele a GTS.</w:t>
      </w:r>
    </w:p>
    <w:p w14:paraId="57CCDC6C" w14:textId="77777777" w:rsidR="000D4804" w:rsidRPr="005A547E" w:rsidRDefault="000D4804" w:rsidP="005A547E">
      <w:pPr>
        <w:pStyle w:val="Nadpis1"/>
        <w:keepNext w:val="0"/>
        <w:keepLines/>
        <w:widowControl w:val="0"/>
        <w:numPr>
          <w:ilvl w:val="1"/>
          <w:numId w:val="11"/>
        </w:numPr>
        <w:spacing w:before="0" w:after="0"/>
        <w:ind w:left="935" w:hanging="510"/>
        <w:jc w:val="both"/>
        <w:rPr>
          <w:rFonts w:cstheme="majorHAnsi"/>
          <w:b w:val="0"/>
          <w:sz w:val="22"/>
          <w:szCs w:val="22"/>
        </w:rPr>
      </w:pPr>
      <w:r w:rsidRPr="005A547E">
        <w:rPr>
          <w:rFonts w:cstheme="majorHAnsi"/>
          <w:b w:val="0"/>
          <w:sz w:val="22"/>
          <w:szCs w:val="22"/>
        </w:rPr>
        <w:t>Objednatel zajistí přípravu základní kabeláže podle pokynů GTS.</w:t>
      </w:r>
    </w:p>
    <w:p w14:paraId="489BCCBE" w14:textId="1D5FB1BC" w:rsidR="008E0E0A" w:rsidRDefault="00BB76D5" w:rsidP="00A721EF">
      <w:pPr>
        <w:pStyle w:val="Nadpis1"/>
        <w:keepNext w:val="0"/>
        <w:keepLines/>
        <w:widowControl w:val="0"/>
        <w:numPr>
          <w:ilvl w:val="1"/>
          <w:numId w:val="11"/>
        </w:numPr>
        <w:spacing w:before="0" w:after="0"/>
        <w:ind w:left="935" w:hanging="510"/>
        <w:jc w:val="both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Objednatel umožní zřízení vzdálené správy v případě potřeby pro nastavení či přenastavení programu.</w:t>
      </w:r>
    </w:p>
    <w:p w14:paraId="5679C53B" w14:textId="36DBCB87" w:rsidR="008E0E0A" w:rsidRDefault="008E0E0A" w:rsidP="00A721EF">
      <w:pPr>
        <w:pStyle w:val="Nadpis1"/>
        <w:keepNext w:val="0"/>
        <w:keepLines/>
        <w:widowControl w:val="0"/>
        <w:numPr>
          <w:ilvl w:val="1"/>
          <w:numId w:val="11"/>
        </w:numPr>
        <w:spacing w:before="0" w:after="0"/>
        <w:ind w:left="935" w:hanging="510"/>
        <w:jc w:val="both"/>
        <w:rPr>
          <w:rFonts w:cstheme="majorHAnsi"/>
          <w:b w:val="0"/>
          <w:sz w:val="22"/>
          <w:szCs w:val="22"/>
        </w:rPr>
      </w:pPr>
      <w:r w:rsidRPr="00E24CE9">
        <w:rPr>
          <w:rFonts w:cstheme="majorHAnsi"/>
          <w:b w:val="0"/>
          <w:sz w:val="22"/>
          <w:szCs w:val="22"/>
        </w:rPr>
        <w:t>Objednatel se zavazuje písemně potvrdit převzetí systému, přičemž je oprávněn v převzetí případně vytknout doložitelné a specifikované vady systému.</w:t>
      </w:r>
    </w:p>
    <w:p w14:paraId="0A23A305" w14:textId="7F492921" w:rsidR="008E0E0A" w:rsidRDefault="008E0E0A" w:rsidP="00A721EF">
      <w:pPr>
        <w:pStyle w:val="Nadpis1"/>
        <w:keepNext w:val="0"/>
        <w:keepLines/>
        <w:widowControl w:val="0"/>
        <w:numPr>
          <w:ilvl w:val="1"/>
          <w:numId w:val="11"/>
        </w:numPr>
        <w:spacing w:before="0" w:after="0"/>
        <w:ind w:left="935" w:hanging="510"/>
        <w:jc w:val="both"/>
        <w:rPr>
          <w:rFonts w:cstheme="majorHAnsi"/>
          <w:b w:val="0"/>
          <w:sz w:val="22"/>
          <w:szCs w:val="22"/>
        </w:rPr>
      </w:pPr>
      <w:r>
        <w:rPr>
          <w:rFonts w:cstheme="majorHAnsi"/>
          <w:b w:val="0"/>
          <w:sz w:val="22"/>
          <w:szCs w:val="22"/>
        </w:rPr>
        <w:t>Objednatel nese nebezpečí škody na systému od okamžiku faktického předání, byť části systému.</w:t>
      </w:r>
    </w:p>
    <w:p w14:paraId="0F9941A1" w14:textId="16EE6AE7" w:rsidR="008E0E0A" w:rsidRDefault="008E0E0A" w:rsidP="00A721EF">
      <w:pPr>
        <w:pStyle w:val="Nadpis1"/>
        <w:keepNext w:val="0"/>
        <w:keepLines/>
        <w:widowControl w:val="0"/>
        <w:numPr>
          <w:ilvl w:val="1"/>
          <w:numId w:val="11"/>
        </w:numPr>
        <w:spacing w:before="0" w:after="0"/>
        <w:ind w:left="851" w:hanging="425"/>
        <w:jc w:val="both"/>
        <w:rPr>
          <w:rFonts w:cstheme="majorHAnsi"/>
          <w:b w:val="0"/>
          <w:sz w:val="22"/>
          <w:szCs w:val="22"/>
        </w:rPr>
      </w:pPr>
      <w:r>
        <w:rPr>
          <w:rFonts w:cstheme="majorHAnsi"/>
          <w:b w:val="0"/>
          <w:sz w:val="22"/>
          <w:szCs w:val="22"/>
        </w:rPr>
        <w:t xml:space="preserve">Objednatel </w:t>
      </w:r>
      <w:r w:rsidRPr="008E0E0A">
        <w:rPr>
          <w:rFonts w:cstheme="majorHAnsi"/>
          <w:b w:val="0"/>
          <w:sz w:val="22"/>
          <w:szCs w:val="22"/>
        </w:rPr>
        <w:t xml:space="preserve">se zavazuje po převzetí </w:t>
      </w:r>
      <w:r>
        <w:rPr>
          <w:rFonts w:cstheme="majorHAnsi"/>
          <w:b w:val="0"/>
          <w:sz w:val="22"/>
          <w:szCs w:val="22"/>
        </w:rPr>
        <w:t>sytému jej okamžitě</w:t>
      </w:r>
      <w:r w:rsidRPr="008E0E0A">
        <w:rPr>
          <w:rFonts w:cstheme="majorHAnsi"/>
          <w:b w:val="0"/>
          <w:sz w:val="22"/>
          <w:szCs w:val="22"/>
        </w:rPr>
        <w:t xml:space="preserve"> zkontrolovat</w:t>
      </w:r>
      <w:r>
        <w:rPr>
          <w:rFonts w:cstheme="majorHAnsi"/>
          <w:b w:val="0"/>
          <w:sz w:val="22"/>
          <w:szCs w:val="22"/>
        </w:rPr>
        <w:t xml:space="preserve"> a nejdéle </w:t>
      </w:r>
      <w:r w:rsidRPr="008E0E0A">
        <w:rPr>
          <w:rFonts w:cstheme="majorHAnsi"/>
          <w:b w:val="0"/>
          <w:sz w:val="22"/>
          <w:szCs w:val="22"/>
        </w:rPr>
        <w:t xml:space="preserve">do sedmi (7) dní od převzetí sdělit </w:t>
      </w:r>
      <w:r>
        <w:rPr>
          <w:rFonts w:cstheme="majorHAnsi"/>
          <w:b w:val="0"/>
          <w:sz w:val="22"/>
          <w:szCs w:val="22"/>
        </w:rPr>
        <w:t>GTS</w:t>
      </w:r>
      <w:r w:rsidRPr="008E0E0A">
        <w:rPr>
          <w:rFonts w:cstheme="majorHAnsi"/>
          <w:b w:val="0"/>
          <w:sz w:val="22"/>
          <w:szCs w:val="22"/>
        </w:rPr>
        <w:t xml:space="preserve"> případné výhrady či vady.</w:t>
      </w:r>
      <w:r>
        <w:rPr>
          <w:rFonts w:cstheme="majorHAnsi"/>
          <w:b w:val="0"/>
          <w:sz w:val="22"/>
          <w:szCs w:val="22"/>
        </w:rPr>
        <w:t xml:space="preserve"> V případě, že dojde ke zjištění vad systému a jejich včasnému </w:t>
      </w:r>
      <w:r w:rsidR="003E0CD7">
        <w:rPr>
          <w:rFonts w:cstheme="majorHAnsi"/>
          <w:b w:val="0"/>
          <w:sz w:val="22"/>
          <w:szCs w:val="22"/>
        </w:rPr>
        <w:t xml:space="preserve">prokazatelnému uplatnění u GTS ze strany Objednatele, je Objednatel oprávněn požadovat odstranění vad, které byly uplatněny </w:t>
      </w:r>
      <w:r w:rsidR="00774E2A">
        <w:rPr>
          <w:rFonts w:cstheme="majorHAnsi"/>
          <w:b w:val="0"/>
          <w:sz w:val="22"/>
          <w:szCs w:val="22"/>
        </w:rPr>
        <w:t>oprávněně,</w:t>
      </w:r>
      <w:r w:rsidR="003E0CD7">
        <w:rPr>
          <w:rFonts w:cstheme="majorHAnsi"/>
          <w:b w:val="0"/>
          <w:sz w:val="22"/>
          <w:szCs w:val="22"/>
        </w:rPr>
        <w:t xml:space="preserve"> a to ve lhůtě, kterou sdělí Objednateli GTS.</w:t>
      </w:r>
    </w:p>
    <w:p w14:paraId="04F22765" w14:textId="2EFFA94B" w:rsidR="008E0E0A" w:rsidRPr="003E0CD7" w:rsidRDefault="003E0CD7" w:rsidP="00A721EF">
      <w:pPr>
        <w:pStyle w:val="Nadpis1"/>
        <w:keepNext w:val="0"/>
        <w:keepLines/>
        <w:widowControl w:val="0"/>
        <w:numPr>
          <w:ilvl w:val="1"/>
          <w:numId w:val="11"/>
        </w:numPr>
        <w:spacing w:before="0" w:after="0"/>
        <w:ind w:left="935" w:hanging="510"/>
        <w:jc w:val="both"/>
        <w:rPr>
          <w:rFonts w:cstheme="majorHAnsi"/>
          <w:b w:val="0"/>
          <w:sz w:val="22"/>
          <w:szCs w:val="22"/>
        </w:rPr>
      </w:pPr>
      <w:r>
        <w:rPr>
          <w:rFonts w:cstheme="majorHAnsi"/>
          <w:b w:val="0"/>
          <w:sz w:val="22"/>
          <w:szCs w:val="22"/>
        </w:rPr>
        <w:t>Smluvní strany se tímto vzdávají svého práva na náhradu škody a nemajetkové újmy jakožto závazku</w:t>
      </w:r>
      <w:r w:rsidR="00545F85">
        <w:rPr>
          <w:rFonts w:cstheme="majorHAnsi"/>
          <w:b w:val="0"/>
          <w:sz w:val="22"/>
          <w:szCs w:val="22"/>
        </w:rPr>
        <w:t xml:space="preserve"> vzniklého v důsledku porušení</w:t>
      </w:r>
      <w:r w:rsidR="00D40B32">
        <w:rPr>
          <w:rFonts w:cstheme="majorHAnsi"/>
          <w:b w:val="0"/>
          <w:sz w:val="22"/>
          <w:szCs w:val="22"/>
        </w:rPr>
        <w:t xml:space="preserve"> některé ustanovení</w:t>
      </w:r>
      <w:r>
        <w:rPr>
          <w:rFonts w:cstheme="majorHAnsi"/>
          <w:b w:val="0"/>
          <w:sz w:val="22"/>
          <w:szCs w:val="22"/>
        </w:rPr>
        <w:t> této smlouvy vůči druhé smluvní straně</w:t>
      </w:r>
      <w:r w:rsidR="00545F85">
        <w:rPr>
          <w:rFonts w:cstheme="majorHAnsi"/>
          <w:b w:val="0"/>
          <w:sz w:val="22"/>
          <w:szCs w:val="22"/>
        </w:rPr>
        <w:t xml:space="preserve">, s výjimkou </w:t>
      </w:r>
      <w:r w:rsidR="00304C86">
        <w:rPr>
          <w:rFonts w:cstheme="majorHAnsi"/>
          <w:b w:val="0"/>
          <w:sz w:val="22"/>
          <w:szCs w:val="22"/>
        </w:rPr>
        <w:t>případů, kdy to zákon výslovně vylučuje</w:t>
      </w:r>
      <w:r>
        <w:rPr>
          <w:rFonts w:cstheme="majorHAnsi"/>
          <w:b w:val="0"/>
          <w:sz w:val="22"/>
          <w:szCs w:val="22"/>
        </w:rPr>
        <w:t>.</w:t>
      </w:r>
    </w:p>
    <w:p w14:paraId="67A30B64" w14:textId="77777777" w:rsidR="00391AA9" w:rsidRPr="00D4655D" w:rsidRDefault="001A17BF" w:rsidP="00180C24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Cenové podmínky</w:t>
      </w:r>
    </w:p>
    <w:p w14:paraId="1C9D5AA6" w14:textId="6FA2D583" w:rsidR="00D4655D" w:rsidRDefault="00EC0DAE" w:rsidP="00A721EF">
      <w:pPr>
        <w:pStyle w:val="Nadpis2"/>
        <w:keepNext w:val="0"/>
        <w:widowControl w:val="0"/>
        <w:numPr>
          <w:ilvl w:val="1"/>
          <w:numId w:val="11"/>
        </w:numPr>
        <w:ind w:left="935" w:hanging="510"/>
        <w:jc w:val="both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Celková</w:t>
      </w:r>
      <w:r w:rsidR="00D4655D" w:rsidRPr="00D4655D">
        <w:rPr>
          <w:rFonts w:cstheme="majorHAnsi"/>
          <w:sz w:val="22"/>
          <w:szCs w:val="22"/>
        </w:rPr>
        <w:t xml:space="preserve"> předpokládaná</w:t>
      </w:r>
      <w:r w:rsidRPr="00D4655D">
        <w:rPr>
          <w:rFonts w:cstheme="majorHAnsi"/>
          <w:sz w:val="22"/>
          <w:szCs w:val="22"/>
        </w:rPr>
        <w:t xml:space="preserve"> cena </w:t>
      </w:r>
      <w:r w:rsidR="00896A74">
        <w:rPr>
          <w:rFonts w:cstheme="majorHAnsi"/>
          <w:sz w:val="22"/>
          <w:szCs w:val="22"/>
        </w:rPr>
        <w:t>celého díla, tedy</w:t>
      </w:r>
      <w:r w:rsidR="00646D8C" w:rsidRPr="00D4655D">
        <w:rPr>
          <w:rFonts w:cstheme="majorHAnsi"/>
          <w:sz w:val="22"/>
          <w:szCs w:val="22"/>
        </w:rPr>
        <w:t xml:space="preserve"> systému </w:t>
      </w:r>
      <w:r w:rsidRPr="00D4655D">
        <w:rPr>
          <w:rFonts w:cstheme="majorHAnsi"/>
          <w:sz w:val="22"/>
          <w:szCs w:val="22"/>
        </w:rPr>
        <w:t>činí:</w:t>
      </w:r>
      <w:r w:rsidR="006C4F2B">
        <w:rPr>
          <w:rFonts w:cstheme="majorHAnsi"/>
          <w:sz w:val="22"/>
          <w:szCs w:val="22"/>
        </w:rPr>
        <w:t xml:space="preserve"> </w:t>
      </w:r>
      <w:r w:rsidR="006C4F2B" w:rsidRPr="00D36D75">
        <w:rPr>
          <w:rFonts w:cstheme="majorHAnsi"/>
          <w:sz w:val="22"/>
          <w:szCs w:val="22"/>
        </w:rPr>
        <w:t>82 600,</w:t>
      </w:r>
      <w:r w:rsidRPr="00D36D75">
        <w:rPr>
          <w:rFonts w:cstheme="majorHAnsi"/>
          <w:sz w:val="22"/>
          <w:szCs w:val="22"/>
        </w:rPr>
        <w:t>- Kč bez DPH, tj.</w:t>
      </w:r>
      <w:r w:rsidR="006C4F2B" w:rsidRPr="00D36D75">
        <w:rPr>
          <w:rFonts w:cstheme="majorHAnsi"/>
          <w:sz w:val="22"/>
          <w:szCs w:val="22"/>
        </w:rPr>
        <w:t xml:space="preserve"> 99 946</w:t>
      </w:r>
      <w:r w:rsidRPr="00D36D75">
        <w:rPr>
          <w:rFonts w:cstheme="majorHAnsi"/>
          <w:sz w:val="22"/>
          <w:szCs w:val="22"/>
        </w:rPr>
        <w:t>,- Kč s</w:t>
      </w:r>
      <w:r w:rsidR="0063782D" w:rsidRPr="00D36D75">
        <w:rPr>
          <w:rFonts w:cstheme="majorHAnsi"/>
          <w:sz w:val="22"/>
          <w:szCs w:val="22"/>
        </w:rPr>
        <w:t> </w:t>
      </w:r>
      <w:r w:rsidRPr="00D36D75">
        <w:rPr>
          <w:rFonts w:cstheme="majorHAnsi"/>
          <w:sz w:val="22"/>
          <w:szCs w:val="22"/>
        </w:rPr>
        <w:t>DPH</w:t>
      </w:r>
      <w:r w:rsidR="0063782D" w:rsidRPr="00D36D75">
        <w:rPr>
          <w:rFonts w:cstheme="majorHAnsi"/>
          <w:sz w:val="22"/>
          <w:szCs w:val="22"/>
        </w:rPr>
        <w:t xml:space="preserve"> (dále jen „cena systému“)</w:t>
      </w:r>
      <w:r w:rsidRPr="0063782D">
        <w:rPr>
          <w:rFonts w:cstheme="majorHAnsi"/>
          <w:sz w:val="22"/>
          <w:szCs w:val="22"/>
        </w:rPr>
        <w:t>.</w:t>
      </w:r>
      <w:r w:rsidR="00D4655D" w:rsidRPr="00D4655D">
        <w:rPr>
          <w:rFonts w:cstheme="majorHAnsi"/>
          <w:sz w:val="22"/>
          <w:szCs w:val="22"/>
        </w:rPr>
        <w:t xml:space="preserve"> </w:t>
      </w:r>
    </w:p>
    <w:p w14:paraId="5FAE96AF" w14:textId="07F15959" w:rsidR="0063782D" w:rsidRDefault="00D4655D" w:rsidP="00A721EF">
      <w:pPr>
        <w:pStyle w:val="Nadpis2"/>
        <w:keepNext w:val="0"/>
        <w:widowControl w:val="0"/>
        <w:numPr>
          <w:ilvl w:val="1"/>
          <w:numId w:val="11"/>
        </w:numPr>
        <w:ind w:left="935" w:hanging="510"/>
        <w:jc w:val="both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Předpokládaná cena</w:t>
      </w:r>
      <w:r w:rsidR="0063782D">
        <w:rPr>
          <w:rFonts w:cstheme="majorHAnsi"/>
          <w:sz w:val="22"/>
          <w:szCs w:val="22"/>
        </w:rPr>
        <w:t xml:space="preserve"> systému</w:t>
      </w:r>
      <w:r w:rsidRPr="00D4655D">
        <w:rPr>
          <w:rFonts w:cstheme="majorHAnsi"/>
          <w:sz w:val="22"/>
          <w:szCs w:val="22"/>
        </w:rPr>
        <w:t xml:space="preserve"> může být upravena dle skutečností, které vyvstanou</w:t>
      </w:r>
      <w:r w:rsidR="00D40B32">
        <w:rPr>
          <w:rFonts w:cstheme="majorHAnsi"/>
          <w:sz w:val="22"/>
          <w:szCs w:val="22"/>
        </w:rPr>
        <w:t xml:space="preserve"> nebo budou zjištěny</w:t>
      </w:r>
      <w:r w:rsidRPr="00D4655D">
        <w:rPr>
          <w:rFonts w:cstheme="majorHAnsi"/>
          <w:sz w:val="22"/>
          <w:szCs w:val="22"/>
        </w:rPr>
        <w:t xml:space="preserve"> při instalaci, úprava však vždy musí být odsouhlasena oběma stranami. </w:t>
      </w:r>
      <w:r>
        <w:rPr>
          <w:rFonts w:cstheme="majorHAnsi"/>
          <w:sz w:val="22"/>
          <w:szCs w:val="22"/>
        </w:rPr>
        <w:t>V případě, že je úprava předpokládané ceny vyšší než 15</w:t>
      </w:r>
      <w:r w:rsidR="00E77C94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 xml:space="preserve">% </w:t>
      </w:r>
      <w:r w:rsidR="006146B4">
        <w:rPr>
          <w:rFonts w:cstheme="majorHAnsi"/>
          <w:sz w:val="22"/>
          <w:szCs w:val="22"/>
        </w:rPr>
        <w:t xml:space="preserve">předpokládané ceny, bude o této skutečnosti sepsán dodatek. </w:t>
      </w:r>
    </w:p>
    <w:p w14:paraId="028E843E" w14:textId="50A3BF54" w:rsidR="00896A74" w:rsidRPr="00896A74" w:rsidRDefault="0063782D" w:rsidP="00A721EF">
      <w:pPr>
        <w:pStyle w:val="Nadpis2"/>
        <w:keepNext w:val="0"/>
        <w:widowControl w:val="0"/>
        <w:numPr>
          <w:ilvl w:val="1"/>
          <w:numId w:val="11"/>
        </w:numPr>
        <w:ind w:left="935" w:hanging="51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Jakékoliv další požadované služby, dílo či jiné plnění nad rámec výslovně uvedený v této smlouvy, bude GTS účtovat plnění nad rámec sjednané ceny systému dle aktuálního ceníku. Platební podmínky se řídí článkem 5.</w:t>
      </w:r>
    </w:p>
    <w:p w14:paraId="0A053990" w14:textId="7C447808" w:rsidR="009D4BB5" w:rsidRPr="00D4655D" w:rsidRDefault="00F72253" w:rsidP="009D4BB5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Platební podmínky</w:t>
      </w:r>
      <w:r w:rsidR="00D40B32">
        <w:rPr>
          <w:rFonts w:cstheme="majorHAnsi"/>
          <w:sz w:val="22"/>
          <w:szCs w:val="22"/>
        </w:rPr>
        <w:t>,</w:t>
      </w:r>
      <w:r w:rsidR="00D315B6">
        <w:rPr>
          <w:rFonts w:cstheme="majorHAnsi"/>
          <w:sz w:val="22"/>
          <w:szCs w:val="22"/>
        </w:rPr>
        <w:t xml:space="preserve"> licence</w:t>
      </w:r>
      <w:r w:rsidR="00D40B32">
        <w:rPr>
          <w:rFonts w:cstheme="majorHAnsi"/>
          <w:sz w:val="22"/>
          <w:szCs w:val="22"/>
        </w:rPr>
        <w:t xml:space="preserve"> a převod vlastnického práva</w:t>
      </w:r>
    </w:p>
    <w:p w14:paraId="057DFFA4" w14:textId="5CC6E30D" w:rsidR="007D434E" w:rsidRPr="00D4655D" w:rsidRDefault="0063782D" w:rsidP="008630D4">
      <w:pPr>
        <w:pStyle w:val="Nadpis2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Cena systému</w:t>
      </w:r>
      <w:r w:rsidRPr="00D4655D">
        <w:rPr>
          <w:rFonts w:cstheme="majorHAnsi"/>
          <w:sz w:val="22"/>
          <w:szCs w:val="22"/>
        </w:rPr>
        <w:t xml:space="preserve"> </w:t>
      </w:r>
      <w:r w:rsidR="007D434E" w:rsidRPr="00D4655D">
        <w:rPr>
          <w:rFonts w:cstheme="majorHAnsi"/>
          <w:sz w:val="22"/>
          <w:szCs w:val="22"/>
        </w:rPr>
        <w:t xml:space="preserve">bude </w:t>
      </w:r>
      <w:r w:rsidR="00795FEF" w:rsidRPr="00D4655D">
        <w:rPr>
          <w:rFonts w:cstheme="majorHAnsi"/>
          <w:sz w:val="22"/>
          <w:szCs w:val="22"/>
        </w:rPr>
        <w:t>O</w:t>
      </w:r>
      <w:r w:rsidR="007D434E" w:rsidRPr="00D4655D">
        <w:rPr>
          <w:rFonts w:cstheme="majorHAnsi"/>
          <w:sz w:val="22"/>
          <w:szCs w:val="22"/>
        </w:rPr>
        <w:t>bjednatelem uhrazen</w:t>
      </w:r>
      <w:r>
        <w:rPr>
          <w:rFonts w:cstheme="majorHAnsi"/>
          <w:sz w:val="22"/>
          <w:szCs w:val="22"/>
        </w:rPr>
        <w:t>a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="007D434E" w:rsidRPr="00D4655D">
        <w:rPr>
          <w:rFonts w:cstheme="majorHAnsi"/>
          <w:sz w:val="22"/>
          <w:szCs w:val="22"/>
        </w:rPr>
        <w:t>na zák</w:t>
      </w:r>
      <w:r w:rsidR="005F2876" w:rsidRPr="00D4655D">
        <w:rPr>
          <w:rFonts w:cstheme="majorHAnsi"/>
          <w:sz w:val="22"/>
          <w:szCs w:val="22"/>
        </w:rPr>
        <w:t>ladě daňov</w:t>
      </w:r>
      <w:r w:rsidR="00646D8C" w:rsidRPr="00D4655D">
        <w:rPr>
          <w:rFonts w:cstheme="majorHAnsi"/>
          <w:sz w:val="22"/>
          <w:szCs w:val="22"/>
        </w:rPr>
        <w:t>ého</w:t>
      </w:r>
      <w:r w:rsidR="007D434E" w:rsidRPr="00D4655D">
        <w:rPr>
          <w:rFonts w:cstheme="majorHAnsi"/>
          <w:sz w:val="22"/>
          <w:szCs w:val="22"/>
        </w:rPr>
        <w:t xml:space="preserve"> doklad</w:t>
      </w:r>
      <w:r w:rsidR="00646D8C" w:rsidRPr="00D4655D">
        <w:rPr>
          <w:rFonts w:cstheme="majorHAnsi"/>
          <w:sz w:val="22"/>
          <w:szCs w:val="22"/>
        </w:rPr>
        <w:t>u</w:t>
      </w:r>
      <w:r w:rsidR="007D434E" w:rsidRPr="00D4655D">
        <w:rPr>
          <w:rFonts w:cstheme="majorHAnsi"/>
          <w:sz w:val="22"/>
          <w:szCs w:val="22"/>
        </w:rPr>
        <w:t xml:space="preserve"> – faktur</w:t>
      </w:r>
      <w:r w:rsidR="00646D8C" w:rsidRPr="00D4655D">
        <w:rPr>
          <w:rFonts w:cstheme="majorHAnsi"/>
          <w:sz w:val="22"/>
          <w:szCs w:val="22"/>
        </w:rPr>
        <w:t>y</w:t>
      </w:r>
      <w:r w:rsidR="007D434E" w:rsidRPr="00D4655D">
        <w:rPr>
          <w:rFonts w:cstheme="majorHAnsi"/>
          <w:sz w:val="22"/>
          <w:szCs w:val="22"/>
        </w:rPr>
        <w:t xml:space="preserve"> vystaven</w:t>
      </w:r>
      <w:r w:rsidR="00646D8C" w:rsidRPr="00D4655D">
        <w:rPr>
          <w:rFonts w:cstheme="majorHAnsi"/>
          <w:sz w:val="22"/>
          <w:szCs w:val="22"/>
        </w:rPr>
        <w:t>é</w:t>
      </w:r>
      <w:r w:rsidR="00C14EBD" w:rsidRPr="00D4655D">
        <w:rPr>
          <w:rFonts w:cstheme="majorHAnsi"/>
          <w:sz w:val="22"/>
          <w:szCs w:val="22"/>
        </w:rPr>
        <w:t xml:space="preserve"> </w:t>
      </w:r>
      <w:r w:rsidR="009D4BB5" w:rsidRPr="00D4655D">
        <w:rPr>
          <w:rFonts w:cstheme="majorHAnsi"/>
          <w:sz w:val="22"/>
          <w:szCs w:val="22"/>
        </w:rPr>
        <w:t>GTS</w:t>
      </w:r>
      <w:r w:rsidR="00C14EBD" w:rsidRPr="00D4655D">
        <w:rPr>
          <w:rFonts w:cstheme="majorHAnsi"/>
          <w:sz w:val="22"/>
          <w:szCs w:val="22"/>
        </w:rPr>
        <w:t>.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="004978AA" w:rsidRPr="00D4655D">
        <w:rPr>
          <w:rFonts w:cstheme="majorHAnsi"/>
          <w:sz w:val="22"/>
          <w:szCs w:val="22"/>
        </w:rPr>
        <w:t>Sp</w:t>
      </w:r>
      <w:r w:rsidR="007D434E" w:rsidRPr="00D4655D">
        <w:rPr>
          <w:rFonts w:cstheme="majorHAnsi"/>
          <w:sz w:val="22"/>
          <w:szCs w:val="22"/>
        </w:rPr>
        <w:t>latnost faktur</w:t>
      </w:r>
      <w:r w:rsidR="00646D8C" w:rsidRPr="00D4655D">
        <w:rPr>
          <w:rFonts w:cstheme="majorHAnsi"/>
          <w:sz w:val="22"/>
          <w:szCs w:val="22"/>
        </w:rPr>
        <w:t>y</w:t>
      </w:r>
      <w:r w:rsidR="0016425F" w:rsidRPr="00D4655D">
        <w:rPr>
          <w:rFonts w:cstheme="majorHAnsi"/>
          <w:sz w:val="22"/>
          <w:szCs w:val="22"/>
        </w:rPr>
        <w:t xml:space="preserve"> bude 14</w:t>
      </w:r>
      <w:r w:rsidR="003378C6" w:rsidRPr="00D4655D">
        <w:rPr>
          <w:rFonts w:cstheme="majorHAnsi"/>
          <w:sz w:val="22"/>
          <w:szCs w:val="22"/>
        </w:rPr>
        <w:t xml:space="preserve"> dn</w:t>
      </w:r>
      <w:r w:rsidR="00B27B9D" w:rsidRPr="00D4655D">
        <w:rPr>
          <w:rFonts w:cstheme="majorHAnsi"/>
          <w:sz w:val="22"/>
          <w:szCs w:val="22"/>
        </w:rPr>
        <w:t>í</w:t>
      </w:r>
      <w:r w:rsidR="003378C6" w:rsidRPr="00D4655D">
        <w:rPr>
          <w:rFonts w:cstheme="majorHAnsi"/>
          <w:sz w:val="22"/>
          <w:szCs w:val="22"/>
        </w:rPr>
        <w:t xml:space="preserve"> od </w:t>
      </w:r>
      <w:r w:rsidR="00E037E4">
        <w:rPr>
          <w:rFonts w:cstheme="majorHAnsi"/>
          <w:sz w:val="22"/>
          <w:szCs w:val="22"/>
        </w:rPr>
        <w:t xml:space="preserve">provedení vyúčtování </w:t>
      </w:r>
      <w:r w:rsidR="00795FEF" w:rsidRPr="00D4655D">
        <w:rPr>
          <w:rFonts w:cstheme="majorHAnsi"/>
          <w:sz w:val="22"/>
          <w:szCs w:val="22"/>
        </w:rPr>
        <w:t>Objednateli.</w:t>
      </w:r>
    </w:p>
    <w:p w14:paraId="4DC4DE24" w14:textId="515D23E4" w:rsidR="009D4BB5" w:rsidRPr="00D4655D" w:rsidRDefault="00D315B6" w:rsidP="008630D4">
      <w:pPr>
        <w:pStyle w:val="Nadpis1"/>
        <w:numPr>
          <w:ilvl w:val="1"/>
          <w:numId w:val="11"/>
        </w:numPr>
        <w:spacing w:before="0"/>
        <w:ind w:left="935" w:hanging="510"/>
        <w:jc w:val="both"/>
        <w:rPr>
          <w:rFonts w:cstheme="majorHAnsi"/>
          <w:b w:val="0"/>
          <w:sz w:val="22"/>
          <w:szCs w:val="22"/>
        </w:rPr>
      </w:pPr>
      <w:r>
        <w:rPr>
          <w:rFonts w:cstheme="majorHAnsi"/>
          <w:b w:val="0"/>
          <w:sz w:val="22"/>
          <w:szCs w:val="22"/>
        </w:rPr>
        <w:t>Okamžikem úplného uhrazení faktury získává Objednatel časově neomezenou nevýhradní licenci k užívání přístupového systému (ve verzi, která byla dodána po uzavření této smlouvy), a to k účelům vyplývajícím z této smlouvy</w:t>
      </w:r>
      <w:r w:rsidR="00201002" w:rsidRPr="00D4655D">
        <w:rPr>
          <w:rFonts w:cstheme="majorHAnsi"/>
          <w:b w:val="0"/>
          <w:sz w:val="22"/>
          <w:szCs w:val="22"/>
        </w:rPr>
        <w:t>.</w:t>
      </w:r>
      <w:r>
        <w:rPr>
          <w:rFonts w:cstheme="majorHAnsi"/>
          <w:b w:val="0"/>
          <w:sz w:val="22"/>
          <w:szCs w:val="22"/>
        </w:rPr>
        <w:t xml:space="preserve"> Odměna za tuto licenci je již zahrnuta do ceny systému dle čl. 4</w:t>
      </w:r>
      <w:r w:rsidR="00774E2A">
        <w:rPr>
          <w:rFonts w:cstheme="majorHAnsi"/>
          <w:b w:val="0"/>
          <w:sz w:val="22"/>
          <w:szCs w:val="22"/>
        </w:rPr>
        <w:t>.</w:t>
      </w:r>
      <w:r w:rsidR="00450729">
        <w:rPr>
          <w:rFonts w:cstheme="majorHAnsi"/>
          <w:b w:val="0"/>
          <w:sz w:val="22"/>
          <w:szCs w:val="22"/>
        </w:rPr>
        <w:t xml:space="preserve"> Okamžikem úplného uhrazení faktury rovněž na Objednatele přechází vlastnické právo ke všem věcem dodaným ze strany GTS na základě této smlouvy.</w:t>
      </w:r>
    </w:p>
    <w:p w14:paraId="2EF2E340" w14:textId="77777777" w:rsidR="00F72253" w:rsidRPr="00D4655D" w:rsidRDefault="00F72253" w:rsidP="000D4804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Ostatní ujednání</w:t>
      </w:r>
    </w:p>
    <w:p w14:paraId="3704EDA2" w14:textId="69BDC9C2" w:rsidR="001D6D7A" w:rsidRPr="00D4655D" w:rsidRDefault="000D4804" w:rsidP="00A721EF">
      <w:pPr>
        <w:pStyle w:val="Nadpis2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GTS</w:t>
      </w:r>
      <w:r w:rsidR="001D6D7A" w:rsidRPr="00D4655D">
        <w:rPr>
          <w:rFonts w:cstheme="majorHAnsi"/>
          <w:sz w:val="22"/>
          <w:szCs w:val="22"/>
        </w:rPr>
        <w:t xml:space="preserve"> souhlasí s uveřejněním smlouvy v Registru smluv</w:t>
      </w:r>
      <w:r w:rsidR="00644EEF">
        <w:rPr>
          <w:rFonts w:cstheme="majorHAnsi"/>
          <w:sz w:val="22"/>
          <w:szCs w:val="22"/>
        </w:rPr>
        <w:t xml:space="preserve"> Objednatelem, avšak pod podmínkou, že ustanovení označená v </w:t>
      </w:r>
      <w:r w:rsidR="00644EEF" w:rsidRPr="00644EEF">
        <w:rPr>
          <w:rFonts w:cstheme="majorHAnsi"/>
          <w:sz w:val="22"/>
          <w:szCs w:val="22"/>
        </w:rPr>
        <w:t xml:space="preserve">této smlouvě žlutou barvou budou na základě ust. § 3 odst. 1 zák. č. 340/2015 Sb., o registru smluv, ve spojení s ust. § 8a a § 9 odst. 1 zákona č. 106/1999 Sb., o svobodném přístupu k informacím v registru smluv učiněna nečitelnými, neboť se jedná </w:t>
      </w:r>
      <w:r w:rsidR="00D40B32">
        <w:rPr>
          <w:rFonts w:cstheme="majorHAnsi"/>
          <w:sz w:val="22"/>
          <w:szCs w:val="22"/>
        </w:rPr>
        <w:t xml:space="preserve">o </w:t>
      </w:r>
      <w:r w:rsidR="00644EEF" w:rsidRPr="00644EEF">
        <w:rPr>
          <w:rFonts w:cstheme="majorHAnsi"/>
          <w:sz w:val="22"/>
          <w:szCs w:val="22"/>
        </w:rPr>
        <w:t>obchodní tajemství ve smyslu ust.</w:t>
      </w:r>
      <w:r w:rsidR="00644EEF">
        <w:rPr>
          <w:rFonts w:cstheme="majorHAnsi"/>
          <w:sz w:val="22"/>
          <w:szCs w:val="22"/>
        </w:rPr>
        <w:t xml:space="preserve"> § 504 zákona č. 89/2012 Sb., občanský zákoník, nebo o chráněné osobní údaje ve smyslu Obecného nařízení o ochraně osobních údajů (GDPR)</w:t>
      </w:r>
      <w:r w:rsidR="001D6D7A" w:rsidRPr="00D4655D">
        <w:rPr>
          <w:rFonts w:cstheme="majorHAnsi"/>
          <w:sz w:val="22"/>
          <w:szCs w:val="22"/>
        </w:rPr>
        <w:t>.</w:t>
      </w:r>
    </w:p>
    <w:p w14:paraId="248B5DD8" w14:textId="77777777" w:rsidR="00F72253" w:rsidRPr="00D4655D" w:rsidRDefault="00F72253" w:rsidP="00A721EF">
      <w:pPr>
        <w:pStyle w:val="Nadpis2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Pokud nebylo v této smlouvě ujednáno jinak, řídí se pr</w:t>
      </w:r>
      <w:r w:rsidR="008E0D40" w:rsidRPr="00D4655D">
        <w:rPr>
          <w:rFonts w:cstheme="majorHAnsi"/>
          <w:sz w:val="22"/>
          <w:szCs w:val="22"/>
        </w:rPr>
        <w:t xml:space="preserve">ávní vztahy </w:t>
      </w:r>
      <w:r w:rsidR="00B52FC8" w:rsidRPr="00D4655D">
        <w:rPr>
          <w:rFonts w:cstheme="majorHAnsi"/>
          <w:sz w:val="22"/>
          <w:szCs w:val="22"/>
        </w:rPr>
        <w:t xml:space="preserve">občanským </w:t>
      </w:r>
      <w:r w:rsidR="008E0D40" w:rsidRPr="00D4655D">
        <w:rPr>
          <w:rFonts w:cstheme="majorHAnsi"/>
          <w:sz w:val="22"/>
          <w:szCs w:val="22"/>
        </w:rPr>
        <w:t>zákoníkem. </w:t>
      </w:r>
      <w:r w:rsidRPr="00D4655D">
        <w:rPr>
          <w:rFonts w:cstheme="majorHAnsi"/>
          <w:sz w:val="22"/>
          <w:szCs w:val="22"/>
        </w:rPr>
        <w:t>Všechny případné změny a doplňky musí mít písemnou formu a budou řešeny dodatkem této smlouvy.</w:t>
      </w:r>
    </w:p>
    <w:p w14:paraId="119BEB0F" w14:textId="77777777" w:rsidR="00F72253" w:rsidRPr="00D4655D" w:rsidRDefault="002C5845" w:rsidP="00A721EF">
      <w:pPr>
        <w:pStyle w:val="Nadpis2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Smlouva nabývá účinnosti</w:t>
      </w:r>
      <w:r w:rsidR="00F72253" w:rsidRPr="00D4655D">
        <w:rPr>
          <w:rFonts w:cstheme="majorHAnsi"/>
          <w:sz w:val="22"/>
          <w:szCs w:val="22"/>
        </w:rPr>
        <w:t xml:space="preserve"> dnem podpisu.</w:t>
      </w:r>
    </w:p>
    <w:p w14:paraId="25954BC8" w14:textId="2E7F06E0" w:rsidR="00AC0CD2" w:rsidRDefault="00F72253" w:rsidP="00A721EF">
      <w:pPr>
        <w:pStyle w:val="Nadpis2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Smlouva má </w:t>
      </w:r>
      <w:r w:rsidR="0016425F" w:rsidRPr="00D4655D">
        <w:rPr>
          <w:rFonts w:cstheme="majorHAnsi"/>
          <w:sz w:val="22"/>
          <w:szCs w:val="22"/>
        </w:rPr>
        <w:t>dvě</w:t>
      </w:r>
      <w:r w:rsidR="004D684D" w:rsidRPr="00D4655D">
        <w:rPr>
          <w:rFonts w:cstheme="majorHAnsi"/>
          <w:sz w:val="22"/>
          <w:szCs w:val="22"/>
        </w:rPr>
        <w:t xml:space="preserve"> </w:t>
      </w:r>
      <w:r w:rsidR="009E4BE8" w:rsidRPr="00D4655D">
        <w:rPr>
          <w:rFonts w:cstheme="majorHAnsi"/>
          <w:sz w:val="22"/>
          <w:szCs w:val="22"/>
        </w:rPr>
        <w:t>stran</w:t>
      </w:r>
      <w:r w:rsidR="00F11FB6" w:rsidRPr="00D4655D">
        <w:rPr>
          <w:rFonts w:cstheme="majorHAnsi"/>
          <w:sz w:val="22"/>
          <w:szCs w:val="22"/>
        </w:rPr>
        <w:t>y</w:t>
      </w:r>
      <w:r w:rsidR="002577B3" w:rsidRPr="00D4655D">
        <w:rPr>
          <w:rFonts w:cstheme="majorHAnsi"/>
          <w:sz w:val="22"/>
          <w:szCs w:val="22"/>
        </w:rPr>
        <w:t xml:space="preserve"> a </w:t>
      </w:r>
      <w:r w:rsidR="00C867A5" w:rsidRPr="00D4655D">
        <w:rPr>
          <w:rFonts w:cstheme="majorHAnsi"/>
          <w:sz w:val="22"/>
          <w:szCs w:val="22"/>
        </w:rPr>
        <w:t>j</w:t>
      </w:r>
      <w:r w:rsidRPr="00D4655D">
        <w:rPr>
          <w:rFonts w:cstheme="majorHAnsi"/>
          <w:sz w:val="22"/>
          <w:szCs w:val="22"/>
        </w:rPr>
        <w:t xml:space="preserve">e vyhotovena ve </w:t>
      </w:r>
      <w:r w:rsidR="005A293E" w:rsidRPr="00D4655D">
        <w:rPr>
          <w:rFonts w:cstheme="majorHAnsi"/>
          <w:sz w:val="22"/>
          <w:szCs w:val="22"/>
        </w:rPr>
        <w:t>dvou</w:t>
      </w:r>
      <w:r w:rsidRPr="00D4655D">
        <w:rPr>
          <w:rFonts w:cstheme="majorHAnsi"/>
          <w:sz w:val="22"/>
          <w:szCs w:val="22"/>
        </w:rPr>
        <w:t xml:space="preserve"> stejnopisech. </w:t>
      </w:r>
    </w:p>
    <w:p w14:paraId="08609B29" w14:textId="77777777" w:rsidR="00896A74" w:rsidRDefault="00896A74" w:rsidP="00A721EF">
      <w:pPr>
        <w:pStyle w:val="Nadpis2"/>
        <w:numPr>
          <w:ilvl w:val="1"/>
          <w:numId w:val="11"/>
        </w:numPr>
        <w:spacing w:after="120"/>
        <w:ind w:left="935" w:hanging="510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Nedílnou součástí smlouvy jsou následující přílohy:</w:t>
      </w:r>
    </w:p>
    <w:p w14:paraId="4AA6B6F0" w14:textId="1F2CC762" w:rsidR="00896A74" w:rsidRDefault="00896A74" w:rsidP="00A721EF">
      <w:pPr>
        <w:pStyle w:val="Odstavecseseznamem"/>
        <w:numPr>
          <w:ilvl w:val="0"/>
          <w:numId w:val="15"/>
        </w:numPr>
        <w:jc w:val="both"/>
      </w:pPr>
      <w:r>
        <w:t>Příloha č. 1 – specifikace systému včetně komponentů</w:t>
      </w:r>
    </w:p>
    <w:p w14:paraId="7C0B9725" w14:textId="7E143E4E" w:rsidR="00896A74" w:rsidRPr="00896A74" w:rsidRDefault="00896A74" w:rsidP="00A721EF">
      <w:pPr>
        <w:pStyle w:val="Odstavecseseznamem"/>
        <w:numPr>
          <w:ilvl w:val="0"/>
          <w:numId w:val="15"/>
        </w:numPr>
        <w:jc w:val="both"/>
      </w:pPr>
      <w:r>
        <w:t>Příloha č. 2 – Smlouva o zpracování osobních údajů mezi Objednatelem a subdodavatelem</w:t>
      </w:r>
    </w:p>
    <w:p w14:paraId="6B890D5F" w14:textId="77777777" w:rsidR="00F72253" w:rsidRPr="00D4655D" w:rsidRDefault="005A293E" w:rsidP="00A721EF">
      <w:pPr>
        <w:pStyle w:val="Nadpis2"/>
        <w:numPr>
          <w:ilvl w:val="1"/>
          <w:numId w:val="11"/>
        </w:numPr>
        <w:ind w:left="935" w:hanging="510"/>
        <w:jc w:val="both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Jeden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463DC" w:rsidRPr="00D4655D">
        <w:rPr>
          <w:rFonts w:cstheme="majorHAnsi"/>
          <w:sz w:val="22"/>
          <w:szCs w:val="22"/>
        </w:rPr>
        <w:t xml:space="preserve">stejnopis </w:t>
      </w:r>
      <w:r w:rsidR="00F72253" w:rsidRPr="00D4655D">
        <w:rPr>
          <w:rFonts w:cstheme="majorHAnsi"/>
          <w:sz w:val="22"/>
          <w:szCs w:val="22"/>
        </w:rPr>
        <w:t xml:space="preserve">obdrží </w:t>
      </w:r>
      <w:r w:rsidR="000D4804"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a jeden </w:t>
      </w:r>
      <w:r w:rsidR="000D4804" w:rsidRPr="00D4655D">
        <w:rPr>
          <w:rFonts w:cstheme="majorHAnsi"/>
          <w:sz w:val="22"/>
          <w:szCs w:val="22"/>
        </w:rPr>
        <w:t>Objednatel</w:t>
      </w:r>
      <w:r w:rsidR="00F72253" w:rsidRPr="00D4655D">
        <w:rPr>
          <w:rFonts w:cstheme="majorHAnsi"/>
          <w:sz w:val="22"/>
          <w:szCs w:val="22"/>
        </w:rPr>
        <w:t>.</w:t>
      </w:r>
    </w:p>
    <w:p w14:paraId="03D2EDED" w14:textId="6DE69CA4" w:rsidR="00F72253" w:rsidRPr="00D4655D" w:rsidRDefault="00177BF0" w:rsidP="00177BF0">
      <w:pPr>
        <w:widowControl w:val="0"/>
        <w:spacing w:before="720"/>
        <w:ind w:firstLine="0"/>
        <w:contextualSpacing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             </w:t>
      </w:r>
      <w:r w:rsidR="00F72253" w:rsidRPr="00D4655D">
        <w:rPr>
          <w:rFonts w:cstheme="majorHAnsi"/>
          <w:sz w:val="22"/>
          <w:szCs w:val="22"/>
        </w:rPr>
        <w:t>V</w:t>
      </w:r>
      <w:r w:rsidR="00980DC7" w:rsidRPr="00D4655D">
        <w:rPr>
          <w:rFonts w:cstheme="majorHAnsi"/>
          <w:sz w:val="22"/>
          <w:szCs w:val="22"/>
        </w:rPr>
        <w:t> </w:t>
      </w:r>
      <w:r w:rsidR="001463DC" w:rsidRPr="00D4655D">
        <w:rPr>
          <w:rFonts w:cstheme="majorHAnsi"/>
          <w:sz w:val="22"/>
          <w:szCs w:val="22"/>
        </w:rPr>
        <w:t>Praze</w:t>
      </w:r>
      <w:r w:rsidR="00980DC7"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dne</w:t>
      </w:r>
      <w:r w:rsidR="00EE658C" w:rsidRPr="00D4655D">
        <w:rPr>
          <w:rFonts w:cstheme="majorHAnsi"/>
          <w:sz w:val="22"/>
          <w:szCs w:val="22"/>
        </w:rPr>
        <w:t xml:space="preserve"> ………………….</w:t>
      </w:r>
      <w:r w:rsidR="00DB02AA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>
        <w:rPr>
          <w:rFonts w:cstheme="majorHAnsi"/>
          <w:sz w:val="22"/>
          <w:szCs w:val="22"/>
        </w:rPr>
        <w:t xml:space="preserve">      </w:t>
      </w:r>
      <w:r w:rsidR="001463DC" w:rsidRPr="00D4655D">
        <w:rPr>
          <w:rFonts w:cstheme="majorHAnsi"/>
          <w:sz w:val="22"/>
          <w:szCs w:val="22"/>
        </w:rPr>
        <w:t>V</w:t>
      </w:r>
      <w:r w:rsidR="00717EE5">
        <w:rPr>
          <w:rFonts w:cstheme="majorHAnsi"/>
          <w:sz w:val="22"/>
          <w:szCs w:val="22"/>
        </w:rPr>
        <w:t xml:space="preserve"> Ostrově   </w:t>
      </w:r>
      <w:r w:rsidR="001463DC" w:rsidRPr="00D4655D">
        <w:rPr>
          <w:rFonts w:cstheme="majorHAnsi"/>
          <w:sz w:val="22"/>
          <w:szCs w:val="22"/>
        </w:rPr>
        <w:t>dne ………………</w:t>
      </w:r>
      <w:r w:rsidR="00717EE5">
        <w:rPr>
          <w:rFonts w:cstheme="majorHAnsi"/>
          <w:sz w:val="22"/>
          <w:szCs w:val="22"/>
        </w:rPr>
        <w:t>…..</w:t>
      </w:r>
    </w:p>
    <w:p w14:paraId="4DFE4CAD" w14:textId="77777777" w:rsidR="00F72253" w:rsidRPr="00D4655D" w:rsidRDefault="009440F4" w:rsidP="00EE658C">
      <w:pPr>
        <w:widowControl w:val="0"/>
        <w:tabs>
          <w:tab w:val="left" w:pos="6096"/>
        </w:tabs>
        <w:spacing w:before="120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-</w:t>
      </w:r>
      <w:r w:rsidR="00F72253" w:rsidRPr="00D4655D">
        <w:rPr>
          <w:rFonts w:cstheme="majorHAnsi"/>
          <w:sz w:val="22"/>
          <w:szCs w:val="22"/>
        </w:rPr>
        <w:t>--------------------------</w:t>
      </w:r>
      <w:r w:rsidR="00EE658C" w:rsidRPr="00D4655D">
        <w:rPr>
          <w:rFonts w:cstheme="majorHAnsi"/>
          <w:sz w:val="22"/>
          <w:szCs w:val="22"/>
        </w:rPr>
        <w:tab/>
      </w:r>
      <w:r w:rsidR="00F72253" w:rsidRPr="00D4655D">
        <w:rPr>
          <w:rFonts w:cstheme="majorHAnsi"/>
          <w:sz w:val="22"/>
          <w:szCs w:val="22"/>
        </w:rPr>
        <w:t>-----------------------------</w:t>
      </w:r>
      <w:r w:rsidR="00EE658C" w:rsidRPr="00D4655D">
        <w:rPr>
          <w:rFonts w:cstheme="majorHAnsi"/>
          <w:sz w:val="22"/>
          <w:szCs w:val="22"/>
        </w:rPr>
        <w:t>-----</w:t>
      </w:r>
    </w:p>
    <w:p w14:paraId="2FD06FCD" w14:textId="77777777" w:rsidR="00EE658C" w:rsidRPr="00D4655D" w:rsidRDefault="00EE658C" w:rsidP="009D4BB5">
      <w:pPr>
        <w:widowControl w:val="0"/>
        <w:contextualSpacing/>
        <w:rPr>
          <w:rFonts w:cstheme="majorHAnsi"/>
          <w:b/>
          <w:sz w:val="22"/>
          <w:szCs w:val="22"/>
        </w:rPr>
      </w:pPr>
      <w:r w:rsidRPr="00D4655D">
        <w:rPr>
          <w:rFonts w:cstheme="majorHAnsi"/>
          <w:b/>
          <w:sz w:val="22"/>
          <w:szCs w:val="22"/>
        </w:rPr>
        <w:t>Za</w:t>
      </w:r>
      <w:r w:rsidR="001463DC" w:rsidRPr="00D4655D">
        <w:rPr>
          <w:rFonts w:cstheme="majorHAnsi"/>
          <w:b/>
          <w:sz w:val="22"/>
          <w:szCs w:val="22"/>
        </w:rPr>
        <w:t xml:space="preserve"> GTS</w:t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E60E6B" w:rsidRPr="00D4655D">
        <w:rPr>
          <w:rFonts w:cstheme="majorHAnsi"/>
          <w:b/>
          <w:sz w:val="22"/>
          <w:szCs w:val="22"/>
        </w:rPr>
        <w:t xml:space="preserve">       </w:t>
      </w:r>
      <w:r w:rsidR="001463DC" w:rsidRPr="00D4655D">
        <w:rPr>
          <w:rFonts w:cstheme="majorHAnsi"/>
          <w:b/>
          <w:sz w:val="22"/>
          <w:szCs w:val="22"/>
        </w:rPr>
        <w:t xml:space="preserve">            </w:t>
      </w:r>
      <w:r w:rsidRPr="00D4655D">
        <w:rPr>
          <w:rFonts w:cstheme="majorHAnsi"/>
          <w:b/>
          <w:sz w:val="22"/>
          <w:szCs w:val="22"/>
        </w:rPr>
        <w:t xml:space="preserve">   </w:t>
      </w:r>
      <w:r w:rsidR="00E60E6B" w:rsidRPr="00D4655D">
        <w:rPr>
          <w:rFonts w:cstheme="majorHAnsi"/>
          <w:b/>
          <w:sz w:val="22"/>
          <w:szCs w:val="22"/>
        </w:rPr>
        <w:t xml:space="preserve"> </w:t>
      </w:r>
      <w:r w:rsidRPr="00D4655D">
        <w:rPr>
          <w:rFonts w:cstheme="majorHAnsi"/>
          <w:b/>
          <w:sz w:val="22"/>
          <w:szCs w:val="22"/>
        </w:rPr>
        <w:t xml:space="preserve">Za </w:t>
      </w:r>
      <w:r w:rsidR="00795FEF" w:rsidRPr="00D4655D">
        <w:rPr>
          <w:rFonts w:cstheme="majorHAnsi"/>
          <w:b/>
          <w:sz w:val="22"/>
          <w:szCs w:val="22"/>
        </w:rPr>
        <w:t>O</w:t>
      </w:r>
      <w:r w:rsidR="00F72253" w:rsidRPr="00D4655D">
        <w:rPr>
          <w:rFonts w:cstheme="majorHAnsi"/>
          <w:b/>
          <w:sz w:val="22"/>
          <w:szCs w:val="22"/>
        </w:rPr>
        <w:t>bjednatel</w:t>
      </w:r>
      <w:r w:rsidRPr="00D4655D">
        <w:rPr>
          <w:rFonts w:cstheme="majorHAnsi"/>
          <w:b/>
          <w:sz w:val="22"/>
          <w:szCs w:val="22"/>
        </w:rPr>
        <w:t>e</w:t>
      </w:r>
    </w:p>
    <w:p w14:paraId="6A5DD4FA" w14:textId="69138A9C" w:rsidR="00F72253" w:rsidRPr="00D4655D" w:rsidRDefault="00810E6F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Tomáš Vyskočil</w:t>
      </w:r>
      <w:r w:rsidR="00EE658C" w:rsidRPr="00D4655D">
        <w:rPr>
          <w:rFonts w:cstheme="majorHAnsi"/>
          <w:sz w:val="22"/>
          <w:szCs w:val="22"/>
        </w:rPr>
        <w:t>, jednatel</w:t>
      </w:r>
      <w:r w:rsidR="00EE658C" w:rsidRPr="00D4655D">
        <w:rPr>
          <w:rFonts w:cstheme="majorHAnsi"/>
          <w:sz w:val="22"/>
          <w:szCs w:val="22"/>
        </w:rPr>
        <w:tab/>
      </w:r>
      <w:bookmarkEnd w:id="0"/>
      <w:r w:rsidR="00177BF0">
        <w:rPr>
          <w:rFonts w:cstheme="majorHAnsi"/>
          <w:sz w:val="22"/>
          <w:szCs w:val="22"/>
        </w:rPr>
        <w:t>Mgr. Helmut Harzer, ředitel školy</w:t>
      </w:r>
      <w:bookmarkStart w:id="3" w:name="_GoBack"/>
      <w:bookmarkEnd w:id="3"/>
    </w:p>
    <w:sectPr w:rsidR="00F72253" w:rsidRPr="00D4655D" w:rsidSect="00D63AF5"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0834" w14:textId="77777777" w:rsidR="00041628" w:rsidRDefault="00041628" w:rsidP="00EE658C">
      <w:r>
        <w:separator/>
      </w:r>
    </w:p>
  </w:endnote>
  <w:endnote w:type="continuationSeparator" w:id="0">
    <w:p w14:paraId="71A812D8" w14:textId="77777777" w:rsidR="00041628" w:rsidRDefault="00041628" w:rsidP="00EE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85A7C" w14:textId="77777777" w:rsidR="00041628" w:rsidRDefault="00041628" w:rsidP="00EE658C">
      <w:r>
        <w:separator/>
      </w:r>
    </w:p>
  </w:footnote>
  <w:footnote w:type="continuationSeparator" w:id="0">
    <w:p w14:paraId="3D6B2A71" w14:textId="77777777" w:rsidR="00041628" w:rsidRDefault="00041628" w:rsidP="00EE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90A9D0E"/>
    <w:name w:val="WW8Num1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3074FC"/>
    <w:multiLevelType w:val="hybridMultilevel"/>
    <w:tmpl w:val="1C08CBB6"/>
    <w:lvl w:ilvl="0" w:tplc="A8E6FEF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667F82"/>
    <w:multiLevelType w:val="hybridMultilevel"/>
    <w:tmpl w:val="F6022C60"/>
    <w:lvl w:ilvl="0" w:tplc="611010BA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D3F03"/>
    <w:multiLevelType w:val="hybridMultilevel"/>
    <w:tmpl w:val="C1CC6A1C"/>
    <w:lvl w:ilvl="0" w:tplc="6A2C8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D24E36">
      <w:start w:val="2"/>
      <w:numFmt w:val="bullet"/>
      <w:lvlText w:val="-"/>
      <w:lvlJc w:val="left"/>
      <w:pPr>
        <w:ind w:left="1789" w:hanging="360"/>
      </w:pPr>
      <w:rPr>
        <w:rFonts w:ascii="Calibri Light" w:eastAsia="Times New Roman" w:hAnsi="Calibri Light" w:cs="Calibri Light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482233"/>
    <w:multiLevelType w:val="hybridMultilevel"/>
    <w:tmpl w:val="80F00840"/>
    <w:lvl w:ilvl="0" w:tplc="A678E31E">
      <w:start w:val="6"/>
      <w:numFmt w:val="bullet"/>
      <w:lvlText w:val="-"/>
      <w:lvlJc w:val="left"/>
      <w:pPr>
        <w:ind w:left="1069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B3F2BB2"/>
    <w:multiLevelType w:val="hybridMultilevel"/>
    <w:tmpl w:val="2D02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5C81"/>
    <w:multiLevelType w:val="hybridMultilevel"/>
    <w:tmpl w:val="EDFA40A4"/>
    <w:lvl w:ilvl="0" w:tplc="A98E4D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E10E2"/>
    <w:multiLevelType w:val="multilevel"/>
    <w:tmpl w:val="1C844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AD74165"/>
    <w:multiLevelType w:val="multilevel"/>
    <w:tmpl w:val="F0E0878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5BBB6CD1"/>
    <w:multiLevelType w:val="hybridMultilevel"/>
    <w:tmpl w:val="7EF85CE0"/>
    <w:lvl w:ilvl="0" w:tplc="9664E204">
      <w:start w:val="1"/>
      <w:numFmt w:val="decimal"/>
      <w:pStyle w:val="Nadpis2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FE64B9E">
      <w:start w:val="1"/>
      <w:numFmt w:val="decimal"/>
      <w:lvlText w:val="%2.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87365"/>
    <w:multiLevelType w:val="hybridMultilevel"/>
    <w:tmpl w:val="2008146C"/>
    <w:lvl w:ilvl="0" w:tplc="3ABCAFF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64A44669"/>
    <w:multiLevelType w:val="hybridMultilevel"/>
    <w:tmpl w:val="2124C53E"/>
    <w:lvl w:ilvl="0" w:tplc="8550F192">
      <w:start w:val="5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4" w15:restartNumberingAfterBreak="0">
    <w:nsid w:val="66922F7C"/>
    <w:multiLevelType w:val="hybridMultilevel"/>
    <w:tmpl w:val="7A74208A"/>
    <w:lvl w:ilvl="0" w:tplc="B120B300">
      <w:start w:val="5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6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E"/>
    <w:rsid w:val="00015FBD"/>
    <w:rsid w:val="00041628"/>
    <w:rsid w:val="000438B5"/>
    <w:rsid w:val="00051900"/>
    <w:rsid w:val="000A699F"/>
    <w:rsid w:val="000D4804"/>
    <w:rsid w:val="000D7DC5"/>
    <w:rsid w:val="000E69AD"/>
    <w:rsid w:val="00125879"/>
    <w:rsid w:val="001364F5"/>
    <w:rsid w:val="001463DC"/>
    <w:rsid w:val="001602D7"/>
    <w:rsid w:val="0016425F"/>
    <w:rsid w:val="00165347"/>
    <w:rsid w:val="00177BF0"/>
    <w:rsid w:val="00180C24"/>
    <w:rsid w:val="00181603"/>
    <w:rsid w:val="00185149"/>
    <w:rsid w:val="001958B3"/>
    <w:rsid w:val="001A06E3"/>
    <w:rsid w:val="001A0A4E"/>
    <w:rsid w:val="001A17BF"/>
    <w:rsid w:val="001B74DD"/>
    <w:rsid w:val="001D6D7A"/>
    <w:rsid w:val="001E09AB"/>
    <w:rsid w:val="001F4C53"/>
    <w:rsid w:val="00201002"/>
    <w:rsid w:val="00203E74"/>
    <w:rsid w:val="00220412"/>
    <w:rsid w:val="002227EF"/>
    <w:rsid w:val="00224807"/>
    <w:rsid w:val="00226658"/>
    <w:rsid w:val="002435C6"/>
    <w:rsid w:val="002577B3"/>
    <w:rsid w:val="002828B2"/>
    <w:rsid w:val="0028643A"/>
    <w:rsid w:val="00290601"/>
    <w:rsid w:val="002A2DB9"/>
    <w:rsid w:val="002A3EED"/>
    <w:rsid w:val="002B49CA"/>
    <w:rsid w:val="002C5845"/>
    <w:rsid w:val="002D58A4"/>
    <w:rsid w:val="002F0627"/>
    <w:rsid w:val="00302648"/>
    <w:rsid w:val="00304C86"/>
    <w:rsid w:val="003061B4"/>
    <w:rsid w:val="00317441"/>
    <w:rsid w:val="003378C6"/>
    <w:rsid w:val="00344021"/>
    <w:rsid w:val="003566E1"/>
    <w:rsid w:val="00364A8C"/>
    <w:rsid w:val="003743E4"/>
    <w:rsid w:val="00391AA9"/>
    <w:rsid w:val="00393443"/>
    <w:rsid w:val="00397AA7"/>
    <w:rsid w:val="003A4314"/>
    <w:rsid w:val="003B161E"/>
    <w:rsid w:val="003D2AB7"/>
    <w:rsid w:val="003D43BE"/>
    <w:rsid w:val="003E0CD7"/>
    <w:rsid w:val="003E4DF4"/>
    <w:rsid w:val="003F4CC4"/>
    <w:rsid w:val="00450729"/>
    <w:rsid w:val="0045244D"/>
    <w:rsid w:val="00455E4F"/>
    <w:rsid w:val="004863F1"/>
    <w:rsid w:val="004978AA"/>
    <w:rsid w:val="004A34B1"/>
    <w:rsid w:val="004A6391"/>
    <w:rsid w:val="004B6075"/>
    <w:rsid w:val="004D684D"/>
    <w:rsid w:val="004F2119"/>
    <w:rsid w:val="00514F05"/>
    <w:rsid w:val="00517351"/>
    <w:rsid w:val="0052011E"/>
    <w:rsid w:val="00526BCD"/>
    <w:rsid w:val="00536A6D"/>
    <w:rsid w:val="005443CD"/>
    <w:rsid w:val="00545F85"/>
    <w:rsid w:val="005518E2"/>
    <w:rsid w:val="005937E9"/>
    <w:rsid w:val="0059758F"/>
    <w:rsid w:val="005A293E"/>
    <w:rsid w:val="005A547E"/>
    <w:rsid w:val="005E11F8"/>
    <w:rsid w:val="005E67EB"/>
    <w:rsid w:val="005E7C0D"/>
    <w:rsid w:val="005F0B99"/>
    <w:rsid w:val="005F2876"/>
    <w:rsid w:val="005F36FD"/>
    <w:rsid w:val="0061172E"/>
    <w:rsid w:val="006146B4"/>
    <w:rsid w:val="006154A6"/>
    <w:rsid w:val="0063782D"/>
    <w:rsid w:val="00644EEF"/>
    <w:rsid w:val="00646268"/>
    <w:rsid w:val="00646D8C"/>
    <w:rsid w:val="006521BB"/>
    <w:rsid w:val="006C4F2B"/>
    <w:rsid w:val="006D14B9"/>
    <w:rsid w:val="006E374F"/>
    <w:rsid w:val="006F7237"/>
    <w:rsid w:val="0071606D"/>
    <w:rsid w:val="00717EE5"/>
    <w:rsid w:val="007251AF"/>
    <w:rsid w:val="00756B3E"/>
    <w:rsid w:val="0076150C"/>
    <w:rsid w:val="00765DC3"/>
    <w:rsid w:val="007708DA"/>
    <w:rsid w:val="00772ADB"/>
    <w:rsid w:val="00774E2A"/>
    <w:rsid w:val="00775A1A"/>
    <w:rsid w:val="00795FEF"/>
    <w:rsid w:val="00796672"/>
    <w:rsid w:val="007A24CC"/>
    <w:rsid w:val="007B565F"/>
    <w:rsid w:val="007C0B89"/>
    <w:rsid w:val="007D434E"/>
    <w:rsid w:val="007F32C1"/>
    <w:rsid w:val="00810E6F"/>
    <w:rsid w:val="00826C66"/>
    <w:rsid w:val="00835AD5"/>
    <w:rsid w:val="00835EE4"/>
    <w:rsid w:val="008453FD"/>
    <w:rsid w:val="008630D4"/>
    <w:rsid w:val="00865D3B"/>
    <w:rsid w:val="008746E2"/>
    <w:rsid w:val="00874704"/>
    <w:rsid w:val="00886A07"/>
    <w:rsid w:val="00893938"/>
    <w:rsid w:val="00896A74"/>
    <w:rsid w:val="008B58A2"/>
    <w:rsid w:val="008D3B4E"/>
    <w:rsid w:val="008D510A"/>
    <w:rsid w:val="008E0D40"/>
    <w:rsid w:val="008E0E0A"/>
    <w:rsid w:val="008E63D0"/>
    <w:rsid w:val="008F73E6"/>
    <w:rsid w:val="00904C45"/>
    <w:rsid w:val="009212E0"/>
    <w:rsid w:val="00925F23"/>
    <w:rsid w:val="009440F4"/>
    <w:rsid w:val="00947CE0"/>
    <w:rsid w:val="00960488"/>
    <w:rsid w:val="0096774B"/>
    <w:rsid w:val="00980DC7"/>
    <w:rsid w:val="0099020A"/>
    <w:rsid w:val="0099242B"/>
    <w:rsid w:val="00992C6E"/>
    <w:rsid w:val="009966CD"/>
    <w:rsid w:val="009A2BF3"/>
    <w:rsid w:val="009C0307"/>
    <w:rsid w:val="009C1DDE"/>
    <w:rsid w:val="009D30E6"/>
    <w:rsid w:val="009D3B91"/>
    <w:rsid w:val="009D4BB5"/>
    <w:rsid w:val="009E4BE8"/>
    <w:rsid w:val="009F01FE"/>
    <w:rsid w:val="009F3661"/>
    <w:rsid w:val="00A11893"/>
    <w:rsid w:val="00A17B18"/>
    <w:rsid w:val="00A2480F"/>
    <w:rsid w:val="00A34C07"/>
    <w:rsid w:val="00A721EF"/>
    <w:rsid w:val="00A72CF9"/>
    <w:rsid w:val="00A737B2"/>
    <w:rsid w:val="00A823E6"/>
    <w:rsid w:val="00A92B5F"/>
    <w:rsid w:val="00A93528"/>
    <w:rsid w:val="00AC0598"/>
    <w:rsid w:val="00AC09E6"/>
    <w:rsid w:val="00AC0CD2"/>
    <w:rsid w:val="00AC6EF1"/>
    <w:rsid w:val="00AE2E7E"/>
    <w:rsid w:val="00B27B9D"/>
    <w:rsid w:val="00B318DE"/>
    <w:rsid w:val="00B409F2"/>
    <w:rsid w:val="00B51261"/>
    <w:rsid w:val="00B51628"/>
    <w:rsid w:val="00B52FC8"/>
    <w:rsid w:val="00B63BBD"/>
    <w:rsid w:val="00B66498"/>
    <w:rsid w:val="00B666AF"/>
    <w:rsid w:val="00BB6F01"/>
    <w:rsid w:val="00BB76D5"/>
    <w:rsid w:val="00BC2804"/>
    <w:rsid w:val="00BC7C2B"/>
    <w:rsid w:val="00BD3FAB"/>
    <w:rsid w:val="00BF2E43"/>
    <w:rsid w:val="00BF7563"/>
    <w:rsid w:val="00C14EBD"/>
    <w:rsid w:val="00C217C8"/>
    <w:rsid w:val="00C3140C"/>
    <w:rsid w:val="00C3162C"/>
    <w:rsid w:val="00C56C39"/>
    <w:rsid w:val="00C671C0"/>
    <w:rsid w:val="00C867A5"/>
    <w:rsid w:val="00C86E99"/>
    <w:rsid w:val="00C87295"/>
    <w:rsid w:val="00CC2199"/>
    <w:rsid w:val="00CE5DE9"/>
    <w:rsid w:val="00CF08FB"/>
    <w:rsid w:val="00D0496D"/>
    <w:rsid w:val="00D07DE6"/>
    <w:rsid w:val="00D13CD3"/>
    <w:rsid w:val="00D17B95"/>
    <w:rsid w:val="00D21609"/>
    <w:rsid w:val="00D21C2D"/>
    <w:rsid w:val="00D24D5B"/>
    <w:rsid w:val="00D315B6"/>
    <w:rsid w:val="00D36D75"/>
    <w:rsid w:val="00D37126"/>
    <w:rsid w:val="00D376E4"/>
    <w:rsid w:val="00D37CA7"/>
    <w:rsid w:val="00D40B32"/>
    <w:rsid w:val="00D44032"/>
    <w:rsid w:val="00D4655D"/>
    <w:rsid w:val="00D5304C"/>
    <w:rsid w:val="00D56681"/>
    <w:rsid w:val="00D62F38"/>
    <w:rsid w:val="00D63AF5"/>
    <w:rsid w:val="00D64180"/>
    <w:rsid w:val="00D77BC2"/>
    <w:rsid w:val="00DA1123"/>
    <w:rsid w:val="00DA43B9"/>
    <w:rsid w:val="00DB02AA"/>
    <w:rsid w:val="00DC026C"/>
    <w:rsid w:val="00DC4A94"/>
    <w:rsid w:val="00DC77EB"/>
    <w:rsid w:val="00DD3497"/>
    <w:rsid w:val="00E016C9"/>
    <w:rsid w:val="00E037E4"/>
    <w:rsid w:val="00E12F62"/>
    <w:rsid w:val="00E22341"/>
    <w:rsid w:val="00E24CE9"/>
    <w:rsid w:val="00E30210"/>
    <w:rsid w:val="00E47AA8"/>
    <w:rsid w:val="00E5235A"/>
    <w:rsid w:val="00E60E6B"/>
    <w:rsid w:val="00E717DB"/>
    <w:rsid w:val="00E73E56"/>
    <w:rsid w:val="00E77C94"/>
    <w:rsid w:val="00E85805"/>
    <w:rsid w:val="00E86CA0"/>
    <w:rsid w:val="00E87C55"/>
    <w:rsid w:val="00EC090F"/>
    <w:rsid w:val="00EC0DAE"/>
    <w:rsid w:val="00EE0052"/>
    <w:rsid w:val="00EE658C"/>
    <w:rsid w:val="00F11FB6"/>
    <w:rsid w:val="00F22282"/>
    <w:rsid w:val="00F26823"/>
    <w:rsid w:val="00F52454"/>
    <w:rsid w:val="00F564A6"/>
    <w:rsid w:val="00F62609"/>
    <w:rsid w:val="00F7094C"/>
    <w:rsid w:val="00F72253"/>
    <w:rsid w:val="00F749F9"/>
    <w:rsid w:val="00F91D32"/>
    <w:rsid w:val="00F93E2D"/>
    <w:rsid w:val="00FA7547"/>
    <w:rsid w:val="00FE0F69"/>
    <w:rsid w:val="00FE427D"/>
    <w:rsid w:val="00FE7C38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DCC018"/>
  <w15:chartTrackingRefBased/>
  <w15:docId w15:val="{F697AAD0-31DB-4878-985D-B08D63B3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7E9"/>
    <w:pPr>
      <w:suppressAutoHyphens/>
      <w:ind w:firstLine="709"/>
    </w:pPr>
    <w:rPr>
      <w:rFonts w:asciiTheme="majorHAnsi" w:hAnsiTheme="majorHAnsi"/>
      <w:sz w:val="24"/>
      <w:lang w:eastAsia="ar-SA"/>
    </w:rPr>
  </w:style>
  <w:style w:type="paragraph" w:styleId="Nadpis1">
    <w:name w:val="heading 1"/>
    <w:basedOn w:val="Normln"/>
    <w:next w:val="Normln"/>
    <w:qFormat/>
    <w:rsid w:val="00AC6EF1"/>
    <w:pPr>
      <w:keepNext/>
      <w:numPr>
        <w:numId w:val="11"/>
      </w:numPr>
      <w:spacing w:before="120" w:after="120"/>
      <w:outlineLvl w:val="0"/>
    </w:pPr>
    <w:rPr>
      <w:b/>
    </w:rPr>
  </w:style>
  <w:style w:type="paragraph" w:styleId="Nadpis2">
    <w:name w:val="heading 2"/>
    <w:aliases w:val="číslování"/>
    <w:basedOn w:val="Normln"/>
    <w:next w:val="Normln"/>
    <w:qFormat/>
    <w:rsid w:val="00AC6EF1"/>
    <w:pPr>
      <w:keepNext/>
      <w:numPr>
        <w:numId w:val="13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rPr>
      <w:b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</w:rPr>
  </w:style>
  <w:style w:type="paragraph" w:customStyle="1" w:styleId="Podtitul1">
    <w:name w:val="Podtitul1"/>
    <w:basedOn w:val="WW-Nadpis111"/>
    <w:next w:val="Zkladntext"/>
    <w:qFormat/>
    <w:pPr>
      <w:jc w:val="center"/>
    </w:pPr>
    <w:rPr>
      <w:i/>
      <w:iCs/>
    </w:rPr>
  </w:style>
  <w:style w:type="paragraph" w:customStyle="1" w:styleId="WW-Zkladntext2">
    <w:name w:val="WW-Základní text 2"/>
    <w:basedOn w:val="Normln"/>
  </w:style>
  <w:style w:type="character" w:styleId="Hypertextovodkaz">
    <w:name w:val="Hyperlink"/>
    <w:uiPriority w:val="99"/>
    <w:rsid w:val="00526BCD"/>
    <w:rPr>
      <w:color w:val="0000FF"/>
      <w:u w:val="single"/>
    </w:rPr>
  </w:style>
  <w:style w:type="paragraph" w:styleId="Zhlav">
    <w:name w:val="header"/>
    <w:basedOn w:val="Normln"/>
    <w:link w:val="ZhlavChar"/>
    <w:rsid w:val="00344021"/>
    <w:pPr>
      <w:tabs>
        <w:tab w:val="left" w:pos="0"/>
        <w:tab w:val="center" w:pos="4536"/>
        <w:tab w:val="right" w:pos="9072"/>
      </w:tabs>
      <w:suppressAutoHyphens w:val="0"/>
      <w:jc w:val="both"/>
    </w:pPr>
    <w:rPr>
      <w:rFonts w:ascii="Arial" w:eastAsia="MS Mincho" w:hAnsi="Arial"/>
      <w:sz w:val="22"/>
      <w:szCs w:val="24"/>
      <w:lang w:eastAsia="cs-CZ"/>
    </w:rPr>
  </w:style>
  <w:style w:type="character" w:customStyle="1" w:styleId="ZhlavChar">
    <w:name w:val="Záhlaví Char"/>
    <w:link w:val="Zhlav"/>
    <w:rsid w:val="00344021"/>
    <w:rPr>
      <w:rFonts w:ascii="Arial" w:eastAsia="MS Mincho" w:hAnsi="Arial"/>
      <w:sz w:val="22"/>
      <w:szCs w:val="24"/>
    </w:rPr>
  </w:style>
  <w:style w:type="paragraph" w:customStyle="1" w:styleId="Zkladntext2">
    <w:name w:val="Základní text2"/>
    <w:basedOn w:val="Normln"/>
    <w:rsid w:val="00344021"/>
    <w:pPr>
      <w:widowControl w:val="0"/>
      <w:spacing w:line="100" w:lineRule="atLeast"/>
    </w:pPr>
    <w:rPr>
      <w:rFonts w:eastAsia="Tahoma"/>
      <w:szCs w:val="24"/>
    </w:rPr>
  </w:style>
  <w:style w:type="paragraph" w:styleId="Textbubliny">
    <w:name w:val="Balloon Text"/>
    <w:basedOn w:val="Normln"/>
    <w:link w:val="TextbublinyChar"/>
    <w:rsid w:val="00364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4A8C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A69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E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58C"/>
    <w:rPr>
      <w:rFonts w:asciiTheme="majorHAnsi" w:hAnsiTheme="majorHAnsi"/>
      <w:sz w:val="24"/>
      <w:lang w:eastAsia="ar-SA"/>
    </w:rPr>
  </w:style>
  <w:style w:type="character" w:styleId="Odkaznakoment">
    <w:name w:val="annotation reference"/>
    <w:basedOn w:val="Standardnpsmoodstavce"/>
    <w:rsid w:val="00A92B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2B5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92B5F"/>
    <w:rPr>
      <w:rFonts w:asciiTheme="majorHAnsi" w:hAnsiTheme="majorHAns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A92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2B5F"/>
    <w:rPr>
      <w:rFonts w:asciiTheme="majorHAnsi" w:hAnsiTheme="majorHAnsi"/>
      <w:b/>
      <w:bCs/>
      <w:lang w:eastAsia="ar-SA"/>
    </w:rPr>
  </w:style>
  <w:style w:type="paragraph" w:styleId="Revize">
    <w:name w:val="Revision"/>
    <w:hidden/>
    <w:uiPriority w:val="99"/>
    <w:semiHidden/>
    <w:rsid w:val="008E0E0A"/>
    <w:rPr>
      <w:rFonts w:asciiTheme="majorHAnsi" w:hAnsiTheme="majorHAns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8BB22409AAA458113CD1BB5F78A2C" ma:contentTypeVersion="" ma:contentTypeDescription="Vytvoří nový dokument" ma:contentTypeScope="" ma:versionID="607d191a9c688728d9f76a0ba9ec1444">
  <xsd:schema xmlns:xsd="http://www.w3.org/2001/XMLSchema" xmlns:xs="http://www.w3.org/2001/XMLSchema" xmlns:p="http://schemas.microsoft.com/office/2006/metadata/properties" xmlns:ns2="579076ec-78a7-48c6-a79b-59ee9cb633be" targetNamespace="http://schemas.microsoft.com/office/2006/metadata/properties" ma:root="true" ma:fieldsID="ddc8f170f22ce349b9ee37c402940966" ns2:_="">
    <xsd:import namespace="579076ec-78a7-48c6-a79b-59ee9cb63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76ec-78a7-48c6-a79b-59ee9cb6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F2D7-E20D-4705-8CBE-48D33D1DD40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79076ec-78a7-48c6-a79b-59ee9cb633b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77335D-BBC8-4428-81B8-BAE535020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76ec-78a7-48c6-a79b-59ee9cb6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2734C-693C-4486-848C-8BFF8D60E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72C0C-52C4-4F32-A2E4-7F98A86A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1015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ISIC Port</vt:lpstr>
    </vt:vector>
  </TitlesOfParts>
  <Company>GTS Alive s.r.o.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ISIC Port</dc:title>
  <dc:subject/>
  <dc:creator>Jakub Rozkydal;Radek Schich</dc:creator>
  <cp:keywords/>
  <cp:lastModifiedBy>Hana Čížková</cp:lastModifiedBy>
  <cp:revision>10</cp:revision>
  <cp:lastPrinted>2018-09-11T08:23:00Z</cp:lastPrinted>
  <dcterms:created xsi:type="dcterms:W3CDTF">2018-08-07T12:31:00Z</dcterms:created>
  <dcterms:modified xsi:type="dcterms:W3CDTF">2018-09-11T08:24:00Z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0x0101007FE8BB22409AAA458113CD1BB5F78A2C</vt:lpwstr>
  </property>
</Properties>
</file>