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bookmarkStart w:id="0" w:name="_GoBack"/>
      <w:bookmarkEnd w:id="0"/>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r w:rsidRPr="006B57D5">
        <w:rPr>
          <w:rFonts w:ascii="Times New Roman" w:eastAsia="Times New Roman" w:hAnsi="Times New Roman" w:cs="Times New Roman"/>
          <w:snapToGrid w:val="0"/>
          <w:color w:val="000000" w:themeColor="text1"/>
          <w:sz w:val="24"/>
          <w:szCs w:val="24"/>
        </w:rPr>
        <w:t>ust</w:t>
      </w:r>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 xml:space="preserve">ustanovení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r w:rsidRPr="00C91B31">
        <w:rPr>
          <w:i/>
          <w:color w:val="000000" w:themeColor="text1"/>
        </w:rPr>
        <w:t>o.s.ř.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Dodavatel poskytuje NNH záruku za jakost ve smyslu ust.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lastRenderedPageBreak/>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mlouvy není možné doručit druhé smluvní straně ve lhůtě 10-ti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Intrastat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lastRenderedPageBreak/>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r w:rsidRPr="00B06263">
        <w:rPr>
          <w:color w:val="000000" w:themeColor="text1"/>
          <w:sz w:val="24"/>
          <w:szCs w:val="24"/>
        </w:rPr>
        <w:t>Salvatorní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Smluvní strany se ve smyslu ustanovení § 89a o.s.ř.,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B233" w14:textId="77777777" w:rsidR="00D123BF" w:rsidRPr="00BE35CC" w:rsidRDefault="00D123BF" w:rsidP="00BE35CC">
    <w:pPr>
      <w:pStyle w:val="Zpat"/>
      <w:jc w:val="right"/>
      <w:rPr>
        <w:rFonts w:ascii="Times New Roman" w:hAnsi="Times New Roman" w:cs="Times New Roman"/>
        <w:sz w:val="20"/>
        <w:szCs w:val="20"/>
      </w:rPr>
    </w:pPr>
  </w:p>
  <w:p w14:paraId="1F813315" w14:textId="77777777" w:rsidR="00D123BF" w:rsidRDefault="00D12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A64B0"/>
    <w:rsid w:val="004C3AA4"/>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A7B86"/>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94962"/>
    <w:rsid w:val="00EC3BFB"/>
    <w:rsid w:val="00ED2C67"/>
    <w:rsid w:val="00ED4981"/>
    <w:rsid w:val="00EF30A7"/>
    <w:rsid w:val="00EF7011"/>
    <w:rsid w:val="00F04BBF"/>
    <w:rsid w:val="00F12F7A"/>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131A-A7FF-4968-89B8-2914A29F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3029</Words>
  <Characters>17872</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2017-12-18T15:51:00Z</dcterms:created>
  <dcterms:modified xsi:type="dcterms:W3CDTF">2017-12-18T15:51:00Z</dcterms:modified>
</cp:coreProperties>
</file>