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000000pt;margin-top:0.000000pt;width:463.05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3782" w:firstLine="0"/>
                    <w:textAlignment w:val="baseline"/>
                  </w:pP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Smlouva </w:t>
                  </w: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o </w:t>
                  </w: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000000pt;margin-top:30.000000pt;width:463.050000pt;height:22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3" w:right="3350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Mateřská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Praktická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Plánkova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430,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386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IČO: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73" w:lineRule="atLeast"/>
                    <w:ind w:left="43" w:right="3753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zastoupená: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ředitelkou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školy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Mgr.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Martinou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Košťálovou </w:t>
                  </w:r>
                  <w:r>
                    <w:rPr>
                      <w:w w:val="200"/>
                      <w:sz w:val="7"/>
                      <w:szCs w:val="7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bank.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účtu: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214529727/0300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ČSOB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(dále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"objednatel")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JAPEINTERIER</w:t>
                  </w:r>
                </w:p>
                <w:p>
                  <w:pPr>
                    <w:pStyle w:val="Style"/>
                    <w:spacing w:before="0" w:after="0" w:line="278" w:lineRule="atLeast"/>
                    <w:ind w:left="28" w:right="633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Petr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Janoušek,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Jaroslav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Pešek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TRUHLÁŘSTVÍ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Nebřehovice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37</w:t>
                  </w:r>
                </w:p>
                <w:p>
                  <w:pPr>
                    <w:pStyle w:val="Style"/>
                    <w:spacing w:before="0" w:after="0" w:line="273" w:lineRule="atLeast"/>
                    <w:ind w:left="38" w:right="7444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86 </w:t>
                  </w:r>
                  <w:r>
                    <w:rPr>
                      <w:w w:val="63"/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Strakonice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IČ: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74428977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DIČ: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CZ7906151682</w:t>
                  </w:r>
                </w:p>
                <w:p>
                  <w:pPr>
                    <w:pStyle w:val="Style"/>
                    <w:spacing w:before="0" w:after="0" w:line="278" w:lineRule="atLeast"/>
                    <w:ind w:left="33" w:right="6216" w:firstLine="0"/>
                    <w:textAlignment w:val="baseline"/>
                  </w:pPr>
                  <w:r>
                    <w:rPr>
                      <w:w w:val="200"/>
                      <w:sz w:val="7"/>
                      <w:szCs w:val="7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bank.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účtu: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213964858/0300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000000pt;margin-top:264.950000pt;width:463.05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(společně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dále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"smluvní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000000pt;margin-top:292.100000pt;width:463.0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uzavírají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níže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obsahu: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000000pt;margin-top:319.900000pt;width:463.05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.000000pt;margin-top:360.950000pt;width:463.05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vybavení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nábytkem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.000000pt;margin-top:388.300000pt;width:463.050000pt;height:19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.000000pt;margin-top:415.900000pt;width:463.05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99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407,00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včetně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instalace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nábytku.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000000pt;margin-top:456.950000pt;width:464.250000pt;height:7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Způsob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provádění</w:t>
                  </w:r>
                </w:p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dokumentace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stanovena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závazná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technická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norma,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musí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odpovídat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normě.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dodržuje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veškeré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provozní,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technické,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hygienické,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požární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předpisy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bezpečnosti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ochraně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zdraví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práci.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Termín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dodávky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veškerých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touto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zakázkou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spojenými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nejpozději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31.8.2018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750000pt;margin-top:538.300000pt;width:463.750000pt;height:6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důkladně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prohlédl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místo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zhotovení,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konstatuje,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neshledal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žádné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resp.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překážek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ztěžujících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tyto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upozornil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dohodnutá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zohledňuje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ztížený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250000pt;margin-top:606.700000pt;width:464.0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Objeví-li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zhotovitel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průběhu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neprodleně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pomocí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telefonické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informaci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vyčká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pokynů.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000000pt;margin-top:648.000000pt;width:464.000000pt;height:6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Jedná-li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překážky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úvodní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prohlídce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nezjistitelné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(např.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vady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postupně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rozbalovaného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materiálu),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dojednají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změnu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způsobu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harmonogramu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díla.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Nedohodnou-li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lhůtě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změně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právo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sankcí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odstoupit,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přičemž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práce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již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provedené.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30" w:right="1416" w:bottom="360" w:left="868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250000pt;margin-top:0.000000pt;width:466.650000pt;height:145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  <w:p>
                  <w:pPr>
                    <w:pStyle w:val="Style"/>
                    <w:spacing w:before="3" w:after="0" w:line="278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souhlasu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pokračováním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dokončí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předpokládané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kvalitě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ponese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vyšší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vícepráce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</w:t>
                  </w:r>
                </w:p>
                <w:p>
                  <w:pPr>
                    <w:pStyle w:val="Style"/>
                    <w:spacing w:before="3" w:after="0" w:line="278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20%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uzavřením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Další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použitého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něj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majetkový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prospěch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tj.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zcela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znehodnocený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aj.,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dotčeny.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Stejně,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zanikne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důvodu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nemožnosti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250000pt;margin-top:153.600000pt;width:465.900000pt;height:5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V.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přiměřená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podmínkou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odstoupení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vytkne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Pojmem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"písemně"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rozumí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potvrzené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příjemcem.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odesláním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250000pt;margin-top:222.000000pt;width:465.7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začne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běžet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250000pt;margin-top:249.600000pt;width:465.7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ledaže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250000pt;margin-top:291.600000pt;width:465.700000pt;height:4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VI.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Sankce</w:t>
                  </w:r>
                </w:p>
                <w:p>
                  <w:pPr>
                    <w:pStyle w:val="Style"/>
                    <w:spacing w:before="0" w:after="0" w:line="278" w:lineRule="atLeast"/>
                    <w:ind w:left="57" w:right="210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započatý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1/15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250000pt;margin-top:346.100000pt;width:465.7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netýká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0.250000pt;margin-top:373.950000pt;width:465.700000pt;height:4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VII.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Nevytkne-li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Akceptuje-li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podepíší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předávací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popis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poskytnutou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slevu.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0.000000pt;margin-top:429.150000pt;width:465.900000pt;height:100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VIII.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jakost</w:t>
                  </w:r>
                </w:p>
                <w:p>
                  <w:pPr>
                    <w:pStyle w:val="Style"/>
                    <w:spacing w:before="3" w:after="0" w:line="278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stavebních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bezplatné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zjevné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zbytečného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odkladu.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montáže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výrobce.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složitějších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Neučiní</w:t>
                    <w:softHyphen/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5000,-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účelně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vynaložené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0.250000pt;margin-top:537.600000pt;width:465.700000pt;height:7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IX.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Závěrečná </w:t>
                  </w:r>
                  <w:r>
                    <w:rPr>
                      <w:w w:val="106"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78" w:lineRule="atLeast"/>
                    <w:ind w:left="14" w:right="160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měnit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podepsanými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stranami.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číslována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arabskými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číslicemi,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počínaje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straně.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nevymahatelnosti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příslušnou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nahradit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vymahatelnými,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nejvíce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odpovídajícími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ujednání.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0.000000pt;margin-top:619.700000pt;width:156.8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Strakonicích,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30.8.2018</w:t>
                  </w:r>
                </w:p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79.200000pt;margin-top:640.100000pt;width:119.600000pt;height:46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187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šiwla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a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Pral,ticl,á </w:t>
                  </w:r>
                  <w:r>
                    <w:rPr>
                      <w:w w:val="111"/>
                      <w:sz w:val="18"/>
                      <w:szCs w:val="18"/>
                      <w:lang w:val="cs"/>
                    </w:rPr>
                    <w:t xml:space="preserve">štola,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w w:val="92"/>
                      <w:sz w:val="17"/>
                      <w:szCs w:val="17"/>
                      <w:lang w:val="cs"/>
                    </w:rPr>
                    <w:t xml:space="preserve">P!áPlkova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614"/>
                      <w:tab w:val="left" w:leader="none" w:pos="2097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ab/>
                    <w:t xml:space="preserve">IČ: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632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89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920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ab/>
                    <w:t xml:space="preserve">~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282.450000pt;margin-top:633.600000pt;width:163.7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303.850000pt;margin-top:653.750000pt;width:142.650000pt;height:7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384" w:firstLine="0"/>
                    <w:textAlignment w:val="baseline"/>
                  </w:pPr>
                  <w:r>
                    <w:rPr>
                      <w:w w:val="116"/>
                      <w:sz w:val="23"/>
                      <w:szCs w:val="23"/>
                      <w:lang w:val="cs"/>
                    </w:rPr>
                    <w:t xml:space="preserve">JAPElij:TERIER</w:t>
                  </w:r>
                </w:p>
                <w:p>
                  <w:pPr>
                    <w:pStyle w:val="Style"/>
                    <w:spacing w:before="0" w:after="0" w:line="211" w:lineRule="atLeast"/>
                    <w:ind w:left="264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Petr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Janouš~'-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Jaroslav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Pešek</w:t>
                  </w:r>
                </w:p>
                <w:p>
                  <w:pPr>
                    <w:pStyle w:val="Style"/>
                    <w:spacing w:before="0" w:after="0" w:line="240" w:lineRule="atLeast"/>
                    <w:ind w:left="580" w:firstLine="0"/>
                    <w:textAlignment w:val="baseline"/>
                  </w:pPr>
                  <w:r>
                    <w:rPr>
                      <w:sz w:val="21"/>
                      <w:szCs w:val="21"/>
                      <w:lang w:val="cs"/>
                    </w:rPr>
                    <w:t xml:space="preserve">TR</w:t>
                  </w:r>
                  <w:r>
                    <w:rPr>
                      <w:sz w:val="21"/>
                      <w:szCs w:val="21"/>
                      <w:u w:val="single"/>
                      <w:lang w:val="cs"/>
                    </w:rPr>
                    <w:t xml:space="preserve">~!t,_ÁŘS..'f </w:t>
                  </w:r>
                  <w:r>
                    <w:rPr>
                      <w:w w:val="59"/>
                      <w:sz w:val="26"/>
                      <w:szCs w:val="26"/>
                      <w:u w:val="single"/>
                      <w:lang w:val="cs"/>
                    </w:rPr>
                    <w:t xml:space="preserve">Vf</w:t>
                  </w:r>
                </w:p>
                <w:p>
                  <w:pPr>
                    <w:pStyle w:val="Style"/>
                    <w:spacing w:before="3" w:after="0" w:line="192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Nebřehoviceí37,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3~1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IČO: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7442897-1;1'1C: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CZ7906151682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mobil: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607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539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461, </w:t>
                  </w:r>
                  <w:r>
                    <w:rPr>
                      <w:w w:val="92"/>
                      <w:sz w:val="19"/>
                      <w:szCs w:val="19"/>
                      <w:lang w:val="cs"/>
                    </w:rPr>
                    <w:t xml:space="preserve">606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412 </w:t>
                  </w:r>
                  <w:r>
                    <w:rPr>
                      <w:w w:val="92"/>
                      <w:sz w:val="19"/>
                      <w:szCs w:val="19"/>
                      <w:lang w:val="cs"/>
                    </w:rPr>
                    <w:t xml:space="preserve">968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1047" w:right="1416" w:bottom="360" w:left="835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2018-09-06T12:26:54Z</dcterms:created>
  <dcterms:modified xsi:type="dcterms:W3CDTF">2018-09-06T12:26:54Z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