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D2" w:rsidRDefault="00494667">
      <w:pPr>
        <w:pStyle w:val="sNadpis"/>
        <w:spacing w:after="240"/>
        <w:rPr>
          <w:lang w:val="cs-CZ"/>
        </w:rPr>
      </w:pPr>
      <w:bookmarkStart w:id="0" w:name="_GoBack"/>
      <w:bookmarkEnd w:id="0"/>
      <w:r>
        <w:rPr>
          <w:lang w:val="cs-CZ"/>
        </w:rPr>
        <w:t>SMLOUVA O ÚVĚRU Č. 17010383/18</w:t>
      </w:r>
    </w:p>
    <w:p w:rsidR="00EE08D2" w:rsidRDefault="00494667">
      <w:pPr>
        <w:pStyle w:val="sNadpis1"/>
        <w:spacing w:after="120"/>
        <w:rPr>
          <w:lang w:val="cs-CZ"/>
        </w:rPr>
      </w:pPr>
      <w:r>
        <w:rPr>
          <w:lang w:val="cs-CZ"/>
        </w:rPr>
        <w:t>uzavřená v souladu s ustanovením § 2395 a násl. zákona č. 89/2012 Sb., občanský zákoník, ve znění pozdějších předpisů (dále jen „občanský zákoník“) mezi níže identifikovaným poskytovatelem úvěru jako úvěrujícím a příjemcem úvěru jako úvěrovaným (dále jen „</w:t>
      </w:r>
      <w:r>
        <w:rPr>
          <w:b/>
          <w:lang w:val="cs-CZ"/>
        </w:rPr>
        <w:t>smlouva o úvěru</w:t>
      </w:r>
      <w:r>
        <w:rPr>
          <w:lang w:val="cs-CZ"/>
        </w:rPr>
        <w:t>“)</w:t>
      </w:r>
    </w:p>
    <w:tbl>
      <w:tblPr>
        <w:tblW w:w="0" w:type="auto"/>
        <w:jc w:val="center"/>
        <w:tblLayout w:type="fixed"/>
        <w:tblLook w:val="04A0" w:firstRow="1" w:lastRow="0" w:firstColumn="1" w:lastColumn="0" w:noHBand="0" w:noVBand="1"/>
      </w:tblPr>
      <w:tblGrid>
        <w:gridCol w:w="4446"/>
        <w:gridCol w:w="4504"/>
      </w:tblGrid>
      <w:tr w:rsidR="00EE08D2">
        <w:trPr>
          <w:trHeight w:val="301"/>
          <w:jc w:val="center"/>
        </w:trPr>
        <w:tc>
          <w:tcPr>
            <w:tcW w:w="4446" w:type="dxa"/>
            <w:tcBorders>
              <w:top w:val="single" w:sz="4" w:space="0" w:color="auto"/>
              <w:left w:val="single" w:sz="4" w:space="0" w:color="auto"/>
              <w:bottom w:val="single" w:sz="4" w:space="0" w:color="auto"/>
              <w:right w:val="single" w:sz="4" w:space="0" w:color="auto"/>
            </w:tcBorders>
            <w:vAlign w:val="center"/>
          </w:tcPr>
          <w:p w:rsidR="00EE08D2" w:rsidRDefault="00494667">
            <w:pPr>
              <w:pStyle w:val="sTabnorm"/>
              <w:jc w:val="left"/>
              <w:rPr>
                <w:lang w:val="cs-CZ"/>
              </w:rPr>
            </w:pPr>
            <w:r>
              <w:rPr>
                <w:lang w:val="cs-CZ"/>
              </w:rPr>
              <w:t>Identifikace poskytovatele úvěru:</w:t>
            </w:r>
          </w:p>
        </w:tc>
        <w:tc>
          <w:tcPr>
            <w:tcW w:w="4504" w:type="dxa"/>
            <w:tcBorders>
              <w:top w:val="single" w:sz="4" w:space="0" w:color="auto"/>
              <w:left w:val="single" w:sz="4" w:space="0" w:color="auto"/>
              <w:bottom w:val="single" w:sz="4" w:space="0" w:color="auto"/>
              <w:right w:val="single" w:sz="4" w:space="0" w:color="auto"/>
            </w:tcBorders>
            <w:vAlign w:val="center"/>
          </w:tcPr>
          <w:p w:rsidR="00EE08D2" w:rsidRDefault="00494667">
            <w:pPr>
              <w:pStyle w:val="sTabnorm"/>
              <w:jc w:val="left"/>
              <w:rPr>
                <w:lang w:val="cs-CZ"/>
              </w:rPr>
            </w:pPr>
            <w:r>
              <w:rPr>
                <w:lang w:val="cs-CZ"/>
              </w:rPr>
              <w:t>Identifikace příjemce úvěru:</w:t>
            </w:r>
          </w:p>
        </w:tc>
      </w:tr>
      <w:tr w:rsidR="00EE08D2">
        <w:trPr>
          <w:trHeight w:val="661"/>
          <w:jc w:val="center"/>
        </w:trPr>
        <w:tc>
          <w:tcPr>
            <w:tcW w:w="4446" w:type="dxa"/>
            <w:tcBorders>
              <w:top w:val="single" w:sz="4" w:space="0" w:color="auto"/>
              <w:left w:val="single" w:sz="4" w:space="0" w:color="auto"/>
              <w:bottom w:val="nil"/>
              <w:right w:val="single" w:sz="4" w:space="0" w:color="auto"/>
            </w:tcBorders>
          </w:tcPr>
          <w:p w:rsidR="00EE08D2" w:rsidRDefault="00494667">
            <w:pPr>
              <w:pStyle w:val="sTabbold"/>
              <w:spacing w:before="120"/>
              <w:rPr>
                <w:lang w:val="cs-CZ"/>
              </w:rPr>
            </w:pPr>
            <w:r>
              <w:rPr>
                <w:lang w:val="cs-CZ"/>
              </w:rPr>
              <w:t>SG Equipment Finance Czech Republic s.r.o.</w:t>
            </w:r>
          </w:p>
        </w:tc>
        <w:tc>
          <w:tcPr>
            <w:tcW w:w="4504" w:type="dxa"/>
            <w:tcBorders>
              <w:top w:val="single" w:sz="4" w:space="0" w:color="auto"/>
              <w:left w:val="single" w:sz="4" w:space="0" w:color="auto"/>
              <w:bottom w:val="nil"/>
              <w:right w:val="single" w:sz="4" w:space="0" w:color="auto"/>
            </w:tcBorders>
          </w:tcPr>
          <w:p w:rsidR="00EE08D2" w:rsidRDefault="00494667">
            <w:pPr>
              <w:pStyle w:val="sTabbold"/>
              <w:spacing w:before="120"/>
              <w:rPr>
                <w:lang w:val="cs-CZ"/>
              </w:rPr>
            </w:pPr>
            <w:r>
              <w:rPr>
                <w:lang w:val="cs-CZ"/>
              </w:rPr>
              <w:t>Technické služby města Liberce a.s.</w:t>
            </w:r>
          </w:p>
        </w:tc>
      </w:tr>
      <w:tr w:rsidR="00EE08D2">
        <w:trPr>
          <w:trHeight w:val="610"/>
          <w:jc w:val="center"/>
        </w:trPr>
        <w:tc>
          <w:tcPr>
            <w:tcW w:w="4446" w:type="dxa"/>
            <w:tcBorders>
              <w:top w:val="nil"/>
              <w:left w:val="single" w:sz="4" w:space="0" w:color="auto"/>
              <w:bottom w:val="nil"/>
              <w:right w:val="single" w:sz="4" w:space="0" w:color="auto"/>
            </w:tcBorders>
          </w:tcPr>
          <w:p w:rsidR="00EE08D2" w:rsidRDefault="00494667">
            <w:pPr>
              <w:pStyle w:val="sTabnorm"/>
              <w:jc w:val="left"/>
              <w:rPr>
                <w:lang w:val="cs-CZ"/>
              </w:rPr>
            </w:pPr>
            <w:r>
              <w:rPr>
                <w:lang w:val="cs-CZ"/>
              </w:rPr>
              <w:t>náměstí Junkových 2772/1</w:t>
            </w:r>
          </w:p>
          <w:p w:rsidR="00EE08D2" w:rsidRDefault="00494667">
            <w:pPr>
              <w:pStyle w:val="sTabnorm"/>
              <w:jc w:val="left"/>
              <w:rPr>
                <w:lang w:val="cs-CZ"/>
              </w:rPr>
            </w:pPr>
            <w:r>
              <w:rPr>
                <w:lang w:val="cs-CZ"/>
              </w:rPr>
              <w:t>155 00 Praha 5</w:t>
            </w:r>
          </w:p>
        </w:tc>
        <w:tc>
          <w:tcPr>
            <w:tcW w:w="4504" w:type="dxa"/>
            <w:tcBorders>
              <w:top w:val="nil"/>
              <w:left w:val="single" w:sz="4" w:space="0" w:color="auto"/>
              <w:right w:val="single" w:sz="4" w:space="0" w:color="auto"/>
            </w:tcBorders>
          </w:tcPr>
          <w:p w:rsidR="00EE08D2" w:rsidRDefault="00494667">
            <w:pPr>
              <w:pStyle w:val="sTabnorm"/>
              <w:rPr>
                <w:lang w:val="cs-CZ"/>
              </w:rPr>
            </w:pPr>
            <w:r>
              <w:rPr>
                <w:lang w:val="cs-CZ"/>
              </w:rPr>
              <w:t>Erbenova 376/2</w:t>
            </w:r>
          </w:p>
          <w:p w:rsidR="00EE08D2" w:rsidRDefault="00494667">
            <w:pPr>
              <w:pStyle w:val="sTabnorm"/>
              <w:rPr>
                <w:lang w:val="cs-CZ"/>
              </w:rPr>
            </w:pPr>
            <w:r>
              <w:rPr>
                <w:lang w:val="cs-CZ"/>
              </w:rPr>
              <w:t>460 08 Liberec 8</w:t>
            </w:r>
          </w:p>
        </w:tc>
      </w:tr>
      <w:tr w:rsidR="00EE08D2">
        <w:trPr>
          <w:trHeight w:val="598"/>
          <w:jc w:val="center"/>
        </w:trPr>
        <w:tc>
          <w:tcPr>
            <w:tcW w:w="4446" w:type="dxa"/>
            <w:tcBorders>
              <w:top w:val="nil"/>
              <w:left w:val="single" w:sz="4" w:space="0" w:color="auto"/>
              <w:bottom w:val="nil"/>
              <w:right w:val="single" w:sz="4" w:space="0" w:color="auto"/>
            </w:tcBorders>
          </w:tcPr>
          <w:p w:rsidR="00EE08D2" w:rsidRDefault="00494667">
            <w:pPr>
              <w:pStyle w:val="sTabnorm"/>
              <w:jc w:val="left"/>
              <w:rPr>
                <w:lang w:val="cs-CZ"/>
              </w:rPr>
            </w:pPr>
            <w:r>
              <w:rPr>
                <w:lang w:val="cs-CZ"/>
              </w:rPr>
              <w:t>Bankovní spojení: 0162710187/0100</w:t>
            </w:r>
          </w:p>
          <w:p w:rsidR="00EE08D2" w:rsidRDefault="00494667">
            <w:pPr>
              <w:pStyle w:val="sTabnorm"/>
              <w:jc w:val="left"/>
              <w:rPr>
                <w:lang w:val="cs-CZ"/>
              </w:rPr>
            </w:pPr>
            <w:r>
              <w:rPr>
                <w:lang w:val="cs-CZ"/>
              </w:rPr>
              <w:t>Komerční banka, a.s., Praha 1, Na Příkopě 33</w:t>
            </w:r>
          </w:p>
          <w:p w:rsidR="00EE08D2" w:rsidRDefault="00494667">
            <w:pPr>
              <w:pStyle w:val="sTabnorm"/>
              <w:jc w:val="left"/>
              <w:rPr>
                <w:lang w:val="cs-CZ"/>
              </w:rPr>
            </w:pPr>
            <w:r>
              <w:rPr>
                <w:lang w:val="cs-CZ"/>
              </w:rPr>
              <w:t>Měna: CZK</w:t>
            </w:r>
          </w:p>
          <w:p w:rsidR="00EE08D2" w:rsidRDefault="00EE08D2">
            <w:pPr>
              <w:pStyle w:val="sTabnorm"/>
              <w:rPr>
                <w:lang w:val="cs-CZ"/>
              </w:rPr>
            </w:pPr>
          </w:p>
        </w:tc>
        <w:tc>
          <w:tcPr>
            <w:tcW w:w="4504" w:type="dxa"/>
            <w:tcBorders>
              <w:left w:val="single" w:sz="4" w:space="0" w:color="auto"/>
              <w:right w:val="single" w:sz="4" w:space="0" w:color="auto"/>
            </w:tcBorders>
          </w:tcPr>
          <w:p w:rsidR="00EE08D2" w:rsidRDefault="00494667">
            <w:pPr>
              <w:pStyle w:val="sTabnorm"/>
              <w:jc w:val="left"/>
              <w:rPr>
                <w:lang w:val="cs-CZ"/>
              </w:rPr>
            </w:pPr>
            <w:r>
              <w:rPr>
                <w:lang w:val="cs-CZ"/>
              </w:rPr>
              <w:t>Bankovní spojení:</w:t>
            </w:r>
            <w:sdt>
              <w:sdtPr>
                <w:rPr>
                  <w:lang w:val="cs-CZ"/>
                </w:rPr>
                <w:id w:val="1175793503"/>
              </w:sdtPr>
              <w:sdtEndPr/>
              <w:sdtContent>
                <w:r>
                  <w:rPr>
                    <w:lang w:val="cs-CZ"/>
                  </w:rPr>
                  <w:t xml:space="preserve"> </w:t>
                </w:r>
              </w:sdtContent>
            </w:sdt>
            <w:r>
              <w:rPr>
                <w:lang w:val="cs-CZ"/>
              </w:rPr>
              <w:t xml:space="preserve"> 639461/0100</w:t>
            </w:r>
          </w:p>
          <w:p w:rsidR="00EE08D2" w:rsidRDefault="00494667">
            <w:pPr>
              <w:pStyle w:val="sTabnorm"/>
              <w:jc w:val="left"/>
              <w:rPr>
                <w:lang w:val="cs-CZ"/>
              </w:rPr>
            </w:pPr>
            <w:r>
              <w:rPr>
                <w:lang w:val="cs-CZ"/>
              </w:rPr>
              <w:t>Komerční banka, a.s., Liberec</w:t>
            </w:r>
          </w:p>
          <w:p w:rsidR="00EE08D2" w:rsidRDefault="00494667">
            <w:pPr>
              <w:pStyle w:val="sTabnorm"/>
              <w:jc w:val="left"/>
              <w:rPr>
                <w:lang w:val="cs-CZ"/>
              </w:rPr>
            </w:pPr>
            <w:r>
              <w:rPr>
                <w:lang w:val="cs-CZ"/>
              </w:rPr>
              <w:t>Měna: CZK</w:t>
            </w:r>
          </w:p>
          <w:p w:rsidR="00EE08D2" w:rsidRDefault="002C7A1C">
            <w:pPr>
              <w:pStyle w:val="sTabnorm"/>
              <w:jc w:val="left"/>
              <w:rPr>
                <w:lang w:val="cs-CZ"/>
              </w:rPr>
            </w:pPr>
            <w:sdt>
              <w:sdtPr>
                <w:rPr>
                  <w:highlight w:val="yellow"/>
                  <w:lang w:val="cs-CZ"/>
                </w:rPr>
                <w:id w:val="2127458393"/>
              </w:sdtPr>
              <w:sdtEndPr/>
              <w:sdtContent>
                <w:r w:rsidR="00494667">
                  <w:rPr>
                    <w:lang w:val="cs-CZ"/>
                  </w:rPr>
                  <w:t xml:space="preserve">   </w:t>
                </w:r>
              </w:sdtContent>
            </w:sdt>
          </w:p>
        </w:tc>
      </w:tr>
      <w:tr w:rsidR="00EE08D2" w:rsidRPr="00546195">
        <w:trPr>
          <w:trHeight w:val="558"/>
          <w:jc w:val="center"/>
        </w:trPr>
        <w:tc>
          <w:tcPr>
            <w:tcW w:w="4446" w:type="dxa"/>
            <w:tcBorders>
              <w:top w:val="nil"/>
              <w:left w:val="single" w:sz="4" w:space="0" w:color="auto"/>
              <w:right w:val="single" w:sz="4" w:space="0" w:color="auto"/>
            </w:tcBorders>
            <w:vAlign w:val="center"/>
          </w:tcPr>
          <w:p w:rsidR="00EE08D2" w:rsidRDefault="00494667">
            <w:pPr>
              <w:pStyle w:val="sTabnorm"/>
              <w:jc w:val="left"/>
              <w:rPr>
                <w:lang w:val="cs-CZ"/>
              </w:rPr>
            </w:pPr>
            <w:r>
              <w:rPr>
                <w:lang w:val="cs-CZ"/>
              </w:rPr>
              <w:t>IČ:</w:t>
            </w:r>
            <w:r>
              <w:rPr>
                <w:lang w:val="cs-CZ"/>
              </w:rPr>
              <w:tab/>
              <w:t>61061344</w:t>
            </w:r>
          </w:p>
          <w:p w:rsidR="00EE08D2" w:rsidRDefault="00494667">
            <w:pPr>
              <w:pStyle w:val="sTabnorm"/>
              <w:jc w:val="left"/>
              <w:rPr>
                <w:lang w:val="cs-CZ"/>
              </w:rPr>
            </w:pPr>
            <w:r>
              <w:rPr>
                <w:lang w:val="cs-CZ"/>
              </w:rPr>
              <w:t>DIČ:</w:t>
            </w:r>
            <w:r>
              <w:rPr>
                <w:lang w:val="cs-CZ"/>
              </w:rPr>
              <w:tab/>
              <w:t>CZ61061344</w:t>
            </w:r>
          </w:p>
          <w:p w:rsidR="00EE08D2" w:rsidRDefault="00494667">
            <w:pPr>
              <w:pStyle w:val="sTabnorm"/>
              <w:spacing w:before="120" w:after="60"/>
              <w:jc w:val="left"/>
              <w:rPr>
                <w:lang w:val="cs-CZ"/>
              </w:rPr>
            </w:pPr>
            <w:r>
              <w:rPr>
                <w:lang w:val="cs-CZ"/>
              </w:rPr>
              <w:t>Zápis v OR: Městský soud v Praze, C 43038</w:t>
            </w:r>
          </w:p>
        </w:tc>
        <w:tc>
          <w:tcPr>
            <w:tcW w:w="4504" w:type="dxa"/>
            <w:tcBorders>
              <w:top w:val="nil"/>
              <w:left w:val="single" w:sz="4" w:space="0" w:color="auto"/>
              <w:right w:val="single" w:sz="4" w:space="0" w:color="auto"/>
            </w:tcBorders>
            <w:vAlign w:val="center"/>
          </w:tcPr>
          <w:p w:rsidR="00EE08D2" w:rsidRDefault="00494667">
            <w:pPr>
              <w:pStyle w:val="sTabnorm"/>
              <w:jc w:val="left"/>
              <w:rPr>
                <w:lang w:val="cs-CZ"/>
              </w:rPr>
            </w:pPr>
            <w:r>
              <w:rPr>
                <w:lang w:val="cs-CZ"/>
              </w:rPr>
              <w:t>IČ:</w:t>
            </w:r>
            <w:r>
              <w:rPr>
                <w:lang w:val="cs-CZ"/>
              </w:rPr>
              <w:tab/>
              <w:t>25007017</w:t>
            </w:r>
          </w:p>
          <w:p w:rsidR="00EE08D2" w:rsidRDefault="00494667">
            <w:pPr>
              <w:pStyle w:val="sTabnorm"/>
              <w:jc w:val="left"/>
              <w:rPr>
                <w:lang w:val="cs-CZ"/>
              </w:rPr>
            </w:pPr>
            <w:r>
              <w:rPr>
                <w:lang w:val="cs-CZ"/>
              </w:rPr>
              <w:t>DIČ:</w:t>
            </w:r>
            <w:r>
              <w:rPr>
                <w:lang w:val="cs-CZ"/>
              </w:rPr>
              <w:tab/>
              <w:t>CZ25007017</w:t>
            </w:r>
          </w:p>
          <w:p w:rsidR="00EE08D2" w:rsidRDefault="00494667">
            <w:pPr>
              <w:pStyle w:val="sTabnorm"/>
              <w:spacing w:before="120" w:after="60"/>
              <w:jc w:val="left"/>
              <w:rPr>
                <w:lang w:val="cs-CZ"/>
              </w:rPr>
            </w:pPr>
            <w:r>
              <w:rPr>
                <w:lang w:val="cs-CZ"/>
              </w:rPr>
              <w:t>Zápis v OR: Krajský soud v Ústí nad Labem, B 877</w:t>
            </w:r>
          </w:p>
        </w:tc>
      </w:tr>
      <w:tr w:rsidR="00EE08D2">
        <w:trPr>
          <w:trHeight w:val="299"/>
          <w:jc w:val="center"/>
        </w:trPr>
        <w:tc>
          <w:tcPr>
            <w:tcW w:w="4446" w:type="dxa"/>
            <w:tcBorders>
              <w:left w:val="single" w:sz="4" w:space="0" w:color="auto"/>
              <w:bottom w:val="single" w:sz="4" w:space="0" w:color="auto"/>
              <w:right w:val="single" w:sz="4" w:space="0" w:color="auto"/>
            </w:tcBorders>
          </w:tcPr>
          <w:p w:rsidR="00EE08D2" w:rsidRDefault="00494667">
            <w:pPr>
              <w:pStyle w:val="sTabnorm"/>
              <w:rPr>
                <w:lang w:val="cs-CZ"/>
              </w:rPr>
            </w:pPr>
            <w:r>
              <w:rPr>
                <w:lang w:val="cs-CZ"/>
              </w:rPr>
              <w:t xml:space="preserve">- dále jen </w:t>
            </w:r>
            <w:r>
              <w:rPr>
                <w:rStyle w:val="sTabboldChar"/>
              </w:rPr>
              <w:t>poskytovatel úvěru</w:t>
            </w:r>
            <w:r>
              <w:rPr>
                <w:lang w:val="cs-CZ"/>
              </w:rPr>
              <w:t xml:space="preserve"> -</w:t>
            </w:r>
          </w:p>
        </w:tc>
        <w:tc>
          <w:tcPr>
            <w:tcW w:w="4504" w:type="dxa"/>
            <w:tcBorders>
              <w:left w:val="single" w:sz="4" w:space="0" w:color="auto"/>
              <w:bottom w:val="single" w:sz="4" w:space="0" w:color="auto"/>
              <w:right w:val="single" w:sz="4" w:space="0" w:color="auto"/>
            </w:tcBorders>
          </w:tcPr>
          <w:p w:rsidR="00EE08D2" w:rsidRDefault="00494667">
            <w:pPr>
              <w:pStyle w:val="sTabnorm"/>
              <w:rPr>
                <w:lang w:val="cs-CZ"/>
              </w:rPr>
            </w:pPr>
            <w:r>
              <w:rPr>
                <w:lang w:val="cs-CZ"/>
              </w:rPr>
              <w:t xml:space="preserve">- dále jen </w:t>
            </w:r>
            <w:r>
              <w:rPr>
                <w:rStyle w:val="sTabboldChar"/>
              </w:rPr>
              <w:t>příjemce úvěru</w:t>
            </w:r>
            <w:r>
              <w:rPr>
                <w:lang w:val="cs-CZ"/>
              </w:rPr>
              <w:t xml:space="preserve"> -</w:t>
            </w:r>
          </w:p>
        </w:tc>
      </w:tr>
    </w:tbl>
    <w:p w:rsidR="00EE08D2" w:rsidRDefault="00494667">
      <w:pPr>
        <w:pStyle w:val="sNadpis2"/>
        <w:spacing w:before="240"/>
        <w:ind w:left="357" w:hanging="357"/>
      </w:pPr>
      <w:r>
        <w:t>Předmět a účel smlouvy</w:t>
      </w:r>
    </w:p>
    <w:p w:rsidR="00EE08D2" w:rsidRDefault="00494667">
      <w:pPr>
        <w:pStyle w:val="sOdstavec"/>
        <w:rPr>
          <w:lang w:val="cs-CZ"/>
        </w:rPr>
      </w:pPr>
      <w:r>
        <w:rPr>
          <w:lang w:val="cs-CZ"/>
        </w:rPr>
        <w:t xml:space="preserve">Za podmínek stanovených touto smlouvou o úvěru se poskytovatel úvěru zavazuje, že poskytne příjemci úvěru finanční prostředky do výše úvěru blíže popsaného v článku 1 odst. 1.2 této smlouvy o úvěru s parametry úvěru specifikovanými v článku 1 odst. 1.4 této smlouvy o úvěru a příjemce úvěru se zavazuje finanční prostředky vrátit a zaplatit úroky a další platby v souladu s podmínkami této smlouvy o úvěru. </w:t>
      </w:r>
    </w:p>
    <w:p w:rsidR="00EE08D2" w:rsidRDefault="00494667">
      <w:pPr>
        <w:pStyle w:val="sOdstavec"/>
        <w:tabs>
          <w:tab w:val="left" w:pos="567"/>
          <w:tab w:val="num" w:pos="2836"/>
        </w:tabs>
        <w:rPr>
          <w:lang w:val="cs-CZ"/>
        </w:rPr>
      </w:pPr>
      <w:r>
        <w:rPr>
          <w:lang w:val="cs-CZ"/>
        </w:rPr>
        <w:t>Tato smlouva o úvěru je uzavřená/platná dnem jejího podpisu a nabývá účinnosti (s výjimkou dále uvedených ustanovení) dnem poskytnutí úvěru, resp. odepsáním finančních prostředků představujících úvěr z účtu poskytovatele úvěru, respektive prostředků tvořících poslední tranži úvěru, je-li sjednáno postupné čerpání (den poskytnutí úvěru), s výjimkou ujednání v článku 1 odst. 1.1, 1.2, 1.3, 1.4, 1.5, 1.6 a 1.8, v článku 2 odst. 2.2, 2.3, 2.4 a 2.6, v článku 3 odst. 3.1 a 3.2, v článku 5 odst. 5.5, v článku 7 odst. 7.1 a 7.2, v článku 8 odst. 8.1 a 8.2, v článku 9 odst. 9.2, 9.3 a 9.7 a celého článku 10, která nabývají účinnosti dnem uzavření této smlouvy o úvěru. Dnem účinnosti této smlouvy o úvěru se v celé této smlouvě o úvěru rozumí den, kdy se tato smlouva o úvěru stane účinnou v rozsahu všech svých ustanovení (den poskytnutí úvěru).</w:t>
      </w:r>
    </w:p>
    <w:p w:rsidR="00EE08D2" w:rsidRDefault="00494667">
      <w:pPr>
        <w:pStyle w:val="sOdstavec"/>
        <w:tabs>
          <w:tab w:val="left" w:pos="567"/>
          <w:tab w:val="num" w:pos="2836"/>
        </w:tabs>
        <w:rPr>
          <w:lang w:val="cs-CZ"/>
        </w:rPr>
      </w:pPr>
      <w:r>
        <w:rPr>
          <w:lang w:val="cs-CZ"/>
        </w:rPr>
        <w:t>Finanční prostředky představující úvěr jsou příjemci úvěru poskytnuty výlučně za účelem koupě předmětu, specifikovaného v článku 1.4 této smlouvy o úvěru.</w:t>
      </w:r>
    </w:p>
    <w:p w:rsidR="00EE08D2" w:rsidRDefault="00494667">
      <w:pPr>
        <w:pStyle w:val="sOdstavec"/>
        <w:keepNext/>
        <w:tabs>
          <w:tab w:val="left" w:pos="567"/>
          <w:tab w:val="num" w:pos="2836"/>
        </w:tabs>
        <w:rPr>
          <w:lang w:val="cs-CZ"/>
        </w:rPr>
      </w:pPr>
      <w:r>
        <w:rPr>
          <w:lang w:val="cs-CZ"/>
        </w:rPr>
        <w:t>Základní parametry úvěru jsou následující:</w:t>
      </w:r>
    </w:p>
    <w:tbl>
      <w:tblPr>
        <w:tblW w:w="8966" w:type="dxa"/>
        <w:jc w:val="center"/>
        <w:tblLayout w:type="fixed"/>
        <w:tblLook w:val="04A0" w:firstRow="1" w:lastRow="0" w:firstColumn="1" w:lastColumn="0" w:noHBand="0" w:noVBand="1"/>
      </w:tblPr>
      <w:tblGrid>
        <w:gridCol w:w="2357"/>
        <w:gridCol w:w="1559"/>
        <w:gridCol w:w="653"/>
        <w:gridCol w:w="4397"/>
      </w:tblGrid>
      <w:tr w:rsidR="00EE08D2">
        <w:trPr>
          <w:trHeight w:val="305"/>
          <w:jc w:val="center"/>
        </w:trPr>
        <w:tc>
          <w:tcPr>
            <w:tcW w:w="4569" w:type="dxa"/>
            <w:gridSpan w:val="3"/>
            <w:tcBorders>
              <w:bottom w:val="single" w:sz="4" w:space="0" w:color="auto"/>
              <w:right w:val="nil"/>
            </w:tcBorders>
            <w:vAlign w:val="bottom"/>
          </w:tcPr>
          <w:p w:rsidR="00EE08D2" w:rsidRDefault="00494667">
            <w:pPr>
              <w:pStyle w:val="sTabbold"/>
              <w:spacing w:after="60"/>
              <w:rPr>
                <w:lang w:val="cs-CZ"/>
              </w:rPr>
            </w:pPr>
            <w:r>
              <w:rPr>
                <w:lang w:val="cs-CZ"/>
              </w:rPr>
              <w:t>PŘEDMĚT FINANCOVÁNÍ:</w:t>
            </w:r>
          </w:p>
        </w:tc>
        <w:tc>
          <w:tcPr>
            <w:tcW w:w="4397" w:type="dxa"/>
            <w:tcBorders>
              <w:left w:val="nil"/>
              <w:bottom w:val="single" w:sz="4" w:space="0" w:color="auto"/>
            </w:tcBorders>
          </w:tcPr>
          <w:p w:rsidR="00EE08D2" w:rsidRDefault="00EE08D2">
            <w:pPr>
              <w:pStyle w:val="sTabnorm"/>
              <w:keepNext/>
              <w:keepLines/>
              <w:jc w:val="left"/>
              <w:rPr>
                <w:lang w:val="cs-CZ"/>
              </w:rPr>
            </w:pPr>
          </w:p>
        </w:tc>
      </w:tr>
      <w:tr w:rsidR="00EE08D2">
        <w:trPr>
          <w:trHeight w:val="283"/>
          <w:jc w:val="center"/>
        </w:trPr>
        <w:tc>
          <w:tcPr>
            <w:tcW w:w="8966" w:type="dxa"/>
            <w:gridSpan w:val="4"/>
            <w:tcBorders>
              <w:left w:val="single" w:sz="4" w:space="0" w:color="auto"/>
              <w:bottom w:val="nil"/>
              <w:right w:val="single" w:sz="4" w:space="0" w:color="auto"/>
            </w:tcBorders>
          </w:tcPr>
          <w:p w:rsidR="00EE08D2" w:rsidRDefault="00494667">
            <w:pPr>
              <w:pStyle w:val="sTabnorm"/>
              <w:keepNext/>
              <w:keepLines/>
              <w:spacing w:before="60"/>
              <w:rPr>
                <w:b/>
                <w:lang w:val="cs-CZ"/>
              </w:rPr>
            </w:pPr>
            <w:r>
              <w:rPr>
                <w:b/>
                <w:lang w:val="cs-CZ"/>
              </w:rPr>
              <w:t>Nákladní vozidlo Mitsubishi Canter vč. nástavby FABOK CASK 2/1</w:t>
            </w:r>
          </w:p>
        </w:tc>
      </w:tr>
      <w:tr w:rsidR="00EE08D2">
        <w:trPr>
          <w:trHeight w:val="283"/>
          <w:jc w:val="center"/>
        </w:trPr>
        <w:tc>
          <w:tcPr>
            <w:tcW w:w="2357" w:type="dxa"/>
            <w:tcBorders>
              <w:left w:val="single" w:sz="4" w:space="0" w:color="auto"/>
              <w:bottom w:val="nil"/>
            </w:tcBorders>
            <w:vAlign w:val="bottom"/>
          </w:tcPr>
          <w:p w:rsidR="00EE08D2" w:rsidRDefault="00494667">
            <w:pPr>
              <w:pStyle w:val="sTabnorm"/>
              <w:keepNext/>
              <w:keepLines/>
              <w:jc w:val="left"/>
              <w:rPr>
                <w:lang w:val="cs-CZ"/>
              </w:rPr>
            </w:pPr>
            <w:r>
              <w:rPr>
                <w:lang w:val="cs-CZ"/>
              </w:rPr>
              <w:t>Kupní cena bez DPH:</w:t>
            </w:r>
          </w:p>
        </w:tc>
        <w:tc>
          <w:tcPr>
            <w:tcW w:w="1559" w:type="dxa"/>
            <w:tcBorders>
              <w:bottom w:val="nil"/>
            </w:tcBorders>
            <w:vAlign w:val="bottom"/>
          </w:tcPr>
          <w:p w:rsidR="00EE08D2" w:rsidRDefault="00494667">
            <w:pPr>
              <w:pStyle w:val="sTabnorm"/>
              <w:keepNext/>
              <w:keepLines/>
              <w:jc w:val="right"/>
              <w:rPr>
                <w:b/>
                <w:lang w:val="cs-CZ"/>
              </w:rPr>
            </w:pPr>
            <w:r>
              <w:rPr>
                <w:b/>
                <w:lang w:val="cs-CZ"/>
              </w:rPr>
              <w:t>2 758 127,00</w:t>
            </w:r>
          </w:p>
        </w:tc>
        <w:tc>
          <w:tcPr>
            <w:tcW w:w="5050" w:type="dxa"/>
            <w:gridSpan w:val="2"/>
            <w:tcBorders>
              <w:bottom w:val="nil"/>
              <w:right w:val="single" w:sz="4" w:space="0" w:color="auto"/>
            </w:tcBorders>
            <w:vAlign w:val="bottom"/>
          </w:tcPr>
          <w:p w:rsidR="00EE08D2" w:rsidRDefault="00494667">
            <w:pPr>
              <w:pStyle w:val="sTabnorm"/>
              <w:keepNext/>
              <w:keepLines/>
              <w:jc w:val="left"/>
              <w:rPr>
                <w:b/>
                <w:lang w:val="cs-CZ"/>
              </w:rPr>
            </w:pPr>
            <w:r>
              <w:rPr>
                <w:b/>
                <w:lang w:val="cs-CZ"/>
              </w:rPr>
              <w:t>CZK</w:t>
            </w:r>
          </w:p>
        </w:tc>
      </w:tr>
      <w:tr w:rsidR="00EE08D2">
        <w:trPr>
          <w:trHeight w:val="227"/>
          <w:jc w:val="center"/>
        </w:trPr>
        <w:tc>
          <w:tcPr>
            <w:tcW w:w="2357" w:type="dxa"/>
            <w:tcBorders>
              <w:top w:val="nil"/>
              <w:left w:val="single" w:sz="4" w:space="0" w:color="auto"/>
              <w:bottom w:val="nil"/>
            </w:tcBorders>
            <w:vAlign w:val="center"/>
          </w:tcPr>
          <w:p w:rsidR="00EE08D2" w:rsidRDefault="00494667">
            <w:pPr>
              <w:pStyle w:val="sTabnorm"/>
              <w:keepNext/>
              <w:keepLines/>
              <w:jc w:val="left"/>
              <w:rPr>
                <w:lang w:val="cs-CZ"/>
              </w:rPr>
            </w:pPr>
            <w:r>
              <w:rPr>
                <w:lang w:val="cs-CZ"/>
              </w:rPr>
              <w:t xml:space="preserve">Výrobní číslo: </w:t>
            </w:r>
          </w:p>
        </w:tc>
        <w:tc>
          <w:tcPr>
            <w:tcW w:w="6609" w:type="dxa"/>
            <w:gridSpan w:val="3"/>
            <w:tcBorders>
              <w:top w:val="nil"/>
              <w:right w:val="single" w:sz="4" w:space="0" w:color="auto"/>
            </w:tcBorders>
            <w:vAlign w:val="center"/>
          </w:tcPr>
          <w:p w:rsidR="00EE08D2" w:rsidRDefault="00494667">
            <w:pPr>
              <w:pStyle w:val="sTabnorm"/>
              <w:keepNext/>
              <w:keepLines/>
              <w:jc w:val="left"/>
              <w:rPr>
                <w:lang w:val="cs-CZ"/>
              </w:rPr>
            </w:pPr>
            <w:r>
              <w:rPr>
                <w:lang w:val="cs-CZ"/>
              </w:rPr>
              <w:t>TYBFEB71ELDZ06056, FBMCASK2107180050</w:t>
            </w:r>
          </w:p>
        </w:tc>
      </w:tr>
      <w:tr w:rsidR="00EE08D2">
        <w:trPr>
          <w:trHeight w:val="227"/>
          <w:jc w:val="center"/>
        </w:trPr>
        <w:tc>
          <w:tcPr>
            <w:tcW w:w="2357" w:type="dxa"/>
            <w:tcBorders>
              <w:top w:val="nil"/>
              <w:left w:val="single" w:sz="4" w:space="0" w:color="auto"/>
              <w:bottom w:val="nil"/>
            </w:tcBorders>
            <w:vAlign w:val="center"/>
          </w:tcPr>
          <w:p w:rsidR="00EE08D2" w:rsidRDefault="00494667">
            <w:pPr>
              <w:pStyle w:val="sTabnorm"/>
              <w:keepNext/>
              <w:keepLines/>
              <w:jc w:val="left"/>
              <w:rPr>
                <w:lang w:val="cs-CZ"/>
              </w:rPr>
            </w:pPr>
            <w:r>
              <w:rPr>
                <w:lang w:val="cs-CZ"/>
              </w:rPr>
              <w:t>Výrobce:</w:t>
            </w:r>
          </w:p>
        </w:tc>
        <w:tc>
          <w:tcPr>
            <w:tcW w:w="6609" w:type="dxa"/>
            <w:gridSpan w:val="3"/>
            <w:tcBorders>
              <w:top w:val="nil"/>
              <w:bottom w:val="nil"/>
              <w:right w:val="single" w:sz="4" w:space="0" w:color="auto"/>
            </w:tcBorders>
            <w:vAlign w:val="center"/>
          </w:tcPr>
          <w:p w:rsidR="00EE08D2" w:rsidRDefault="00494667">
            <w:pPr>
              <w:pStyle w:val="sTabnorm"/>
              <w:keepNext/>
              <w:keepLines/>
              <w:jc w:val="left"/>
              <w:rPr>
                <w:lang w:val="cs-CZ"/>
              </w:rPr>
            </w:pPr>
            <w:r>
              <w:rPr>
                <w:lang w:val="cs-CZ"/>
              </w:rPr>
              <w:t>Mitsubishi, FABOK</w:t>
            </w:r>
          </w:p>
        </w:tc>
      </w:tr>
      <w:tr w:rsidR="00EE08D2">
        <w:trPr>
          <w:trHeight w:val="227"/>
          <w:jc w:val="center"/>
        </w:trPr>
        <w:tc>
          <w:tcPr>
            <w:tcW w:w="2357" w:type="dxa"/>
            <w:tcBorders>
              <w:top w:val="nil"/>
              <w:left w:val="single" w:sz="4" w:space="0" w:color="auto"/>
              <w:bottom w:val="nil"/>
            </w:tcBorders>
            <w:vAlign w:val="center"/>
          </w:tcPr>
          <w:p w:rsidR="00EE08D2" w:rsidRDefault="00494667">
            <w:pPr>
              <w:pStyle w:val="sTabnorm"/>
              <w:keepNext/>
              <w:keepLines/>
              <w:jc w:val="left"/>
              <w:rPr>
                <w:lang w:val="cs-CZ"/>
              </w:rPr>
            </w:pPr>
            <w:r>
              <w:rPr>
                <w:lang w:val="cs-CZ"/>
              </w:rPr>
              <w:t>Rok výroby:</w:t>
            </w:r>
          </w:p>
        </w:tc>
        <w:tc>
          <w:tcPr>
            <w:tcW w:w="6609" w:type="dxa"/>
            <w:gridSpan w:val="3"/>
            <w:tcBorders>
              <w:top w:val="nil"/>
              <w:right w:val="single" w:sz="4" w:space="0" w:color="auto"/>
            </w:tcBorders>
            <w:vAlign w:val="center"/>
          </w:tcPr>
          <w:p w:rsidR="00EE08D2" w:rsidRDefault="00494667">
            <w:pPr>
              <w:pStyle w:val="sTabnorm"/>
              <w:keepNext/>
              <w:keepLines/>
              <w:jc w:val="left"/>
              <w:rPr>
                <w:lang w:val="cs-CZ"/>
              </w:rPr>
            </w:pPr>
            <w:r>
              <w:rPr>
                <w:lang w:val="cs-CZ"/>
              </w:rPr>
              <w:t xml:space="preserve">2018 </w:t>
            </w:r>
          </w:p>
        </w:tc>
      </w:tr>
      <w:tr w:rsidR="00EE08D2">
        <w:trPr>
          <w:trHeight w:val="227"/>
          <w:jc w:val="center"/>
        </w:trPr>
        <w:tc>
          <w:tcPr>
            <w:tcW w:w="2357" w:type="dxa"/>
            <w:tcBorders>
              <w:top w:val="nil"/>
              <w:left w:val="single" w:sz="4" w:space="0" w:color="auto"/>
            </w:tcBorders>
            <w:vAlign w:val="center"/>
          </w:tcPr>
          <w:p w:rsidR="00EE08D2" w:rsidRDefault="00494667">
            <w:pPr>
              <w:pStyle w:val="sTabnorm"/>
              <w:keepNext/>
              <w:keepLines/>
              <w:jc w:val="left"/>
              <w:rPr>
                <w:lang w:val="cs-CZ"/>
              </w:rPr>
            </w:pPr>
            <w:r>
              <w:rPr>
                <w:lang w:val="cs-CZ"/>
              </w:rPr>
              <w:t>Stav:</w:t>
            </w:r>
          </w:p>
        </w:tc>
        <w:tc>
          <w:tcPr>
            <w:tcW w:w="6609" w:type="dxa"/>
            <w:gridSpan w:val="3"/>
            <w:tcBorders>
              <w:top w:val="nil"/>
              <w:right w:val="single" w:sz="4" w:space="0" w:color="auto"/>
            </w:tcBorders>
            <w:vAlign w:val="center"/>
          </w:tcPr>
          <w:p w:rsidR="00EE08D2" w:rsidRDefault="00494667">
            <w:pPr>
              <w:pStyle w:val="sTabnorm"/>
              <w:keepNext/>
              <w:keepLines/>
              <w:jc w:val="left"/>
              <w:rPr>
                <w:lang w:val="cs-CZ"/>
              </w:rPr>
            </w:pPr>
            <w:r>
              <w:rPr>
                <w:lang w:val="cs-CZ"/>
              </w:rPr>
              <w:t xml:space="preserve">nový </w:t>
            </w:r>
          </w:p>
        </w:tc>
      </w:tr>
      <w:tr w:rsidR="00EE08D2">
        <w:trPr>
          <w:trHeight w:val="227"/>
          <w:jc w:val="center"/>
        </w:trPr>
        <w:tc>
          <w:tcPr>
            <w:tcW w:w="8966" w:type="dxa"/>
            <w:gridSpan w:val="4"/>
            <w:tcBorders>
              <w:top w:val="nil"/>
              <w:left w:val="single" w:sz="4" w:space="0" w:color="auto"/>
              <w:bottom w:val="single" w:sz="4" w:space="0" w:color="auto"/>
              <w:right w:val="single" w:sz="4" w:space="0" w:color="auto"/>
            </w:tcBorders>
          </w:tcPr>
          <w:p w:rsidR="00EE08D2" w:rsidRDefault="00494667">
            <w:pPr>
              <w:pStyle w:val="sTabnorm"/>
              <w:keepLines/>
              <w:spacing w:before="120" w:after="60"/>
              <w:jc w:val="left"/>
              <w:rPr>
                <w:lang w:val="cs-CZ"/>
              </w:rPr>
            </w:pPr>
            <w:r>
              <w:rPr>
                <w:lang w:val="cs-CZ"/>
              </w:rPr>
              <w:t>(dále jen „</w:t>
            </w:r>
            <w:r>
              <w:rPr>
                <w:rStyle w:val="sTextboldChar"/>
              </w:rPr>
              <w:t>předmět financování</w:t>
            </w:r>
            <w:r>
              <w:rPr>
                <w:lang w:val="cs-CZ"/>
              </w:rPr>
              <w:t>“)</w:t>
            </w:r>
          </w:p>
        </w:tc>
      </w:tr>
    </w:tbl>
    <w:p w:rsidR="00EE08D2" w:rsidRDefault="00EE08D2">
      <w:pPr>
        <w:rPr>
          <w:lang w:val="cs-CZ"/>
        </w:rPr>
      </w:pPr>
    </w:p>
    <w:tbl>
      <w:tblPr>
        <w:tblW w:w="9001" w:type="dxa"/>
        <w:jc w:val="center"/>
        <w:tblLayout w:type="fixed"/>
        <w:tblLook w:val="04A0" w:firstRow="1" w:lastRow="0" w:firstColumn="1" w:lastColumn="0" w:noHBand="0" w:noVBand="1"/>
      </w:tblPr>
      <w:tblGrid>
        <w:gridCol w:w="9001"/>
      </w:tblGrid>
      <w:tr w:rsidR="00EE08D2">
        <w:trPr>
          <w:trHeight w:val="306"/>
          <w:jc w:val="center"/>
        </w:trPr>
        <w:tc>
          <w:tcPr>
            <w:tcW w:w="9001" w:type="dxa"/>
            <w:tcBorders>
              <w:bottom w:val="single" w:sz="4" w:space="0" w:color="auto"/>
            </w:tcBorders>
            <w:vAlign w:val="bottom"/>
          </w:tcPr>
          <w:p w:rsidR="00EE08D2" w:rsidRDefault="00494667">
            <w:pPr>
              <w:pStyle w:val="sTabbold"/>
              <w:spacing w:after="60"/>
              <w:rPr>
                <w:lang w:val="cs-CZ"/>
              </w:rPr>
            </w:pPr>
            <w:r>
              <w:rPr>
                <w:lang w:val="cs-CZ"/>
              </w:rPr>
              <w:lastRenderedPageBreak/>
              <w:t>DODAVATEL:</w:t>
            </w:r>
          </w:p>
        </w:tc>
      </w:tr>
      <w:tr w:rsidR="00EE08D2">
        <w:trPr>
          <w:trHeight w:val="340"/>
          <w:jc w:val="center"/>
        </w:trPr>
        <w:tc>
          <w:tcPr>
            <w:tcW w:w="9001" w:type="dxa"/>
            <w:tcBorders>
              <w:top w:val="single" w:sz="4" w:space="0" w:color="auto"/>
              <w:left w:val="single" w:sz="4" w:space="0" w:color="auto"/>
              <w:bottom w:val="nil"/>
              <w:right w:val="single" w:sz="4" w:space="0" w:color="auto"/>
            </w:tcBorders>
          </w:tcPr>
          <w:p w:rsidR="00EE08D2" w:rsidRDefault="00494667">
            <w:pPr>
              <w:pStyle w:val="sTabnorm"/>
              <w:keepNext/>
              <w:keepLines/>
              <w:spacing w:before="60"/>
              <w:rPr>
                <w:lang w:val="cs-CZ"/>
              </w:rPr>
            </w:pPr>
            <w:r>
              <w:rPr>
                <w:b/>
                <w:lang w:val="cs-CZ"/>
              </w:rPr>
              <w:t>FABOK spol. s r.o.</w:t>
            </w:r>
          </w:p>
        </w:tc>
      </w:tr>
      <w:tr w:rsidR="00EE08D2">
        <w:trPr>
          <w:trHeight w:val="227"/>
          <w:jc w:val="center"/>
        </w:trPr>
        <w:tc>
          <w:tcPr>
            <w:tcW w:w="9001" w:type="dxa"/>
            <w:tcBorders>
              <w:top w:val="nil"/>
              <w:left w:val="single" w:sz="4" w:space="0" w:color="auto"/>
              <w:bottom w:val="nil"/>
              <w:right w:val="single" w:sz="4" w:space="0" w:color="auto"/>
            </w:tcBorders>
          </w:tcPr>
          <w:p w:rsidR="00EE08D2" w:rsidRDefault="00494667">
            <w:pPr>
              <w:pStyle w:val="sTabnorm"/>
              <w:keepNext/>
              <w:keepLines/>
              <w:rPr>
                <w:lang w:val="cs-CZ"/>
              </w:rPr>
            </w:pPr>
            <w:r>
              <w:rPr>
                <w:lang w:val="cs-CZ"/>
              </w:rPr>
              <w:t>Husovo náměstí 10</w:t>
            </w:r>
          </w:p>
        </w:tc>
      </w:tr>
      <w:tr w:rsidR="00EE08D2">
        <w:trPr>
          <w:trHeight w:val="340"/>
          <w:jc w:val="center"/>
        </w:trPr>
        <w:tc>
          <w:tcPr>
            <w:tcW w:w="9001" w:type="dxa"/>
            <w:tcBorders>
              <w:top w:val="nil"/>
              <w:left w:val="single" w:sz="4" w:space="0" w:color="auto"/>
              <w:bottom w:val="nil"/>
              <w:right w:val="single" w:sz="4" w:space="0" w:color="auto"/>
            </w:tcBorders>
          </w:tcPr>
          <w:p w:rsidR="00EE08D2" w:rsidRDefault="00494667">
            <w:pPr>
              <w:pStyle w:val="sTabnorm"/>
              <w:keepNext/>
              <w:keepLines/>
              <w:rPr>
                <w:lang w:val="cs-CZ"/>
              </w:rPr>
            </w:pPr>
            <w:r>
              <w:rPr>
                <w:lang w:val="cs-CZ"/>
              </w:rPr>
              <w:t>250 87 Mochov</w:t>
            </w:r>
          </w:p>
        </w:tc>
      </w:tr>
      <w:tr w:rsidR="00EE08D2">
        <w:trPr>
          <w:trHeight w:val="227"/>
          <w:jc w:val="center"/>
        </w:trPr>
        <w:tc>
          <w:tcPr>
            <w:tcW w:w="9001" w:type="dxa"/>
            <w:tcBorders>
              <w:top w:val="nil"/>
              <w:left w:val="single" w:sz="4" w:space="0" w:color="auto"/>
              <w:bottom w:val="nil"/>
              <w:right w:val="single" w:sz="4" w:space="0" w:color="auto"/>
            </w:tcBorders>
          </w:tcPr>
          <w:p w:rsidR="00EE08D2" w:rsidRDefault="00494667">
            <w:pPr>
              <w:pStyle w:val="sTabnorm"/>
              <w:keepNext/>
              <w:keepLines/>
              <w:rPr>
                <w:lang w:val="cs-CZ"/>
              </w:rPr>
            </w:pPr>
            <w:r>
              <w:rPr>
                <w:lang w:val="cs-CZ"/>
              </w:rPr>
              <w:t>IČ: 25682725</w:t>
            </w:r>
            <w:r>
              <w:rPr>
                <w:lang w:val="cs-CZ"/>
              </w:rPr>
              <w:tab/>
              <w:t>DIČ: CZ25682725</w:t>
            </w:r>
          </w:p>
        </w:tc>
      </w:tr>
      <w:tr w:rsidR="00EE08D2">
        <w:trPr>
          <w:trHeight w:val="181"/>
          <w:jc w:val="center"/>
        </w:trPr>
        <w:tc>
          <w:tcPr>
            <w:tcW w:w="9001" w:type="dxa"/>
            <w:tcBorders>
              <w:top w:val="nil"/>
              <w:left w:val="single" w:sz="4" w:space="0" w:color="auto"/>
              <w:bottom w:val="nil"/>
              <w:right w:val="single" w:sz="4" w:space="0" w:color="auto"/>
            </w:tcBorders>
          </w:tcPr>
          <w:p w:rsidR="00EE08D2" w:rsidRDefault="00494667">
            <w:pPr>
              <w:pStyle w:val="sTabnorm"/>
              <w:keepNext/>
              <w:keepLines/>
              <w:rPr>
                <w:lang w:val="cs-CZ"/>
              </w:rPr>
            </w:pPr>
            <w:r>
              <w:rPr>
                <w:lang w:val="cs-CZ"/>
              </w:rPr>
              <w:t>Zápis v OR: Městský soud v Praze, C60833</w:t>
            </w:r>
          </w:p>
        </w:tc>
      </w:tr>
      <w:tr w:rsidR="00EE08D2">
        <w:trPr>
          <w:trHeight w:val="227"/>
          <w:jc w:val="center"/>
        </w:trPr>
        <w:tc>
          <w:tcPr>
            <w:tcW w:w="9001" w:type="dxa"/>
            <w:tcBorders>
              <w:top w:val="nil"/>
              <w:left w:val="single" w:sz="4" w:space="0" w:color="auto"/>
              <w:bottom w:val="single" w:sz="4" w:space="0" w:color="auto"/>
              <w:right w:val="single" w:sz="4" w:space="0" w:color="auto"/>
            </w:tcBorders>
          </w:tcPr>
          <w:p w:rsidR="00EE08D2" w:rsidRDefault="00494667">
            <w:pPr>
              <w:pStyle w:val="sTabnorm"/>
              <w:keepNext/>
              <w:keepLines/>
              <w:spacing w:before="120" w:after="60"/>
              <w:jc w:val="left"/>
              <w:rPr>
                <w:lang w:val="cs-CZ"/>
              </w:rPr>
            </w:pPr>
            <w:r>
              <w:rPr>
                <w:lang w:val="cs-CZ"/>
              </w:rPr>
              <w:t>(dále jen „</w:t>
            </w:r>
            <w:r>
              <w:rPr>
                <w:rStyle w:val="sTabboldChar"/>
              </w:rPr>
              <w:t>dodavatel</w:t>
            </w:r>
            <w:r>
              <w:rPr>
                <w:lang w:val="cs-CZ"/>
              </w:rPr>
              <w:t>“)</w:t>
            </w:r>
          </w:p>
        </w:tc>
      </w:tr>
    </w:tbl>
    <w:p w:rsidR="00EE08D2" w:rsidRDefault="00EE08D2">
      <w:pPr>
        <w:rPr>
          <w:lang w:val="cs-CZ"/>
        </w:rPr>
      </w:pPr>
    </w:p>
    <w:tbl>
      <w:tblPr>
        <w:tblW w:w="9001"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24"/>
        <w:gridCol w:w="1169"/>
        <w:gridCol w:w="1986"/>
        <w:gridCol w:w="1664"/>
        <w:gridCol w:w="1276"/>
        <w:gridCol w:w="1382"/>
      </w:tblGrid>
      <w:tr w:rsidR="00EE08D2">
        <w:trPr>
          <w:trHeight w:val="283"/>
          <w:jc w:val="center"/>
        </w:trPr>
        <w:tc>
          <w:tcPr>
            <w:tcW w:w="9001" w:type="dxa"/>
            <w:gridSpan w:val="6"/>
            <w:tcBorders>
              <w:top w:val="nil"/>
              <w:left w:val="nil"/>
              <w:bottom w:val="single" w:sz="4" w:space="0" w:color="auto"/>
              <w:right w:val="nil"/>
            </w:tcBorders>
            <w:vAlign w:val="center"/>
          </w:tcPr>
          <w:p w:rsidR="00EE08D2" w:rsidRDefault="00494667">
            <w:pPr>
              <w:pStyle w:val="sTabbold"/>
              <w:spacing w:after="60"/>
              <w:rPr>
                <w:lang w:val="cs-CZ"/>
              </w:rPr>
            </w:pPr>
            <w:r>
              <w:rPr>
                <w:lang w:val="cs-CZ"/>
              </w:rPr>
              <w:t>SPLÁTKY A OSTATNÍ PARAMETRY SMLOUVY:</w:t>
            </w:r>
          </w:p>
        </w:tc>
      </w:tr>
      <w:tr w:rsidR="00EE08D2">
        <w:trPr>
          <w:trHeight w:val="283"/>
          <w:jc w:val="center"/>
        </w:trPr>
        <w:tc>
          <w:tcPr>
            <w:tcW w:w="4679" w:type="dxa"/>
            <w:gridSpan w:val="3"/>
            <w:tcBorders>
              <w:top w:val="single" w:sz="4" w:space="0" w:color="auto"/>
              <w:bottom w:val="nil"/>
            </w:tcBorders>
            <w:vAlign w:val="center"/>
          </w:tcPr>
          <w:p w:rsidR="00EE08D2" w:rsidRDefault="00494667">
            <w:pPr>
              <w:pStyle w:val="sTabbold"/>
              <w:spacing w:before="40"/>
              <w:rPr>
                <w:lang w:val="cs-CZ"/>
              </w:rPr>
            </w:pPr>
            <w:r>
              <w:rPr>
                <w:lang w:val="cs-CZ"/>
              </w:rPr>
              <w:t>Měna smlouvy o úvěru:</w:t>
            </w:r>
          </w:p>
        </w:tc>
        <w:tc>
          <w:tcPr>
            <w:tcW w:w="4322" w:type="dxa"/>
            <w:gridSpan w:val="3"/>
            <w:tcBorders>
              <w:top w:val="single" w:sz="4" w:space="0" w:color="auto"/>
              <w:bottom w:val="nil"/>
            </w:tcBorders>
            <w:vAlign w:val="center"/>
          </w:tcPr>
          <w:p w:rsidR="00EE08D2" w:rsidRDefault="00494667">
            <w:pPr>
              <w:pStyle w:val="sTabbold"/>
              <w:spacing w:before="40"/>
              <w:rPr>
                <w:lang w:val="cs-CZ"/>
              </w:rPr>
            </w:pPr>
            <w:r>
              <w:rPr>
                <w:lang w:val="cs-CZ"/>
              </w:rPr>
              <w:t>CZK</w:t>
            </w:r>
          </w:p>
        </w:tc>
      </w:tr>
      <w:tr w:rsidR="00EE08D2">
        <w:trPr>
          <w:trHeight w:val="283"/>
          <w:jc w:val="center"/>
        </w:trPr>
        <w:tc>
          <w:tcPr>
            <w:tcW w:w="4679" w:type="dxa"/>
            <w:gridSpan w:val="3"/>
            <w:tcBorders>
              <w:top w:val="nil"/>
            </w:tcBorders>
            <w:vAlign w:val="center"/>
          </w:tcPr>
          <w:p w:rsidR="00EE08D2" w:rsidRDefault="00494667">
            <w:pPr>
              <w:pStyle w:val="sTabbold"/>
              <w:rPr>
                <w:lang w:val="cs-CZ"/>
              </w:rPr>
            </w:pPr>
            <w:r>
              <w:rPr>
                <w:lang w:val="cs-CZ"/>
              </w:rPr>
              <w:t>Druh financování:</w:t>
            </w:r>
          </w:p>
        </w:tc>
        <w:tc>
          <w:tcPr>
            <w:tcW w:w="4322" w:type="dxa"/>
            <w:gridSpan w:val="3"/>
            <w:tcBorders>
              <w:top w:val="nil"/>
            </w:tcBorders>
            <w:vAlign w:val="center"/>
          </w:tcPr>
          <w:p w:rsidR="00EE08D2" w:rsidRDefault="00494667">
            <w:pPr>
              <w:pStyle w:val="sTabbold"/>
              <w:rPr>
                <w:lang w:val="cs-CZ"/>
              </w:rPr>
            </w:pPr>
            <w:r>
              <w:rPr>
                <w:b w:val="0"/>
                <w:lang w:val="cs-CZ"/>
              </w:rPr>
              <w:t>Fixní (na dobu 5 let)</w:t>
            </w:r>
            <w:r>
              <w:rPr>
                <w:lang w:val="cs-CZ"/>
              </w:rPr>
              <w:t xml:space="preserve"> </w:t>
            </w:r>
          </w:p>
        </w:tc>
      </w:tr>
      <w:tr w:rsidR="00EE08D2">
        <w:trPr>
          <w:trHeight w:val="283"/>
          <w:jc w:val="center"/>
        </w:trPr>
        <w:tc>
          <w:tcPr>
            <w:tcW w:w="4679" w:type="dxa"/>
            <w:gridSpan w:val="3"/>
            <w:vAlign w:val="center"/>
          </w:tcPr>
          <w:p w:rsidR="00EE08D2" w:rsidRDefault="00EE08D2">
            <w:pPr>
              <w:pStyle w:val="sTabbold"/>
              <w:rPr>
                <w:lang w:val="cs-CZ"/>
              </w:rPr>
            </w:pPr>
          </w:p>
        </w:tc>
        <w:tc>
          <w:tcPr>
            <w:tcW w:w="4322" w:type="dxa"/>
            <w:gridSpan w:val="3"/>
            <w:vAlign w:val="center"/>
          </w:tcPr>
          <w:p w:rsidR="00EE08D2" w:rsidRDefault="00EE08D2">
            <w:pPr>
              <w:pStyle w:val="sTabbold"/>
              <w:rPr>
                <w:lang w:val="cs-CZ"/>
              </w:rPr>
            </w:pPr>
          </w:p>
        </w:tc>
      </w:tr>
      <w:tr w:rsidR="00EE08D2">
        <w:trPr>
          <w:trHeight w:val="283"/>
          <w:jc w:val="center"/>
        </w:trPr>
        <w:tc>
          <w:tcPr>
            <w:tcW w:w="4679" w:type="dxa"/>
            <w:gridSpan w:val="3"/>
            <w:tcBorders>
              <w:bottom w:val="single" w:sz="4" w:space="0" w:color="auto"/>
            </w:tcBorders>
            <w:vAlign w:val="center"/>
          </w:tcPr>
          <w:p w:rsidR="00EE08D2" w:rsidRDefault="00494667">
            <w:pPr>
              <w:pStyle w:val="sTabbold"/>
              <w:rPr>
                <w:lang w:val="cs-CZ"/>
              </w:rPr>
            </w:pPr>
            <w:r>
              <w:rPr>
                <w:lang w:val="cs-CZ"/>
              </w:rPr>
              <w:t>Doba splácení (v měsících) ve smyslu čl. 2 odst. 2.1 této smlouvy o úvěru:</w:t>
            </w:r>
          </w:p>
        </w:tc>
        <w:tc>
          <w:tcPr>
            <w:tcW w:w="4322" w:type="dxa"/>
            <w:gridSpan w:val="3"/>
            <w:tcBorders>
              <w:bottom w:val="single" w:sz="4" w:space="0" w:color="auto"/>
            </w:tcBorders>
            <w:vAlign w:val="bottom"/>
          </w:tcPr>
          <w:p w:rsidR="00EE08D2" w:rsidRDefault="00494667">
            <w:pPr>
              <w:pStyle w:val="sTabbold"/>
              <w:rPr>
                <w:lang w:val="cs-CZ"/>
              </w:rPr>
            </w:pPr>
            <w:r>
              <w:rPr>
                <w:lang w:val="cs-CZ"/>
              </w:rPr>
              <w:t>60</w:t>
            </w:r>
          </w:p>
        </w:tc>
      </w:tr>
      <w:tr w:rsidR="00EE08D2">
        <w:trPr>
          <w:trHeight w:val="283"/>
          <w:jc w:val="center"/>
        </w:trPr>
        <w:tc>
          <w:tcPr>
            <w:tcW w:w="4679" w:type="dxa"/>
            <w:gridSpan w:val="3"/>
            <w:tcBorders>
              <w:top w:val="single" w:sz="4" w:space="0" w:color="auto"/>
              <w:bottom w:val="nil"/>
            </w:tcBorders>
          </w:tcPr>
          <w:p w:rsidR="00EE08D2" w:rsidRDefault="00494667">
            <w:pPr>
              <w:pStyle w:val="sTabbold"/>
              <w:spacing w:before="40"/>
              <w:rPr>
                <w:lang w:val="cs-CZ"/>
              </w:rPr>
            </w:pPr>
            <w:r>
              <w:rPr>
                <w:lang w:val="cs-CZ"/>
              </w:rPr>
              <w:t xml:space="preserve">Výše úvěru (jistina): </w:t>
            </w:r>
          </w:p>
        </w:tc>
        <w:tc>
          <w:tcPr>
            <w:tcW w:w="1664" w:type="dxa"/>
            <w:tcBorders>
              <w:top w:val="single" w:sz="4" w:space="0" w:color="auto"/>
              <w:bottom w:val="nil"/>
              <w:right w:val="nil"/>
            </w:tcBorders>
          </w:tcPr>
          <w:p w:rsidR="00EE08D2" w:rsidRDefault="00494667">
            <w:pPr>
              <w:pStyle w:val="sTabbold"/>
              <w:spacing w:before="40"/>
              <w:jc w:val="right"/>
              <w:rPr>
                <w:lang w:val="cs-CZ"/>
              </w:rPr>
            </w:pPr>
            <w:r>
              <w:rPr>
                <w:lang w:val="cs-CZ"/>
              </w:rPr>
              <w:t xml:space="preserve">2 758 127,00 </w:t>
            </w:r>
          </w:p>
        </w:tc>
        <w:tc>
          <w:tcPr>
            <w:tcW w:w="2658" w:type="dxa"/>
            <w:gridSpan w:val="2"/>
            <w:tcBorders>
              <w:top w:val="single" w:sz="4" w:space="0" w:color="auto"/>
              <w:left w:val="nil"/>
              <w:bottom w:val="nil"/>
            </w:tcBorders>
          </w:tcPr>
          <w:p w:rsidR="00EE08D2" w:rsidRDefault="00494667">
            <w:pPr>
              <w:pStyle w:val="sTabbold"/>
              <w:spacing w:before="40"/>
              <w:rPr>
                <w:lang w:val="cs-CZ"/>
              </w:rPr>
            </w:pPr>
            <w:r>
              <w:rPr>
                <w:lang w:val="cs-CZ"/>
              </w:rPr>
              <w:t>CZK</w:t>
            </w:r>
          </w:p>
        </w:tc>
      </w:tr>
      <w:tr w:rsidR="00EE08D2">
        <w:trPr>
          <w:trHeight w:val="283"/>
          <w:jc w:val="center"/>
        </w:trPr>
        <w:tc>
          <w:tcPr>
            <w:tcW w:w="4679" w:type="dxa"/>
            <w:gridSpan w:val="3"/>
            <w:tcBorders>
              <w:top w:val="nil"/>
            </w:tcBorders>
            <w:vAlign w:val="center"/>
          </w:tcPr>
          <w:p w:rsidR="00EE08D2" w:rsidRDefault="00494667">
            <w:pPr>
              <w:pStyle w:val="sTabbold"/>
              <w:rPr>
                <w:lang w:val="cs-CZ"/>
              </w:rPr>
            </w:pPr>
            <w:r>
              <w:rPr>
                <w:lang w:val="cs-CZ"/>
              </w:rPr>
              <w:t>Výše úroku:</w:t>
            </w:r>
          </w:p>
        </w:tc>
        <w:tc>
          <w:tcPr>
            <w:tcW w:w="1664" w:type="dxa"/>
            <w:tcBorders>
              <w:top w:val="nil"/>
              <w:right w:val="nil"/>
            </w:tcBorders>
            <w:vAlign w:val="center"/>
          </w:tcPr>
          <w:p w:rsidR="00EE08D2" w:rsidRDefault="00494667">
            <w:pPr>
              <w:pStyle w:val="sTabbold"/>
              <w:jc w:val="right"/>
              <w:rPr>
                <w:lang w:val="cs-CZ"/>
              </w:rPr>
            </w:pPr>
            <w:r>
              <w:rPr>
                <w:lang w:val="cs-CZ"/>
              </w:rPr>
              <w:t xml:space="preserve">201 673,00 </w:t>
            </w:r>
          </w:p>
        </w:tc>
        <w:tc>
          <w:tcPr>
            <w:tcW w:w="2658" w:type="dxa"/>
            <w:gridSpan w:val="2"/>
            <w:tcBorders>
              <w:top w:val="nil"/>
              <w:left w:val="nil"/>
            </w:tcBorders>
            <w:vAlign w:val="center"/>
          </w:tcPr>
          <w:p w:rsidR="00EE08D2" w:rsidRDefault="00494667">
            <w:pPr>
              <w:pStyle w:val="sTabbold"/>
              <w:rPr>
                <w:lang w:val="cs-CZ"/>
              </w:rPr>
            </w:pPr>
            <w:r>
              <w:rPr>
                <w:lang w:val="cs-CZ"/>
              </w:rPr>
              <w:t>CZK</w:t>
            </w:r>
          </w:p>
        </w:tc>
      </w:tr>
      <w:tr w:rsidR="00EE08D2">
        <w:trPr>
          <w:trHeight w:val="283"/>
          <w:jc w:val="center"/>
        </w:trPr>
        <w:tc>
          <w:tcPr>
            <w:tcW w:w="4679" w:type="dxa"/>
            <w:gridSpan w:val="3"/>
          </w:tcPr>
          <w:p w:rsidR="00EE08D2" w:rsidRDefault="00494667">
            <w:pPr>
              <w:pStyle w:val="sTabbold"/>
              <w:rPr>
                <w:lang w:val="cs-CZ"/>
              </w:rPr>
            </w:pPr>
            <w:r>
              <w:rPr>
                <w:lang w:val="cs-CZ"/>
              </w:rPr>
              <w:t>Výše</w:t>
            </w:r>
            <w:r>
              <w:rPr>
                <w:spacing w:val="-10"/>
                <w:lang w:val="cs-CZ"/>
              </w:rPr>
              <w:t xml:space="preserve"> </w:t>
            </w:r>
            <w:r>
              <w:rPr>
                <w:lang w:val="cs-CZ"/>
              </w:rPr>
              <w:t>úvěrových splátek</w:t>
            </w:r>
            <w:r>
              <w:rPr>
                <w:spacing w:val="-10"/>
                <w:lang w:val="cs-CZ"/>
              </w:rPr>
              <w:t xml:space="preserve"> </w:t>
            </w:r>
            <w:r>
              <w:rPr>
                <w:lang w:val="cs-CZ"/>
              </w:rPr>
              <w:t>celkem:</w:t>
            </w:r>
          </w:p>
          <w:p w:rsidR="00EE08D2" w:rsidRDefault="00494667">
            <w:pPr>
              <w:pStyle w:val="sTabnorm"/>
              <w:keepNext/>
              <w:keepLines/>
              <w:rPr>
                <w:lang w:val="cs-CZ"/>
              </w:rPr>
            </w:pPr>
            <w:r>
              <w:rPr>
                <w:lang w:val="cs-CZ"/>
              </w:rPr>
              <w:t>(konečná</w:t>
            </w:r>
            <w:r>
              <w:rPr>
                <w:spacing w:val="-3"/>
                <w:lang w:val="cs-CZ"/>
              </w:rPr>
              <w:t xml:space="preserve"> </w:t>
            </w:r>
            <w:r>
              <w:rPr>
                <w:lang w:val="cs-CZ"/>
              </w:rPr>
              <w:t>výše</w:t>
            </w:r>
            <w:r>
              <w:rPr>
                <w:spacing w:val="-2"/>
                <w:lang w:val="cs-CZ"/>
              </w:rPr>
              <w:t xml:space="preserve"> jistiny </w:t>
            </w:r>
            <w:r>
              <w:rPr>
                <w:lang w:val="cs-CZ"/>
              </w:rPr>
              <w:t>úvěru</w:t>
            </w:r>
            <w:r>
              <w:rPr>
                <w:spacing w:val="-2"/>
                <w:lang w:val="cs-CZ"/>
              </w:rPr>
              <w:t xml:space="preserve"> </w:t>
            </w:r>
            <w:r>
              <w:rPr>
                <w:lang w:val="cs-CZ"/>
              </w:rPr>
              <w:t>a</w:t>
            </w:r>
            <w:r>
              <w:rPr>
                <w:spacing w:val="-2"/>
                <w:lang w:val="cs-CZ"/>
              </w:rPr>
              <w:t xml:space="preserve"> </w:t>
            </w:r>
            <w:r>
              <w:rPr>
                <w:lang w:val="cs-CZ"/>
              </w:rPr>
              <w:t>úroku</w:t>
            </w:r>
            <w:r>
              <w:rPr>
                <w:spacing w:val="-2"/>
                <w:lang w:val="cs-CZ"/>
              </w:rPr>
              <w:t xml:space="preserve"> </w:t>
            </w:r>
            <w:r>
              <w:rPr>
                <w:lang w:val="cs-CZ"/>
              </w:rPr>
              <w:t>bude</w:t>
            </w:r>
            <w:r>
              <w:rPr>
                <w:spacing w:val="-2"/>
                <w:lang w:val="cs-CZ"/>
              </w:rPr>
              <w:t xml:space="preserve"> </w:t>
            </w:r>
            <w:r>
              <w:rPr>
                <w:lang w:val="cs-CZ"/>
              </w:rPr>
              <w:t>stanovena</w:t>
            </w:r>
            <w:r>
              <w:rPr>
                <w:spacing w:val="-3"/>
                <w:lang w:val="cs-CZ"/>
              </w:rPr>
              <w:t xml:space="preserve"> </w:t>
            </w:r>
            <w:r>
              <w:rPr>
                <w:lang w:val="cs-CZ"/>
              </w:rPr>
              <w:t>v souladu s</w:t>
            </w:r>
            <w:r>
              <w:rPr>
                <w:spacing w:val="-3"/>
                <w:lang w:val="cs-CZ"/>
              </w:rPr>
              <w:t> </w:t>
            </w:r>
            <w:r>
              <w:rPr>
                <w:lang w:val="cs-CZ"/>
              </w:rPr>
              <w:t xml:space="preserve">článkem 2 odst. </w:t>
            </w:r>
            <w:r>
              <w:rPr>
                <w:spacing w:val="-2"/>
                <w:lang w:val="cs-CZ"/>
              </w:rPr>
              <w:t>2.</w:t>
            </w:r>
            <w:r>
              <w:rPr>
                <w:lang w:val="cs-CZ"/>
              </w:rPr>
              <w:t>5 a článkem 5</w:t>
            </w:r>
            <w:r>
              <w:rPr>
                <w:spacing w:val="52"/>
                <w:lang w:val="cs-CZ"/>
              </w:rPr>
              <w:t xml:space="preserve"> </w:t>
            </w:r>
            <w:r>
              <w:rPr>
                <w:lang w:val="cs-CZ"/>
              </w:rPr>
              <w:t>této smlouvy o úvěru)</w:t>
            </w:r>
          </w:p>
        </w:tc>
        <w:tc>
          <w:tcPr>
            <w:tcW w:w="1664" w:type="dxa"/>
            <w:tcBorders>
              <w:right w:val="nil"/>
            </w:tcBorders>
          </w:tcPr>
          <w:p w:rsidR="00EE08D2" w:rsidRDefault="00494667">
            <w:pPr>
              <w:pStyle w:val="sTabbold"/>
              <w:jc w:val="right"/>
              <w:rPr>
                <w:lang w:val="cs-CZ"/>
              </w:rPr>
            </w:pPr>
            <w:r>
              <w:rPr>
                <w:lang w:val="cs-CZ"/>
              </w:rPr>
              <w:t xml:space="preserve">2 959 800,00 </w:t>
            </w:r>
          </w:p>
        </w:tc>
        <w:tc>
          <w:tcPr>
            <w:tcW w:w="2658" w:type="dxa"/>
            <w:gridSpan w:val="2"/>
            <w:tcBorders>
              <w:left w:val="nil"/>
            </w:tcBorders>
          </w:tcPr>
          <w:p w:rsidR="00EE08D2" w:rsidRDefault="00494667">
            <w:pPr>
              <w:pStyle w:val="sTabbold"/>
              <w:rPr>
                <w:lang w:val="cs-CZ"/>
              </w:rPr>
            </w:pPr>
            <w:r>
              <w:rPr>
                <w:lang w:val="cs-CZ"/>
              </w:rPr>
              <w:t>CZK</w:t>
            </w:r>
          </w:p>
        </w:tc>
      </w:tr>
      <w:tr w:rsidR="00EE08D2">
        <w:trPr>
          <w:trHeight w:val="321"/>
          <w:jc w:val="center"/>
        </w:trPr>
        <w:tc>
          <w:tcPr>
            <w:tcW w:w="4679" w:type="dxa"/>
            <w:gridSpan w:val="3"/>
            <w:tcBorders>
              <w:bottom w:val="single" w:sz="4" w:space="0" w:color="auto"/>
            </w:tcBorders>
            <w:vAlign w:val="center"/>
          </w:tcPr>
          <w:p w:rsidR="00EE08D2" w:rsidRDefault="00494667">
            <w:pPr>
              <w:pStyle w:val="sTabbold"/>
              <w:rPr>
                <w:lang w:val="cs-CZ"/>
              </w:rPr>
            </w:pPr>
            <w:r>
              <w:rPr>
                <w:lang w:val="cs-CZ"/>
              </w:rPr>
              <w:t>Poplatek</w:t>
            </w:r>
            <w:r>
              <w:rPr>
                <w:spacing w:val="-9"/>
                <w:lang w:val="cs-CZ"/>
              </w:rPr>
              <w:t xml:space="preserve"> </w:t>
            </w:r>
            <w:r>
              <w:rPr>
                <w:lang w:val="cs-CZ"/>
              </w:rPr>
              <w:t>za</w:t>
            </w:r>
            <w:r>
              <w:rPr>
                <w:spacing w:val="-9"/>
                <w:lang w:val="cs-CZ"/>
              </w:rPr>
              <w:t xml:space="preserve"> </w:t>
            </w:r>
            <w:r>
              <w:rPr>
                <w:lang w:val="cs-CZ"/>
              </w:rPr>
              <w:t>sjednání</w:t>
            </w:r>
            <w:r>
              <w:rPr>
                <w:spacing w:val="-8"/>
                <w:lang w:val="cs-CZ"/>
              </w:rPr>
              <w:t xml:space="preserve"> </w:t>
            </w:r>
            <w:r>
              <w:rPr>
                <w:lang w:val="cs-CZ"/>
              </w:rPr>
              <w:t>úvěru:</w:t>
            </w:r>
          </w:p>
        </w:tc>
        <w:tc>
          <w:tcPr>
            <w:tcW w:w="1664" w:type="dxa"/>
            <w:tcBorders>
              <w:bottom w:val="single" w:sz="4" w:space="0" w:color="auto"/>
              <w:right w:val="nil"/>
            </w:tcBorders>
            <w:vAlign w:val="center"/>
          </w:tcPr>
          <w:p w:rsidR="00EE08D2" w:rsidRDefault="00494667">
            <w:pPr>
              <w:pStyle w:val="sTabbold"/>
              <w:jc w:val="right"/>
              <w:rPr>
                <w:lang w:val="cs-CZ"/>
              </w:rPr>
            </w:pPr>
            <w:r>
              <w:rPr>
                <w:lang w:val="cs-CZ"/>
              </w:rPr>
              <w:t>0,00</w:t>
            </w:r>
          </w:p>
        </w:tc>
        <w:tc>
          <w:tcPr>
            <w:tcW w:w="2658" w:type="dxa"/>
            <w:gridSpan w:val="2"/>
            <w:tcBorders>
              <w:left w:val="nil"/>
              <w:bottom w:val="single" w:sz="4" w:space="0" w:color="auto"/>
            </w:tcBorders>
            <w:vAlign w:val="center"/>
          </w:tcPr>
          <w:p w:rsidR="00EE08D2" w:rsidRDefault="00EE08D2">
            <w:pPr>
              <w:pStyle w:val="sTabbold"/>
              <w:rPr>
                <w:lang w:val="cs-CZ"/>
              </w:rPr>
            </w:pPr>
          </w:p>
        </w:tc>
      </w:tr>
      <w:tr w:rsidR="00EE08D2">
        <w:trPr>
          <w:trHeight w:val="321"/>
          <w:jc w:val="center"/>
        </w:trPr>
        <w:tc>
          <w:tcPr>
            <w:tcW w:w="2693" w:type="dxa"/>
            <w:gridSpan w:val="2"/>
            <w:tcBorders>
              <w:top w:val="single" w:sz="4" w:space="0" w:color="auto"/>
              <w:bottom w:val="single" w:sz="4" w:space="0" w:color="auto"/>
            </w:tcBorders>
            <w:vAlign w:val="center"/>
          </w:tcPr>
          <w:p w:rsidR="00EE08D2" w:rsidRDefault="00494667">
            <w:pPr>
              <w:pStyle w:val="sTabbold"/>
              <w:jc w:val="center"/>
              <w:rPr>
                <w:lang w:val="cs-CZ"/>
              </w:rPr>
            </w:pPr>
            <w:r>
              <w:rPr>
                <w:lang w:val="cs-CZ"/>
              </w:rPr>
              <w:t>Předběžná výše splátek</w:t>
            </w:r>
          </w:p>
        </w:tc>
        <w:tc>
          <w:tcPr>
            <w:tcW w:w="1986" w:type="dxa"/>
            <w:tcBorders>
              <w:top w:val="single" w:sz="4" w:space="0" w:color="auto"/>
              <w:bottom w:val="single" w:sz="4" w:space="0" w:color="auto"/>
            </w:tcBorders>
            <w:vAlign w:val="center"/>
          </w:tcPr>
          <w:p w:rsidR="00EE08D2" w:rsidRDefault="00494667">
            <w:pPr>
              <w:pStyle w:val="sTabbold"/>
              <w:jc w:val="center"/>
              <w:rPr>
                <w:lang w:val="cs-CZ"/>
              </w:rPr>
            </w:pPr>
            <w:r>
              <w:rPr>
                <w:lang w:val="cs-CZ"/>
              </w:rPr>
              <w:t>Období</w:t>
            </w:r>
          </w:p>
        </w:tc>
        <w:tc>
          <w:tcPr>
            <w:tcW w:w="2940" w:type="dxa"/>
            <w:gridSpan w:val="2"/>
            <w:tcBorders>
              <w:top w:val="single" w:sz="4" w:space="0" w:color="auto"/>
              <w:bottom w:val="single" w:sz="4" w:space="0" w:color="auto"/>
            </w:tcBorders>
            <w:vAlign w:val="center"/>
          </w:tcPr>
          <w:p w:rsidR="00EE08D2" w:rsidRDefault="00494667">
            <w:pPr>
              <w:pStyle w:val="sTabbold"/>
              <w:jc w:val="center"/>
              <w:rPr>
                <w:lang w:val="cs-CZ"/>
              </w:rPr>
            </w:pPr>
            <w:r>
              <w:rPr>
                <w:lang w:val="cs-CZ"/>
              </w:rPr>
              <w:t>Předběžná splatnost splátek</w:t>
            </w:r>
          </w:p>
        </w:tc>
        <w:tc>
          <w:tcPr>
            <w:tcW w:w="1382" w:type="dxa"/>
            <w:tcBorders>
              <w:top w:val="single" w:sz="4" w:space="0" w:color="auto"/>
              <w:bottom w:val="single" w:sz="4" w:space="0" w:color="auto"/>
            </w:tcBorders>
            <w:vAlign w:val="center"/>
          </w:tcPr>
          <w:p w:rsidR="00EE08D2" w:rsidRDefault="00494667">
            <w:pPr>
              <w:pStyle w:val="sTabbold"/>
              <w:jc w:val="center"/>
              <w:rPr>
                <w:lang w:val="cs-CZ"/>
              </w:rPr>
            </w:pPr>
            <w:r>
              <w:rPr>
                <w:lang w:val="cs-CZ"/>
              </w:rPr>
              <w:t>Počet splátek</w:t>
            </w:r>
          </w:p>
        </w:tc>
      </w:tr>
      <w:tr w:rsidR="00EE08D2">
        <w:trPr>
          <w:trHeight w:val="321"/>
          <w:jc w:val="center"/>
        </w:trPr>
        <w:tc>
          <w:tcPr>
            <w:tcW w:w="1524" w:type="dxa"/>
            <w:tcBorders>
              <w:top w:val="single" w:sz="4" w:space="0" w:color="auto"/>
              <w:bottom w:val="single" w:sz="4" w:space="0" w:color="auto"/>
              <w:right w:val="nil"/>
            </w:tcBorders>
            <w:vAlign w:val="center"/>
          </w:tcPr>
          <w:p w:rsidR="00EE08D2" w:rsidRDefault="00494667">
            <w:pPr>
              <w:pStyle w:val="sTabbold"/>
              <w:jc w:val="right"/>
              <w:rPr>
                <w:lang w:val="cs-CZ"/>
              </w:rPr>
            </w:pPr>
            <w:r>
              <w:rPr>
                <w:lang w:val="cs-CZ"/>
              </w:rPr>
              <w:t xml:space="preserve">49 330,00 </w:t>
            </w:r>
          </w:p>
        </w:tc>
        <w:tc>
          <w:tcPr>
            <w:tcW w:w="1169" w:type="dxa"/>
            <w:tcBorders>
              <w:top w:val="single" w:sz="4" w:space="0" w:color="auto"/>
              <w:left w:val="nil"/>
              <w:bottom w:val="single" w:sz="4" w:space="0" w:color="auto"/>
            </w:tcBorders>
            <w:vAlign w:val="center"/>
          </w:tcPr>
          <w:p w:rsidR="00EE08D2" w:rsidRDefault="00494667">
            <w:pPr>
              <w:pStyle w:val="sTabbold"/>
              <w:rPr>
                <w:lang w:val="cs-CZ"/>
              </w:rPr>
            </w:pPr>
            <w:r>
              <w:rPr>
                <w:lang w:val="cs-CZ"/>
              </w:rPr>
              <w:t>CZK</w:t>
            </w:r>
          </w:p>
        </w:tc>
        <w:tc>
          <w:tcPr>
            <w:tcW w:w="1986" w:type="dxa"/>
            <w:tcBorders>
              <w:top w:val="single" w:sz="4" w:space="0" w:color="auto"/>
              <w:bottom w:val="single" w:sz="4" w:space="0" w:color="auto"/>
            </w:tcBorders>
            <w:vAlign w:val="center"/>
          </w:tcPr>
          <w:p w:rsidR="00EE08D2" w:rsidRDefault="00494667">
            <w:pPr>
              <w:pStyle w:val="sTabbold"/>
              <w:jc w:val="center"/>
              <w:rPr>
                <w:lang w:val="cs-CZ"/>
              </w:rPr>
            </w:pPr>
            <w:r>
              <w:rPr>
                <w:lang w:val="cs-CZ"/>
              </w:rPr>
              <w:t>měsíční</w:t>
            </w:r>
          </w:p>
        </w:tc>
        <w:tc>
          <w:tcPr>
            <w:tcW w:w="2940" w:type="dxa"/>
            <w:gridSpan w:val="2"/>
            <w:tcBorders>
              <w:top w:val="single" w:sz="4" w:space="0" w:color="auto"/>
              <w:bottom w:val="single" w:sz="4" w:space="0" w:color="auto"/>
            </w:tcBorders>
            <w:vAlign w:val="center"/>
          </w:tcPr>
          <w:p w:rsidR="00EE08D2" w:rsidRDefault="00494667">
            <w:pPr>
              <w:pStyle w:val="sTabbold"/>
              <w:jc w:val="center"/>
              <w:rPr>
                <w:lang w:val="cs-CZ"/>
              </w:rPr>
            </w:pPr>
            <w:r>
              <w:rPr>
                <w:lang w:val="cs-CZ"/>
              </w:rPr>
              <w:t>k 15. v daném měsíci</w:t>
            </w:r>
          </w:p>
        </w:tc>
        <w:tc>
          <w:tcPr>
            <w:tcW w:w="1382" w:type="dxa"/>
            <w:tcBorders>
              <w:top w:val="single" w:sz="4" w:space="0" w:color="auto"/>
              <w:bottom w:val="single" w:sz="4" w:space="0" w:color="auto"/>
            </w:tcBorders>
            <w:vAlign w:val="center"/>
          </w:tcPr>
          <w:p w:rsidR="00EE08D2" w:rsidRDefault="00494667">
            <w:pPr>
              <w:pStyle w:val="sTabbold"/>
              <w:jc w:val="center"/>
              <w:rPr>
                <w:lang w:val="cs-CZ"/>
              </w:rPr>
            </w:pPr>
            <w:r>
              <w:rPr>
                <w:lang w:val="cs-CZ"/>
              </w:rPr>
              <w:t>60</w:t>
            </w:r>
          </w:p>
        </w:tc>
      </w:tr>
      <w:tr w:rsidR="00EE08D2">
        <w:trPr>
          <w:trHeight w:val="283"/>
          <w:jc w:val="center"/>
        </w:trPr>
        <w:tc>
          <w:tcPr>
            <w:tcW w:w="6343" w:type="dxa"/>
            <w:gridSpan w:val="4"/>
            <w:tcBorders>
              <w:top w:val="single" w:sz="4" w:space="0" w:color="auto"/>
              <w:bottom w:val="single" w:sz="4" w:space="0" w:color="auto"/>
              <w:right w:val="nil"/>
            </w:tcBorders>
            <w:vAlign w:val="center"/>
          </w:tcPr>
          <w:p w:rsidR="00EE08D2" w:rsidRDefault="00494667">
            <w:pPr>
              <w:pStyle w:val="sTabbold"/>
              <w:rPr>
                <w:b w:val="0"/>
                <w:sz w:val="16"/>
                <w:szCs w:val="16"/>
                <w:lang w:val="cs-CZ"/>
              </w:rPr>
            </w:pPr>
            <w:r>
              <w:rPr>
                <w:b w:val="0"/>
                <w:sz w:val="16"/>
                <w:szCs w:val="16"/>
                <w:lang w:val="cs-CZ"/>
              </w:rPr>
              <w:t>Pojištění dle článku 3 odst. 3.1 smlouvy o úvěru (povinné zákonné pojištění) sjednává:</w:t>
            </w:r>
          </w:p>
        </w:tc>
        <w:tc>
          <w:tcPr>
            <w:tcW w:w="2658" w:type="dxa"/>
            <w:gridSpan w:val="2"/>
            <w:tcBorders>
              <w:top w:val="single" w:sz="4" w:space="0" w:color="auto"/>
              <w:left w:val="nil"/>
              <w:bottom w:val="single" w:sz="4" w:space="0" w:color="auto"/>
            </w:tcBorders>
            <w:vAlign w:val="center"/>
          </w:tcPr>
          <w:p w:rsidR="00EE08D2" w:rsidRDefault="00494667">
            <w:pPr>
              <w:pStyle w:val="sTabbold"/>
              <w:jc w:val="right"/>
              <w:rPr>
                <w:shd w:val="clear" w:color="auto" w:fill="FFFF00"/>
                <w:lang w:val="cs-CZ"/>
              </w:rPr>
            </w:pPr>
            <w:r>
              <w:rPr>
                <w:b w:val="0"/>
                <w:lang w:val="cs-CZ"/>
              </w:rPr>
              <w:t>příjemce úvěru</w:t>
            </w:r>
          </w:p>
        </w:tc>
      </w:tr>
      <w:tr w:rsidR="00EE08D2">
        <w:trPr>
          <w:trHeight w:val="283"/>
          <w:jc w:val="center"/>
        </w:trPr>
        <w:tc>
          <w:tcPr>
            <w:tcW w:w="6343" w:type="dxa"/>
            <w:gridSpan w:val="4"/>
            <w:tcBorders>
              <w:top w:val="single" w:sz="4" w:space="0" w:color="auto"/>
              <w:bottom w:val="single" w:sz="4" w:space="0" w:color="auto"/>
              <w:right w:val="nil"/>
            </w:tcBorders>
            <w:vAlign w:val="center"/>
          </w:tcPr>
          <w:p w:rsidR="00EE08D2" w:rsidRDefault="00494667">
            <w:pPr>
              <w:pStyle w:val="sTabbold"/>
              <w:rPr>
                <w:b w:val="0"/>
                <w:sz w:val="16"/>
                <w:szCs w:val="16"/>
                <w:lang w:val="cs-CZ"/>
              </w:rPr>
            </w:pPr>
            <w:r>
              <w:rPr>
                <w:b w:val="0"/>
                <w:sz w:val="16"/>
                <w:szCs w:val="16"/>
                <w:lang w:val="cs-CZ"/>
              </w:rPr>
              <w:t>Pojištění dle článku 3 odst. 3.2 smlouvy o úvěru (škodní pojištění) sjednává:</w:t>
            </w:r>
          </w:p>
        </w:tc>
        <w:tc>
          <w:tcPr>
            <w:tcW w:w="2658" w:type="dxa"/>
            <w:gridSpan w:val="2"/>
            <w:tcBorders>
              <w:top w:val="single" w:sz="4" w:space="0" w:color="auto"/>
              <w:left w:val="nil"/>
              <w:bottom w:val="single" w:sz="4" w:space="0" w:color="auto"/>
            </w:tcBorders>
            <w:vAlign w:val="center"/>
          </w:tcPr>
          <w:p w:rsidR="00EE08D2" w:rsidRDefault="00494667">
            <w:pPr>
              <w:pStyle w:val="sTabbold"/>
              <w:jc w:val="right"/>
              <w:rPr>
                <w:shd w:val="clear" w:color="auto" w:fill="FFFF00"/>
                <w:lang w:val="cs-CZ"/>
              </w:rPr>
            </w:pPr>
            <w:r>
              <w:rPr>
                <w:b w:val="0"/>
                <w:lang w:val="cs-CZ"/>
              </w:rPr>
              <w:t>příjemce úvěru</w:t>
            </w:r>
          </w:p>
        </w:tc>
      </w:tr>
    </w:tbl>
    <w:p w:rsidR="00EE08D2" w:rsidRDefault="00EE08D2">
      <w:pPr>
        <w:keepNext/>
        <w:keepLines/>
        <w:rPr>
          <w:lang w:val="cs-CZ"/>
        </w:rPr>
      </w:pPr>
    </w:p>
    <w:p w:rsidR="00EE08D2" w:rsidRDefault="00494667">
      <w:pPr>
        <w:pStyle w:val="sTextnorm"/>
        <w:spacing w:before="0" w:after="120"/>
        <w:rPr>
          <w:rFonts w:eastAsia="Arial"/>
          <w:i/>
          <w:lang w:val="cs-CZ"/>
        </w:rPr>
      </w:pPr>
      <w:r>
        <w:rPr>
          <w:rFonts w:eastAsia="Arial"/>
          <w:lang w:val="cs-CZ"/>
        </w:rPr>
        <w:t>Konečná výše splátek bude stanovena v souladu s článkem 2 odst. 2.5 a článkem 5 této smlouvy o úvěru.</w:t>
      </w:r>
    </w:p>
    <w:p w:rsidR="00EE08D2" w:rsidRDefault="00494667">
      <w:pPr>
        <w:pStyle w:val="sOdstavec"/>
        <w:tabs>
          <w:tab w:val="left" w:pos="567"/>
          <w:tab w:val="num" w:pos="2836"/>
        </w:tabs>
        <w:rPr>
          <w:lang w:val="cs-CZ"/>
        </w:rPr>
      </w:pPr>
      <w:r>
        <w:rPr>
          <w:lang w:val="cs-CZ"/>
        </w:rPr>
        <w:t xml:space="preserve">Podpisem této smlouvy o úvěru žádá příjemce úvěru poskytovatele úvěru o čerpání úvěru ve výši stanovené v článku 1 odst. 1.4 této smlouvy o úvěru. Poskytovatel úvěru poskytne příjemci úvěru na účet dodavatele předmětu financování a/nebo příjemce úvěru finanční prostředky ve sjednané výši při splnění podmínek stanovených v článku 2 </w:t>
      </w:r>
      <w:proofErr w:type="gramStart"/>
      <w:r>
        <w:rPr>
          <w:lang w:val="cs-CZ"/>
        </w:rPr>
        <w:t>této</w:t>
      </w:r>
      <w:proofErr w:type="gramEnd"/>
      <w:r>
        <w:rPr>
          <w:lang w:val="cs-CZ"/>
        </w:rPr>
        <w:t xml:space="preserve"> smlouvy o úvěru. Pokud se poskytovateli úvěru v době mezi uzavřením této smlouvy o úvěru a poskytnutím úvěru stanou známými okolnosti o osobě nebo poměrech příjemce úvěru, které by poskytovatele úvěru při včasném zjištění vedly k odmítnutí poskytnutí úvěru, je poskytovatel úvěru oprávněn závazek z této smlouvy o úvěru okamžitě vypovědět.</w:t>
      </w:r>
    </w:p>
    <w:p w:rsidR="00EE08D2" w:rsidRDefault="00494667">
      <w:pPr>
        <w:pStyle w:val="sOdstavec"/>
        <w:tabs>
          <w:tab w:val="left" w:pos="567"/>
          <w:tab w:val="num" w:pos="2836"/>
        </w:tabs>
        <w:rPr>
          <w:lang w:val="cs-CZ"/>
        </w:rPr>
      </w:pPr>
      <w:r>
        <w:rPr>
          <w:lang w:val="cs-CZ"/>
        </w:rPr>
        <w:t>Příjemce úvěru je povinen za peněžní a obchodní činnost poskytovatele úvěru hradit poskytovateli úvěru poplatky v souladu s aktuálním sazebníkem poskytovatele úvěru. S aktuální verzí sazebníku je možno se seznámit v sídle poskytovatele úvěru, na jeho internetových stránkách [www.sgef.cz] a v provozních prostorách poboček poskytovatele úvěru. Aktuální verzi sazebníku zašle poskytovatel úvěru příjemci úvěru na jeho výslovnou žádost. Příjemce úvěru prohlašuje, že je mu aktuální verze sazebníku známa a souhlasí s oprávněním poskytovatele úvěru k aktualizaci sazebníku dle aktuálního vývoje tržních podmínek.</w:t>
      </w:r>
    </w:p>
    <w:p w:rsidR="00EE08D2" w:rsidRDefault="00494667">
      <w:pPr>
        <w:pStyle w:val="sOdstavec"/>
        <w:tabs>
          <w:tab w:val="left" w:pos="567"/>
          <w:tab w:val="num" w:pos="2836"/>
        </w:tabs>
        <w:rPr>
          <w:lang w:val="cs-CZ"/>
        </w:rPr>
      </w:pPr>
      <w:r>
        <w:rPr>
          <w:lang w:val="cs-CZ"/>
        </w:rPr>
        <w:t>Příjemce úvěru se zavazuje, že poskytnutý úvěr použije výhradně k účelu stanovenému touto smlouvou o úvěru.</w:t>
      </w:r>
    </w:p>
    <w:p w:rsidR="00EE08D2" w:rsidRDefault="00494667">
      <w:pPr>
        <w:pStyle w:val="sOdstavec"/>
        <w:tabs>
          <w:tab w:val="left" w:pos="567"/>
          <w:tab w:val="num" w:pos="2836"/>
        </w:tabs>
        <w:rPr>
          <w:lang w:val="cs-CZ"/>
        </w:rPr>
      </w:pPr>
      <w:r>
        <w:rPr>
          <w:lang w:val="cs-CZ"/>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5 % z celkové sjednané výše úvěru, jakož i okamžité vrácení veškerých případných poskytnutých plateb, a to spolu s úrokem ve výši 0,05 % denně. Smluvní pokuta je splatná ve lhůtě uvedené na faktuře/daňovém dokladu vystaveném poskytovatelem úvěru na příjemce úvěru.</w:t>
      </w:r>
    </w:p>
    <w:p w:rsidR="00EE08D2" w:rsidRDefault="00494667">
      <w:pPr>
        <w:pStyle w:val="sNadpis2"/>
        <w:spacing w:before="480"/>
      </w:pPr>
      <w:r>
        <w:lastRenderedPageBreak/>
        <w:t xml:space="preserve">Čerpání úvěru </w:t>
      </w:r>
    </w:p>
    <w:p w:rsidR="00EE08D2" w:rsidRDefault="00494667">
      <w:pPr>
        <w:pStyle w:val="sOdstavec"/>
        <w:tabs>
          <w:tab w:val="left" w:pos="567"/>
          <w:tab w:val="num" w:pos="2836"/>
        </w:tabs>
        <w:rPr>
          <w:lang w:val="cs-CZ"/>
        </w:rPr>
      </w:pPr>
      <w:r>
        <w:rPr>
          <w:lang w:val="cs-CZ"/>
        </w:rPr>
        <w:t>Úvěr se poskytuje na dobu splácení sjednanou v článku 1 odst. 1.4 této smlouvy o úvěru, která počíná běžet okamžikem poskytnutí úvěru ve smyslu článku 2 odst. 2.4 této smlouvy o úvěru.</w:t>
      </w:r>
    </w:p>
    <w:p w:rsidR="00EE08D2" w:rsidRDefault="00494667">
      <w:pPr>
        <w:pStyle w:val="sOdstavec"/>
        <w:tabs>
          <w:tab w:val="left" w:pos="567"/>
          <w:tab w:val="num" w:pos="2836"/>
        </w:tabs>
        <w:rPr>
          <w:lang w:val="cs-CZ"/>
        </w:rPr>
      </w:pPr>
      <w:r>
        <w:rPr>
          <w:lang w:val="cs-CZ"/>
        </w:rPr>
        <w:t>Příjemce úvěru je povinen před čerpáním úvěru předložit poskytovateli úvěru následující podklady:</w:t>
      </w:r>
    </w:p>
    <w:p w:rsidR="00EE08D2" w:rsidRDefault="00494667">
      <w:pPr>
        <w:pStyle w:val="sOdstavec2"/>
        <w:keepNext w:val="0"/>
        <w:spacing w:after="120"/>
        <w:jc w:val="both"/>
        <w:rPr>
          <w:lang w:val="cs-CZ"/>
        </w:rPr>
      </w:pPr>
      <w:r>
        <w:rPr>
          <w:lang w:val="cs-CZ"/>
        </w:rPr>
        <w:t>kopii daňového dokladu dodavatele,</w:t>
      </w:r>
    </w:p>
    <w:p w:rsidR="00EE08D2" w:rsidRDefault="00494667">
      <w:pPr>
        <w:pStyle w:val="sOdstavec2"/>
        <w:keepNext w:val="0"/>
        <w:spacing w:after="120"/>
        <w:jc w:val="both"/>
        <w:rPr>
          <w:lang w:val="cs-CZ"/>
        </w:rPr>
      </w:pPr>
      <w:r>
        <w:rPr>
          <w:lang w:val="cs-CZ"/>
        </w:rPr>
        <w:t>kopii kupní smlouvy uzavřené mezi dodavatelem a příjemcem úvěru, popř. dodavatelem potvrzené objednávky či jiného dokladu o uzavření příslušné smlouvy s dodavatelem,</w:t>
      </w:r>
    </w:p>
    <w:p w:rsidR="00EE08D2" w:rsidRDefault="00494667">
      <w:pPr>
        <w:pStyle w:val="sOdstavec2"/>
        <w:keepNext w:val="0"/>
        <w:spacing w:after="120"/>
        <w:jc w:val="both"/>
        <w:rPr>
          <w:lang w:val="cs-CZ"/>
        </w:rPr>
      </w:pPr>
      <w:r>
        <w:rPr>
          <w:lang w:val="cs-CZ"/>
        </w:rPr>
        <w:t>oboustranně podepsaný doklad o předání a převzetí předmětu financování,</w:t>
      </w:r>
    </w:p>
    <w:p w:rsidR="00EE08D2" w:rsidRDefault="00494667">
      <w:pPr>
        <w:pStyle w:val="sOdstavec2"/>
        <w:keepNext w:val="0"/>
        <w:spacing w:after="120"/>
        <w:jc w:val="both"/>
        <w:rPr>
          <w:lang w:val="cs-CZ"/>
        </w:rPr>
      </w:pPr>
      <w:r>
        <w:rPr>
          <w:lang w:val="cs-CZ"/>
        </w:rPr>
        <w:t xml:space="preserve">doklady k povinnému zákonnému pojištění dle článku 3 odst. 3.1 a doklady ke škodnímu pojištění dle článku 3 odst. 3.2, pokud toto pojištění uzavírá příjemce </w:t>
      </w:r>
      <w:proofErr w:type="gramStart"/>
      <w:r>
        <w:rPr>
          <w:lang w:val="cs-CZ"/>
        </w:rPr>
        <w:t>úvěru .</w:t>
      </w:r>
      <w:proofErr w:type="gramEnd"/>
    </w:p>
    <w:p w:rsidR="00EE08D2" w:rsidRDefault="00494667">
      <w:pPr>
        <w:pStyle w:val="sOdstavec"/>
        <w:tabs>
          <w:tab w:val="left" w:pos="567"/>
          <w:tab w:val="num" w:pos="2836"/>
        </w:tabs>
        <w:rPr>
          <w:lang w:val="cs-CZ"/>
        </w:rPr>
      </w:pPr>
      <w:r>
        <w:rPr>
          <w:lang w:val="cs-CZ"/>
        </w:rPr>
        <w:t>Poskytnutí úvěru je dále vázáno na podmínku, že příjemce úvěru popř. dodavatel před čerpáním úvěru nebo příslušné dílčí platby průkazně potvrdí, že příjemce úvěru s výjimkou částky rovnající se výši úvěru či příslušné dílčí platby uhradil dodavateli všechny dluhy vyplývající z příslušné smlouvy s dodavatelem.</w:t>
      </w:r>
    </w:p>
    <w:p w:rsidR="00EE08D2" w:rsidRDefault="00494667">
      <w:pPr>
        <w:pStyle w:val="sOdstavec"/>
        <w:tabs>
          <w:tab w:val="left" w:pos="567"/>
          <w:tab w:val="num" w:pos="2836"/>
        </w:tabs>
        <w:rPr>
          <w:lang w:val="cs-CZ"/>
        </w:rPr>
      </w:pPr>
      <w:r>
        <w:rPr>
          <w:lang w:val="cs-CZ"/>
        </w:rPr>
        <w:t>Poskytovatel úvěru se zavazuje poskytnout úvěr respektive jeho dílčí platbu na účet příslušného dodavatele poté, co budou splněny všechny podmínky uvedené v článku 2 odst. 2.2 a 2.3, je-li dodavatelů v daném případě více, musí být uvedené podmínky splněny ve vztahu ke všem jednotlivým dodavatelům. Má-li být úvěr poskytnut v dílčích platbách na účty více jednotlivých dodavatelů, budou všechny dílčí platby poskytnuty ve stejný okamžik, tj. ve stejný den, nedohodnou-li se strany jinak. Čerpáním, resp. poskytnutím úvěru podle této smlouvy o úvěru se rozumí odepsání celkové částky skutečně čerpaného úvěru z účtu poskytovatele úvěru, resp. prostředků tvořících poslední tranži úvěru, je-li sjednáno postupné čerpání. Tímto okamžikem dochází k poskytnutí úvěru, který bude vykázán jako dluh vůči poskytovateli úvěru v účetnictví příjemce úvěru a tento okamžik je rovněž rozhodný pro přechod nebezpečí ztráty finančních prostředků představujících úvěr na příjemce úvěru. Poukázáním úvěru resp. jeho dílčí platby přímo na účet příslušného dodavatele dojde k úhradě odpovídající výše dluhu příjemce úvěru vůči tomu kterému dodavateli z titulu dodávky příslušného předmětu financování.</w:t>
      </w:r>
    </w:p>
    <w:p w:rsidR="00EE08D2" w:rsidRDefault="00494667">
      <w:pPr>
        <w:pStyle w:val="sOdstavec"/>
        <w:tabs>
          <w:tab w:val="left" w:pos="567"/>
          <w:tab w:val="num" w:pos="2836"/>
        </w:tabs>
        <w:rPr>
          <w:lang w:val="cs-CZ"/>
        </w:rPr>
      </w:pPr>
      <w:r>
        <w:rPr>
          <w:lang w:val="cs-CZ"/>
        </w:rPr>
        <w:t>Příjemce úvěru prohlašuje, že si sám vybral předmět financování, dodavatele předmětu financování a dohodl se s dodavatelem na výši a měně kupní ceny, dodacích, platebních a ostatních podmínkách koupě předmětu financování bez spoluúčasti poskytovatele úvěru. Z toho důvodu poskytovatel úvěru neodpovídá za dodací schopnosti či ochotu dodavatele předmět financování dodat. Poskytovatel úvěru zároveň příjemci úvěru neodpovídá za parametry předmětu financování a jeho vlastnosti, ani za údaje obsažené v dokumentaci týkající se předmětu financování. Příjemce úvěru volí na základě svých preferencí v souladu s možnostmi poskytovatele úvěru měnu splátek vyplývajících z této smlouvy o úvěru. Pokud je měna splátek z této smlouvy o úvěru odlišná od měny, v níž je vypláceno dodavateli, či pokud je měnou splátek z této smlouvy o úvěru jiná měna než zákonná měna České republiky, příjemce úvěru tímto výslovně prohlašuje, že si je vědom případných kursových rizik spojených s jeho rozhodnutím ohledně volby měny a svým podpisem této smlouvy o úvěru stvrzuje, že tato rizika akceptuje. Jestliže bude příjemce úvěru čerpat úvěr v jiné měně, než je měna, v níž je vypláceno dodavateli, bude konečná výše úvěru stanovena přepočtem devizovým kurzem uvedeným v předpisu splátek, který se považuje za kurs sjednaný mezi poskytovatelem úvěru a příjemcem úvěru. Přesnou výši úvěru stanoví poskytovatel úvěru následně po čerpání finančních prostředků příjemcem úvěru v předpisu splátek, který bude tvořit nedílnou součást této smlouvy o úvěru.</w:t>
      </w:r>
    </w:p>
    <w:p w:rsidR="00EE08D2" w:rsidRDefault="00494667">
      <w:pPr>
        <w:pStyle w:val="sOdstavec"/>
        <w:tabs>
          <w:tab w:val="left" w:pos="567"/>
          <w:tab w:val="num" w:pos="2836"/>
        </w:tabs>
        <w:rPr>
          <w:lang w:val="cs-CZ"/>
        </w:rPr>
      </w:pPr>
      <w:r>
        <w:rPr>
          <w:lang w:val="cs-CZ"/>
        </w:rPr>
        <w:t>Příjemce úvěru je povinen splácet úvěr a úroky z poskytnutých plateb v souladu s podmínkami uvedenými v této smlouvě o úvěru a konečným předpisem splátek.</w:t>
      </w:r>
    </w:p>
    <w:p w:rsidR="00EE08D2" w:rsidRDefault="00494667">
      <w:pPr>
        <w:pStyle w:val="sNadpis2"/>
        <w:spacing w:before="480"/>
      </w:pPr>
      <w:r>
        <w:t>Pojištění</w:t>
      </w:r>
    </w:p>
    <w:p w:rsidR="00EE08D2" w:rsidRDefault="00494667">
      <w:pPr>
        <w:pStyle w:val="sOdstavec"/>
        <w:tabs>
          <w:tab w:val="left" w:pos="567"/>
          <w:tab w:val="num" w:pos="2836"/>
        </w:tabs>
        <w:rPr>
          <w:lang w:val="cs-CZ"/>
        </w:rPr>
      </w:pPr>
      <w:r>
        <w:rPr>
          <w:lang w:val="cs-CZ"/>
        </w:rPr>
        <w:t>Je-li pro předmět financování stanoveno povinné zákonné pojištění, například pojištění odpovědnosti za škodu způsobenou provozem vozidla/zařízení (dále jen „</w:t>
      </w:r>
      <w:r>
        <w:rPr>
          <w:b/>
          <w:lang w:val="cs-CZ"/>
        </w:rPr>
        <w:t>povinné zákonné pojištění</w:t>
      </w:r>
      <w:r>
        <w:rPr>
          <w:lang w:val="cs-CZ"/>
        </w:rPr>
        <w:t>“), sjedná toto pojištění smluvní strana uvedená v článku 1 odst. 1.4 této smlouvy o úvěru, a to na nejvyšší možnou pojistnou ochranu a rozsah pojistného krytí.</w:t>
      </w:r>
    </w:p>
    <w:p w:rsidR="00EE08D2" w:rsidRDefault="00494667">
      <w:pPr>
        <w:pStyle w:val="sOdstavec1"/>
        <w:rPr>
          <w:lang w:val="cs-CZ"/>
        </w:rPr>
      </w:pPr>
      <w:r>
        <w:rPr>
          <w:lang w:val="cs-CZ"/>
        </w:rPr>
        <w:t>V případě, že povinné zákonné pojištění sjednává poskytovatel úvěru, sjedná jej na náklady příjemce úvěru na celou dobu trvání závazku z této smlouvy o úvěru, nedohodnou-li se strany jinak.</w:t>
      </w:r>
    </w:p>
    <w:p w:rsidR="00EE08D2" w:rsidRDefault="00494667">
      <w:pPr>
        <w:pStyle w:val="sOdstavec1"/>
        <w:rPr>
          <w:lang w:val="cs-CZ"/>
        </w:rPr>
      </w:pPr>
      <w:r>
        <w:rPr>
          <w:lang w:val="cs-CZ"/>
        </w:rPr>
        <w:lastRenderedPageBreak/>
        <w:t>V případě, že povinné zákonné pojištění týkající se předmětu financování sjednává příjemce úvěru, musí být pojištění sjednáno nejpozději v den fyzického převzetí předmětu financování na nejvyšší možnou ochranu a rozsah pojistného krytí po celou dobu trvání závazku z této smlouvy o úvěru. Odpovídající pojistnou smlouvu spolu s potvrzením o uzavření povinného zákonného pojištění je příjemce úvěru povinen předložit poskytovateli úvěru nejpozději v den poskytnutí úvěru</w:t>
      </w:r>
      <w:r>
        <w:rPr>
          <w:rFonts w:ascii="Times New Roman" w:hAnsi="Times New Roman" w:cs="Times New Roman"/>
          <w:bCs w:val="0"/>
          <w:iCs w:val="0"/>
          <w:color w:val="auto"/>
          <w:sz w:val="20"/>
          <w:szCs w:val="20"/>
          <w:lang w:val="cs-CZ"/>
        </w:rPr>
        <w:t xml:space="preserve"> </w:t>
      </w:r>
      <w:r>
        <w:rPr>
          <w:lang w:val="cs-CZ"/>
        </w:rPr>
        <w:t>v souladu s článkem 2 odst. 2.2 písm. d) této smlouvy o úvěru. Poskytovatel úvěru je dále oprávněn požadovat doložení zaplacení příslušného pojistného vztahujícího se k povinnému zákonnému pojištění. V případě, že</w:t>
      </w:r>
      <w:r>
        <w:rPr>
          <w:rFonts w:ascii="Times New Roman" w:hAnsi="Times New Roman" w:cs="Times New Roman"/>
          <w:bCs w:val="0"/>
          <w:iCs w:val="0"/>
          <w:color w:val="auto"/>
          <w:sz w:val="20"/>
          <w:szCs w:val="20"/>
          <w:lang w:val="cs-CZ"/>
        </w:rPr>
        <w:t xml:space="preserve"> </w:t>
      </w:r>
      <w:r>
        <w:rPr>
          <w:lang w:val="cs-CZ"/>
        </w:rPr>
        <w:t>ke dni poskytnutí úvěru příjemce úvěru nepředloží poskytovateli úvěru uzavřenou smlouvu o povinném zákonném pojištění předmětu financování a potvrzení pojišťovny o uzavření povinného zákonného pojištění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Pojistit předmět financování v menším rozsahu nebo s nižší pojistnou ochranou smí příjemce úvěru jen tehdy, je-li to s poskytovatelem úvěru písemné sjednáno. Regresní nároky, resp. nároky na náhradu újmy třetích osob vzniklé z nepojištění nebo podpojištění, stejně jako případné regresní nároky plynoucí z neuhrazeného pojistného (například z nesplnění povinnosti platit příspěvek do garančního fondu České kanceláře pojistitelů u pojištění odpovědnosti za škodu způsobenou provozem vozidla) jdou k tíži příjemce úvěru.</w:t>
      </w:r>
    </w:p>
    <w:p w:rsidR="00EE08D2" w:rsidRDefault="00494667">
      <w:pPr>
        <w:pStyle w:val="sOdstavec"/>
        <w:tabs>
          <w:tab w:val="left" w:pos="567"/>
          <w:tab w:val="num" w:pos="2836"/>
        </w:tabs>
        <w:rPr>
          <w:lang w:val="cs-CZ"/>
        </w:rPr>
      </w:pPr>
      <w:r>
        <w:rPr>
          <w:lang w:val="cs-CZ"/>
        </w:rPr>
        <w:t>Pojištění předmětu financování proti všem rizikům a nebezpečím v daném oboru obvyklým v závislosti na předmětu financování, zejména havarijní pojištění, popř. pojištění strojů (dále jen „</w:t>
      </w:r>
      <w:r>
        <w:rPr>
          <w:b/>
          <w:lang w:val="cs-CZ"/>
        </w:rPr>
        <w:t>škodní pojištění</w:t>
      </w:r>
      <w:r>
        <w:rPr>
          <w:lang w:val="cs-CZ"/>
        </w:rPr>
        <w:t>“) sjedná smluvní strana uvedená v článku 1 odst. 1.4 této smlouvy o úvěru.</w:t>
      </w:r>
    </w:p>
    <w:p w:rsidR="00EE08D2" w:rsidRDefault="00494667">
      <w:pPr>
        <w:pStyle w:val="sOdstavec1"/>
        <w:rPr>
          <w:lang w:val="cs-CZ"/>
        </w:rPr>
      </w:pPr>
      <w:r>
        <w:rPr>
          <w:lang w:val="cs-CZ"/>
        </w:rPr>
        <w:t>V případě, že škodní pojištění sjednává poskytovatel úvěru, pojistí poskytovatel úvěru předmět financování na náklady příjemce úvěru na celou dobu splácení úvěru, nedohodnou-li se strany jinak.</w:t>
      </w:r>
    </w:p>
    <w:p w:rsidR="00EE08D2" w:rsidRDefault="00494667">
      <w:pPr>
        <w:pStyle w:val="sOdstavec1"/>
        <w:rPr>
          <w:lang w:val="cs-CZ"/>
        </w:rPr>
      </w:pPr>
      <w:r>
        <w:rPr>
          <w:lang w:val="cs-CZ"/>
        </w:rPr>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a s dobou trvání pojištění do ukončení doby splácení dle článku 1 odst. 1.4 této smlouvy o úvěru.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škodnímu pojištění. V případě, že ke dni poskytnutí úvěru příjemce úvěru nepředloží poskytovateli úvěru uzavřenou smlouvu o škodním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 </w:t>
      </w:r>
    </w:p>
    <w:p w:rsidR="00EE08D2" w:rsidRDefault="00494667">
      <w:pPr>
        <w:pStyle w:val="sOdstavec"/>
        <w:tabs>
          <w:tab w:val="left" w:pos="567"/>
          <w:tab w:val="num" w:pos="2836"/>
        </w:tabs>
        <w:rPr>
          <w:lang w:val="cs-CZ"/>
        </w:rPr>
      </w:pPr>
      <w:r>
        <w:rPr>
          <w:lang w:val="cs-CZ"/>
        </w:rPr>
        <w:t>Je-li příjemce úvěru povinen sjednat pojištění předmětu financování, je povinen kdykoliv během trvání uvedené doby splácení na základě vyzvání poskytovatele úvěru předložit průkazné potvrzení o tom, že pojistné krytí předmětu financování trvá. Pokud tak ve lhůtě stanovené poskytovatelem úvěru neučiní, je poskytovatel úvěru oprávněn pojistit předmět na náklady příjemce úvěru. Bylo-li sjednáno pojištění předmětu poskytovatelem úvěru z důvodu nepředložení důkazu o sjednaném pojištění ze strany příjemce úvěru, je příjemce úvěru povinen zaplacené pojistné poskytovateli úvěru uhradit na základě předloženého vyúčtování, a to do 14 dnů od doručení tohoto vyúčtování příjemci úvěru.</w:t>
      </w:r>
    </w:p>
    <w:p w:rsidR="00EE08D2" w:rsidRDefault="00494667">
      <w:pPr>
        <w:pStyle w:val="sOdstavec"/>
        <w:tabs>
          <w:tab w:val="left" w:pos="567"/>
          <w:tab w:val="num" w:pos="2836"/>
        </w:tabs>
        <w:rPr>
          <w:lang w:val="cs-CZ"/>
        </w:rPr>
      </w:pPr>
      <w:r>
        <w:rPr>
          <w:lang w:val="cs-CZ"/>
        </w:rPr>
        <w:t>Pro případ, že by příjemce úvěru uzavřel po dobu trvání závazku z této smlouvy o úvěru pojistnou smlouvu s jiným pojistitelem týkající se pojištění předmětu financování, které bylo sjednáno poskytovatelem úvěru, zavazuje se příjemce úvěru nadále hradit poskytovateli úvěru náklady vzniklé z pojištění předmětu financování ze strany poskytovatele úvěru.</w:t>
      </w:r>
    </w:p>
    <w:p w:rsidR="00EE08D2" w:rsidRDefault="00494667">
      <w:pPr>
        <w:pStyle w:val="sOdstavec"/>
        <w:tabs>
          <w:tab w:val="left" w:pos="567"/>
          <w:tab w:val="num" w:pos="2836"/>
        </w:tabs>
        <w:rPr>
          <w:lang w:val="cs-CZ"/>
        </w:rPr>
      </w:pPr>
      <w:r>
        <w:rPr>
          <w:lang w:val="cs-CZ"/>
        </w:rPr>
        <w:lastRenderedPageBreak/>
        <w:t xml:space="preserve">Předmět financování je pojištěn s pojistným krytím omezeným na územní platnost/místo pojištění. Příjemce úvěru prohlašuje, že si je vědom rizika případného odmítnutí pojistného plnění ze strany pojišťovny u takové pojistné události, kdy se předmět financování bude nacházet mimo sjednané území/místo. Příjemce úvěru bez výhrad přebírá veškerá rizika spojená s případným vyvezením či přemístěním předmětu financování mimo toto sjednané území /místo. </w:t>
      </w:r>
    </w:p>
    <w:p w:rsidR="00EE08D2" w:rsidRDefault="00494667">
      <w:pPr>
        <w:pStyle w:val="sOdstavec"/>
        <w:tabs>
          <w:tab w:val="left" w:pos="567"/>
          <w:tab w:val="num" w:pos="2836"/>
        </w:tabs>
        <w:rPr>
          <w:lang w:val="cs-CZ"/>
        </w:rPr>
      </w:pPr>
      <w:r>
        <w:rPr>
          <w:lang w:val="cs-CZ"/>
        </w:rPr>
        <w:t>Eventuální pojistné plnění hrazené z pojištění bude vyplaceno ve prospěch poskytovatele úvěru a bude po úplném pokrytí vlastních škod poskytovatele úvěru použito na úhradu dluhů příjemce úvěru vůči poskytovateli úvěru, a to až do výše dlužné částky z této smlouvy o úvěru.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p>
    <w:p w:rsidR="00EE08D2" w:rsidRDefault="00494667">
      <w:pPr>
        <w:pStyle w:val="sOdstavec"/>
        <w:tabs>
          <w:tab w:val="left" w:pos="567"/>
          <w:tab w:val="num" w:pos="2836"/>
        </w:tabs>
        <w:rPr>
          <w:lang w:val="cs-CZ"/>
        </w:rPr>
      </w:pPr>
      <w:r>
        <w:rPr>
          <w:lang w:val="cs-CZ"/>
        </w:rPr>
        <w:t xml:space="preserve">V případě, že dojde ke ztrátě či odcizení předmětu financování, nebo nastane takové poškození předmětu financování, které bude pojišťovnou definováno, resp. poskytovatelem úvěru posouzeno jako totální škoda/totální poškození/zánik předmětu financování či je předmět financování deklarován jako dále nepoužitelný, je poskytovatel úvěru oprávněn závazek z této smlouvy o úvěru vypovědět nebo prohlásit dosud nesplacenou část úvěru předčasně splatnou (v souladu s článkem 8 odst. 8.1 této smlouvy o úvěru) a požadovat na příjemci úvěru splnění jeho platebních povinností dle článku 8 této smlouvy o úvěru. Na úhradu těchto pohledávek poskytovatele úvěru bude použito případné plnění pojišťovny z pojistné události. Na dlužnou částku bude poskytovatelem úvěru vystavena faktura/daňový doklad. V případě, nebude-li částka připsána na účet poskytovatele úvěru do 14 dnů od její splatnosti, bude příjemci úvěru vyměřena smluvní pokuta ve výši 4% </w:t>
      </w:r>
      <w:proofErr w:type="gramStart"/>
      <w:r>
        <w:rPr>
          <w:lang w:val="cs-CZ"/>
        </w:rPr>
        <w:t>p.a.</w:t>
      </w:r>
      <w:proofErr w:type="gramEnd"/>
      <w:r>
        <w:rPr>
          <w:lang w:val="cs-CZ"/>
        </w:rPr>
        <w:t xml:space="preserve"> nad příslušnou diskontní sazbu ČNB od začátku prodlení až do úplného zaplacení dlužné  částky. Nárok poskytovatele úvěru na náhradu škody tímto není dotčen. Poskytovatel úvěru je oprávněn vyúčtovat příjemci úvěru poplatek za mimořádné vypořádání této smlouvy o úvěru z důvodu totální škody dle aktuálního sazebníku.</w:t>
      </w:r>
    </w:p>
    <w:p w:rsidR="00EE08D2" w:rsidRDefault="00494667">
      <w:pPr>
        <w:pStyle w:val="sOdstavec"/>
        <w:tabs>
          <w:tab w:val="left" w:pos="567"/>
          <w:tab w:val="num" w:pos="2836"/>
        </w:tabs>
        <w:rPr>
          <w:lang w:val="cs-CZ"/>
        </w:rPr>
      </w:pPr>
      <w:r>
        <w:rPr>
          <w:lang w:val="cs-CZ"/>
        </w:rPr>
        <w:t>V případě, že poškození předmětu financování není pojišťovnou definováno, resp. poskytovatelem úvěru posouzeno jako totální škoda/totální poškození/zánik je příjemce úvěru povinen nechat předmět financování opravit autorizovaným servisním střediskem během přiměřené lhůty od vzniku události a uvést jej do technicky bezvadného stavu. O tomto musí být poskytovatel úvěru neprodleně informován. Při nedodržení podmínky provedení opravy autorizovaným servisním střediskem je příjemce úvěru povinen doložit poskytovateli úvěru na jeho žádost vyjádření výrobce/dovozce/dodavatele předmětu financování či autorizovaného servisního střediska předmětu financování, zda byla oprava provedena řádným způsobem. V případě, že příjemce úvěru toto potvrzení nedodá, je poskytovatel úvěru oprávněn požadovat výplatu pojistného plnění na účet poskytovatele úvěru. Případný rozdíl mezi pojistným plněním a skutečnou vyčíslenou škodou nese příjemce úvěru.</w:t>
      </w:r>
    </w:p>
    <w:p w:rsidR="00EE08D2" w:rsidRDefault="00494667">
      <w:pPr>
        <w:pStyle w:val="sOdstavec"/>
        <w:tabs>
          <w:tab w:val="left" w:pos="567"/>
          <w:tab w:val="num" w:pos="2836"/>
        </w:tabs>
        <w:rPr>
          <w:lang w:val="cs-CZ"/>
        </w:rPr>
      </w:pPr>
      <w:r>
        <w:rPr>
          <w:lang w:val="cs-CZ"/>
        </w:rPr>
        <w:t>Příjemce úvěru je oprávněn v průběhu smluvního vztahu založeného touto smlouvou o úvěru měnit pojistitele pouze s předchozím písemným souhlasem poskytovatele úvěru.</w:t>
      </w:r>
    </w:p>
    <w:p w:rsidR="00EE08D2" w:rsidRDefault="00494667">
      <w:pPr>
        <w:pStyle w:val="sOdstavec"/>
        <w:tabs>
          <w:tab w:val="left" w:pos="567"/>
          <w:tab w:val="num" w:pos="2836"/>
        </w:tabs>
        <w:rPr>
          <w:lang w:val="cs-CZ"/>
        </w:rPr>
      </w:pPr>
      <w:r>
        <w:rPr>
          <w:lang w:val="cs-CZ"/>
        </w:rPr>
        <w:t>Příjemce úvěru zmocňuje tímto poskytovatele úvěru ve věci kontaktování pojistitele za účelem získávání informací o stavu a změnách veškerých pojistných smluv týkajících se předmětu financování, výplatách pojistného plnění, platbách pojistného a pojistných událostech. Poskytovatel úvěru je oprávněn dále zmocnit ve stejném rozsahu pojišťovacího zprostředkovatele.</w:t>
      </w:r>
    </w:p>
    <w:p w:rsidR="00EE08D2" w:rsidRDefault="00494667">
      <w:pPr>
        <w:pStyle w:val="sOdstavec"/>
        <w:tabs>
          <w:tab w:val="left" w:pos="567"/>
          <w:tab w:val="num" w:pos="2836"/>
        </w:tabs>
        <w:rPr>
          <w:lang w:val="cs-CZ"/>
        </w:rPr>
      </w:pPr>
      <w:r>
        <w:rPr>
          <w:lang w:val="cs-CZ"/>
        </w:rPr>
        <w:t>V okamžiku převodu vlastnického práva k předmětu financování na příjemce úvěru je příjemce úvěru povinen oznámit tuto změnu pojistiteli.</w:t>
      </w:r>
    </w:p>
    <w:p w:rsidR="00EE08D2" w:rsidRDefault="00494667">
      <w:pPr>
        <w:pStyle w:val="sNadpis2"/>
        <w:spacing w:before="480"/>
      </w:pPr>
      <w:r>
        <w:t>Konstrukce úrokové sazby</w:t>
      </w:r>
    </w:p>
    <w:p w:rsidR="00EE08D2" w:rsidRDefault="00494667">
      <w:pPr>
        <w:pStyle w:val="sOdstavec"/>
        <w:tabs>
          <w:tab w:val="left" w:pos="567"/>
          <w:tab w:val="num" w:pos="2836"/>
        </w:tabs>
        <w:rPr>
          <w:lang w:val="cs-CZ"/>
        </w:rPr>
      </w:pPr>
      <w:r>
        <w:rPr>
          <w:lang w:val="cs-CZ"/>
        </w:rPr>
        <w:t xml:space="preserve">Příjemce úvěru je povinen od zahájení čerpání úvěru hradit úroky z vyčerpané a dosud nesplacené částky úvěru ve výši sjednané v této smlouvě o úvěru, a to v měně uvedené v této smlouvě o úvěru. Skutečná výše celkové úrokové sazby smlouvy o úvěru se stanovuje v okamžiku čerpání úvěru a vychází z podmínek smlouvy o úvěru a z aktuální situace na mezibankovním trhu. </w:t>
      </w:r>
    </w:p>
    <w:p w:rsidR="00EE08D2" w:rsidRDefault="00494667">
      <w:pPr>
        <w:pStyle w:val="sOdstavec"/>
        <w:tabs>
          <w:tab w:val="left" w:pos="567"/>
          <w:tab w:val="num" w:pos="2836"/>
        </w:tabs>
        <w:rPr>
          <w:lang w:val="cs-CZ"/>
        </w:rPr>
      </w:pPr>
      <w:r>
        <w:rPr>
          <w:lang w:val="cs-CZ"/>
        </w:rPr>
        <w:t>Při výpočtu denního nárůstu úroků se používá úročení s 30 dny v měsíci a 360 dny v roce. Úrok k úvěru se připisuje vždy k termínu splatnosti následující splátky.</w:t>
      </w:r>
    </w:p>
    <w:p w:rsidR="00EE08D2" w:rsidRDefault="00494667">
      <w:pPr>
        <w:pStyle w:val="sOdstavec"/>
        <w:tabs>
          <w:tab w:val="left" w:pos="567"/>
          <w:tab w:val="num" w:pos="2836"/>
        </w:tabs>
        <w:rPr>
          <w:lang w:val="cs-CZ"/>
        </w:rPr>
      </w:pPr>
      <w:r>
        <w:rPr>
          <w:lang w:val="cs-CZ"/>
        </w:rPr>
        <w:lastRenderedPageBreak/>
        <w:t>Poskytovatel úvěru a příjemce úvěru si ujednali vyloučení aplikace § 1805 odst. 2 občanského zákoníku na tuto smlouvu o úvěru, tedy si dohodli, že poskytovatel úvěru je oprávněn požadovat další úroky, včetně úroků z prodlení, v souladu s touto smlouvou o úvěru, přestože tyto úroky budou činit tolik nebo více než jistina dle této smlouvy o úvěru.</w:t>
      </w:r>
    </w:p>
    <w:p w:rsidR="00EE08D2" w:rsidRDefault="00494667">
      <w:pPr>
        <w:pStyle w:val="sNadpis2"/>
        <w:spacing w:before="480"/>
      </w:pPr>
      <w:r>
        <w:t>Splácení úvěru</w:t>
      </w:r>
    </w:p>
    <w:p w:rsidR="00EE08D2" w:rsidRDefault="00494667">
      <w:pPr>
        <w:pStyle w:val="sOdstavec"/>
        <w:tabs>
          <w:tab w:val="left" w:pos="567"/>
          <w:tab w:val="num" w:pos="2836"/>
        </w:tabs>
        <w:rPr>
          <w:lang w:val="cs-CZ"/>
        </w:rPr>
      </w:pPr>
      <w:r>
        <w:rPr>
          <w:lang w:val="cs-CZ"/>
        </w:rPr>
        <w:t>Příjemce úvěru je povinen splatit úvěr a úrok postupně ve stanovených termínech a výši. Předběžná výše splátek a termíny splatnosti jsou uvedeny v článku 1 odst. 1.4 této smlouvy o úvěru. Výše konečné splátky, tj. úvěr a úrok i termíny splatností jednotlivých splátek, bude stanovena po čerpání úvěru (ihned po provedeném vyúčtování po realizaci platby) v souladu s článkem 4 v konečném předpisu splátek, který bude předán příjemci úvěru a stane se tak nedílnou součástí této smlouvy o úvěru.</w:t>
      </w:r>
    </w:p>
    <w:p w:rsidR="00EE08D2" w:rsidRDefault="00494667">
      <w:pPr>
        <w:pStyle w:val="sOdstavec"/>
        <w:tabs>
          <w:tab w:val="left" w:pos="567"/>
          <w:tab w:val="num" w:pos="2836"/>
        </w:tabs>
        <w:rPr>
          <w:lang w:val="cs-CZ"/>
        </w:rPr>
      </w:pPr>
      <w:r>
        <w:rPr>
          <w:lang w:val="cs-CZ"/>
        </w:rPr>
        <w:t>Způsob financování a stanovení úrokové sazby jsou uvedeny v článku 1 odst. 1.4 této smlouvy o úvěru.</w:t>
      </w:r>
    </w:p>
    <w:p w:rsidR="00EE08D2" w:rsidRDefault="00494667">
      <w:pPr>
        <w:pStyle w:val="sOdstavec1"/>
        <w:rPr>
          <w:lang w:val="cs-CZ"/>
        </w:rPr>
      </w:pPr>
      <w:r>
        <w:rPr>
          <w:lang w:val="cs-CZ"/>
        </w:rPr>
        <w:t>V případě sjednání variabilní úrokové sazby je úroková sazba poskytovatelem úvěru pravidelně aktualizována v závislosti na periodě platnosti použité referenční úrokové sazby (PRIBOR pro smlouvu o úvěru uzavřenou v CZK a EURIBOR pro smlouvu o úvěru uzavřenou v </w:t>
      </w:r>
      <w:proofErr w:type="gramStart"/>
      <w:r>
        <w:rPr>
          <w:lang w:val="cs-CZ"/>
        </w:rPr>
        <w:t>EUR</w:t>
      </w:r>
      <w:proofErr w:type="gramEnd"/>
      <w:r>
        <w:rPr>
          <w:lang w:val="cs-CZ"/>
        </w:rPr>
        <w:t>) na základě jejího aktuálního vývoje. Perioda platnosti referenční úrokové sazby je uvedena v článku 1 odst. 1.4 této smlouvy o úvěru a představuje jednu z veličin relevantních pro výpočet celkové úrokové sazby smlouvy o úvěru. V takovém případě bude poskytovatel úvěru informovat příjemce úvěru minimálně jedenkrát ročně, a to vždy na počátku každého kalendářního roku, respektive vždy před splatností poslední splátky úvěru, o vlivu změny referenční úrokové sazby na výši budoucích splátek zasláním aktualizovaného předpisu splátek, který nahrazuje původní předpis splátek a tím se stává platným účetním dokladem.</w:t>
      </w:r>
      <w:r>
        <w:rPr>
          <w:i/>
          <w:lang w:val="cs-CZ"/>
        </w:rPr>
        <w:t xml:space="preserve"> </w:t>
      </w:r>
      <w:r>
        <w:rPr>
          <w:lang w:val="cs-CZ"/>
        </w:rPr>
        <w:t>Poskytovatel úvěru a příjemce úvěru se dohodli, že v případě, kdy vyhlášená referenční úroková sazba (PRIBOR nebo EURIBOR) bude nižší než nula, nahradí se vyhlášená hodnota referenční úrokové sazby pro účely výpočtu celkové úrokové sazby relevantní pro tuto smlouvu o úvěru hodnotou nula (0).</w:t>
      </w:r>
    </w:p>
    <w:p w:rsidR="00EE08D2" w:rsidRDefault="00494667">
      <w:pPr>
        <w:pStyle w:val="sOdstavec1"/>
        <w:rPr>
          <w:lang w:val="cs-CZ"/>
        </w:rPr>
      </w:pPr>
      <w:r>
        <w:rPr>
          <w:lang w:val="cs-CZ"/>
        </w:rPr>
        <w:t>V případě sjednání  úrokové sazby fixované na delší období je poskytovatel úvěru oprávněn provést odpovídající úpravu splátek, dojde-li ke změně referenční úrokové sazby uvedené v nabídce financování, popř. vždy dojde-li ke změně výše příslušné referenční úrokové sazby této smlouvy o úvěru či změně ostatních podmínek na mezibankovním trhu v době mezi uzavřením této smlouvy o úvěru a odepsáním celkové skutečně čerpané částky úvěru z účtu poskytovatele úvěru. Poskytovatel úvěru si vyhrazuje právo na odpovídající úpravu výše splátek, jestliže dojde ke změně úrokových sazeb na peněžním a kapitálovém trhu či změně ostatních podmínek na mezibankovním trhu po uplynutí pevně dohodnutého období, po které je úroková sazba této smlouvy o úvěru fixovaná a které je uvedeno v článku 1 odst. 1.4 této smlouvy o úvěru. Nebude-li již referenční úroková sazba sjednaná v této smlouvě o úvěru existovat, pak se poskytovatel úvěru a příjemce úvěru dohodli, že bude jako základ pro výpočet úpravy použit nástupnický indikátor.</w:t>
      </w:r>
    </w:p>
    <w:p w:rsidR="00EE08D2" w:rsidRDefault="00494667">
      <w:pPr>
        <w:pStyle w:val="sOdstavec"/>
        <w:tabs>
          <w:tab w:val="left" w:pos="567"/>
          <w:tab w:val="num" w:pos="2836"/>
        </w:tabs>
        <w:rPr>
          <w:lang w:val="cs-CZ"/>
        </w:rPr>
      </w:pPr>
      <w:r>
        <w:rPr>
          <w:lang w:val="cs-CZ"/>
        </w:rPr>
        <w:t xml:space="preserve">Úhrada úroků bude prováděna pravidelně vždy s úhradou splátky úvěru ve formě anuitních splátek, není-li v článku 1 odst. 1.4 této smlouvy o úvěru nebo v předpisu splátek stanoveno jinak. Platební povinnosti příjemce úvěru z této smlouvy o úvěru jsou splněny vrácením poskytnutého úvěru a úhradou úroků, resp. jejich připsáním na účet poskytovatele úvěru uvedený v záhlaví této smlouvy o úvěru v termínu splatnosti podle předpisu splátek a zaplacením veškerých dluhů vyplývajících z této smlouvy o úvěru. Nebezpečí ztráty příslušné platby nese příjemce úvěru až do připsání odpovídající finanční částky na účet poskytovatele úvěru uvedený v záhlaví této smlouvy o úvěru. </w:t>
      </w:r>
    </w:p>
    <w:p w:rsidR="00EE08D2" w:rsidRDefault="00494667">
      <w:pPr>
        <w:pStyle w:val="sOdstavec"/>
        <w:tabs>
          <w:tab w:val="left" w:pos="567"/>
          <w:tab w:val="num" w:pos="2836"/>
        </w:tabs>
        <w:rPr>
          <w:lang w:val="cs-CZ"/>
        </w:rPr>
      </w:pPr>
      <w:r>
        <w:rPr>
          <w:lang w:val="cs-CZ"/>
        </w:rPr>
        <w:t>Příjemce úvěru není oprávněn k započtení jakýchkoli případných pohledávek na zaplacení peněžitého dluhu vůči poskytovateli úvěru oproti pohledávce poskytovatele úvěru vůči příjemci úvěru na zaplacení splátek úvěru nebo jiných plateb dle této smlouvy o úvěru.</w:t>
      </w:r>
    </w:p>
    <w:p w:rsidR="00EE08D2" w:rsidRDefault="00494667">
      <w:pPr>
        <w:pStyle w:val="sOdstavec"/>
        <w:tabs>
          <w:tab w:val="left" w:pos="567"/>
          <w:tab w:val="num" w:pos="2836"/>
        </w:tabs>
        <w:rPr>
          <w:lang w:val="cs-CZ"/>
        </w:rPr>
      </w:pPr>
      <w:r>
        <w:rPr>
          <w:lang w:val="cs-CZ"/>
        </w:rPr>
        <w:t>Veškeré náklady spojené s přípravou, uzavřením a správou této smlouvy o úvěru nese příjemce úvěru. Veškeré daně, poplatky a odvody spojené s touto smlouvou o úvěru, které již vznikly nebo vzniknou v budoucnu, a které souvisí s využitím této smlouvy o úvěru, nese příjemce úvěru.</w:t>
      </w:r>
    </w:p>
    <w:p w:rsidR="00EE08D2" w:rsidRDefault="00494667">
      <w:pPr>
        <w:pStyle w:val="sOdstavec"/>
        <w:tabs>
          <w:tab w:val="left" w:pos="567"/>
          <w:tab w:val="num" w:pos="2836"/>
        </w:tabs>
        <w:rPr>
          <w:lang w:val="cs-CZ"/>
        </w:rPr>
      </w:pPr>
      <w:r>
        <w:rPr>
          <w:lang w:val="cs-CZ"/>
        </w:rPr>
        <w:t>Příjemce úvěru potvrdí příslušným dokladem podepsaným příjemcem úvěru a dodavatelem o předání předmětu financování, že předmět financování převzal. Případnými námitkami a výhradami z kupní smlouvy mezi příjemcem úvěru jako kupujícím a dodavatelem jako prodávajícím nejsou dotčeny povinnosti příjemce úvěru vůči poskytovateli úvěru. Příjemce úvěru je povinen ke splácení úvěru a plnění povinností z této smlouvy o úvěru i tehdy, když předmět financování není funkční nebo probíhá reklamační řízení, nebo když předmět financování neobdržel podle příslušné smlouvy s dodavatelem.</w:t>
      </w:r>
    </w:p>
    <w:p w:rsidR="00EE08D2" w:rsidRDefault="00494667">
      <w:pPr>
        <w:pStyle w:val="sOdstavec"/>
        <w:tabs>
          <w:tab w:val="left" w:pos="567"/>
        </w:tabs>
        <w:rPr>
          <w:lang w:val="cs-CZ"/>
        </w:rPr>
      </w:pPr>
      <w:r>
        <w:rPr>
          <w:lang w:val="cs-CZ"/>
        </w:rPr>
        <w:lastRenderedPageBreak/>
        <w:t>Poskytovatel úvěru a příjemce úvěru si dále ujednali vyloučení aplikace § 2399 odst. 2 občanského zákoníku, tedy si dohodli, že příjemce úvěru není oprávněn vrátit poskytovateli úvěru peněžní prostředky před smluvenou dobou. V případě předčasného splacení úvěru na základě dohody stran příjemce úvěru tedy uhradí úroky za celou původně sjednanou dobu splácení úvěru.</w:t>
      </w:r>
    </w:p>
    <w:p w:rsidR="00EE08D2" w:rsidRDefault="00494667">
      <w:pPr>
        <w:pStyle w:val="sNadpis2"/>
        <w:spacing w:before="480"/>
      </w:pPr>
      <w:r>
        <w:t>Prodlení</w:t>
      </w:r>
    </w:p>
    <w:p w:rsidR="00EE08D2" w:rsidRDefault="00494667">
      <w:pPr>
        <w:pStyle w:val="sOdstavec"/>
        <w:tabs>
          <w:tab w:val="left" w:pos="567"/>
          <w:tab w:val="num" w:pos="2836"/>
        </w:tabs>
        <w:rPr>
          <w:lang w:val="cs-CZ"/>
        </w:rPr>
      </w:pPr>
      <w:r>
        <w:rPr>
          <w:lang w:val="cs-CZ"/>
        </w:rPr>
        <w:t xml:space="preserve">Příjemce úvěru je v prodlení se splácením úvěru a úhradou úroků, pokud není splátka v plné výši řádně a včas dle předpisu splátek připsána na účet poskytovatele úvěru. </w:t>
      </w:r>
    </w:p>
    <w:p w:rsidR="00EE08D2" w:rsidRDefault="00494667">
      <w:pPr>
        <w:pStyle w:val="sOdstavec"/>
        <w:tabs>
          <w:tab w:val="left" w:pos="567"/>
          <w:tab w:val="num" w:pos="2836"/>
        </w:tabs>
        <w:rPr>
          <w:lang w:val="cs-CZ"/>
        </w:rPr>
      </w:pPr>
      <w:r>
        <w:rPr>
          <w:lang w:val="cs-CZ"/>
        </w:rPr>
        <w:t>Ocitne-li se příjemce úvěru v prodlení s úhradou splátky nebo se splněním jakýchkoliv jiných platebních povinností (zejména zaplacení pojistného) nebo jejich části včetně příslušenství, a to bez ohledu na důvody prodlení, je příjemce úvěru povinen uhradit poskytovateli úvěru úroky z prodlení ve výši 0,05% z dlužné částky brutto denně, přičemž poskytovatel úvěru a příjemce úvěru si sjednávají, že úrok z prodlení ve výši 0,05% bude ve smyslu § 1806 občanského zákoníku narůstat i na dlužných částkách úroku. Dále je poskytovatel úvěru v takovém případě oprávněn požadovat smluvní pokutu ve výši 750,- CZK za každý jednotlivý případ prodlení, která je splatná ve lhůtě uvedené na příslušné faktuře/daňovém dokladu vystaveném poskytovatelem úvěru na příjemce úvěru.</w:t>
      </w:r>
    </w:p>
    <w:p w:rsidR="00EE08D2" w:rsidRDefault="00494667">
      <w:pPr>
        <w:pStyle w:val="sOdstavec"/>
        <w:tabs>
          <w:tab w:val="left" w:pos="567"/>
          <w:tab w:val="num" w:pos="2836"/>
        </w:tabs>
        <w:rPr>
          <w:lang w:val="cs-CZ"/>
        </w:rPr>
      </w:pPr>
      <w:r>
        <w:rPr>
          <w:lang w:val="cs-CZ"/>
        </w:rPr>
        <w:t>Prodlení příjemce úvěru s úhradou jakékoli splátky úvěru a/nebo úroků, které trvá nejméně 10 kalendářních dnů, je považováno za podstatné porušení smlouvy o úvěru. Mimo jiné má pak poskytovatel úvěru právo na realizaci zajištění dle zajišťovací smlouvy uzavřené v souladu s článkem 7 odst. 7.1 této smlouvy o úvěru.</w:t>
      </w:r>
    </w:p>
    <w:p w:rsidR="00EE08D2" w:rsidRDefault="00494667">
      <w:pPr>
        <w:pStyle w:val="sOdstavec"/>
        <w:tabs>
          <w:tab w:val="left" w:pos="567"/>
          <w:tab w:val="num" w:pos="2836"/>
        </w:tabs>
        <w:rPr>
          <w:lang w:val="cs-CZ"/>
        </w:rPr>
      </w:pPr>
      <w:r>
        <w:rPr>
          <w:lang w:val="cs-CZ"/>
        </w:rPr>
        <w:t>V případě prodlení příjemce úvěru s plněním nepeněžitých povinností podle této smlouvy o úvěru (zejména, nikoli však výlučně, přistavení předmětu financování v souladu s výzvou poskytovatele úvěru, předání originálů dokumentů, vrácení originálů dokumentů po jejich zapůjčení) je příjemce úvěru povinen zaplatit poskytovateli úvěru smluvní pokutu ve výši 5.000,- CZK za každé jednotlivé porušení, a to ve lhůtě uvedené na příslušné faktuře/daňovém dokladu vystaveném poskytovatelem úvěru na příjemce úvěru.</w:t>
      </w:r>
    </w:p>
    <w:p w:rsidR="00EE08D2" w:rsidRDefault="00494667">
      <w:pPr>
        <w:pStyle w:val="sOdstavec"/>
        <w:tabs>
          <w:tab w:val="left" w:pos="567"/>
          <w:tab w:val="num" w:pos="2836"/>
        </w:tabs>
        <w:rPr>
          <w:lang w:val="cs-CZ"/>
        </w:rPr>
      </w:pPr>
      <w:r>
        <w:rPr>
          <w:lang w:val="cs-CZ"/>
        </w:rPr>
        <w:t>V případě prodlení příjemce úvěru s plněním povinností z této smlouvy o úvěru může poskytovatel úvěru využít služby inkasní a vymáhací agentury. Veškeré náklady s tímto spojené budou přeúčtovány k tíži příjemci úvěru a příjemce úvěru se je zavazuje uhradit dle splatnosti uvedené na příslušné faktuře/daňovém dokladu vystaveném poskytovatelem úvěru na příjemce úvěru.</w:t>
      </w:r>
    </w:p>
    <w:p w:rsidR="00EE08D2" w:rsidRDefault="00494667">
      <w:pPr>
        <w:pStyle w:val="sNadpis2"/>
        <w:spacing w:before="480"/>
      </w:pPr>
      <w:r>
        <w:t>Zajištění úvěru</w:t>
      </w:r>
    </w:p>
    <w:p w:rsidR="00EE08D2" w:rsidRDefault="00494667">
      <w:pPr>
        <w:pStyle w:val="sOdstavec"/>
        <w:tabs>
          <w:tab w:val="left" w:pos="567"/>
          <w:tab w:val="num" w:pos="2836"/>
        </w:tabs>
        <w:rPr>
          <w:lang w:val="cs-CZ"/>
        </w:rPr>
      </w:pPr>
      <w:r>
        <w:rPr>
          <w:lang w:val="cs-CZ"/>
        </w:rPr>
        <w:t>K zajištění práv a povinností vyplývajících z této smlouvy o úvěru uzavřou smluvní strany smlouvu o zajišťovacím převodu vlastnického práva k předmětu financování, kterou příjemce úvěru převede vlastnické právo k předmětu financování na poskytovatele úvěru. Tuto smlouvu o zajišťovacím převodu vlastnického práva je příjemce úvěru povinen s poskytovatelem úvěru uzavřít nejpozději v den, kdy se stane vlastníkem předmětu financování. Poskytovatel úvěru a příjemce úvěru se dohodli, že předmět financování bude i nadále v užívání příjemce úvěru; v této souvislosti se zároveň ujednává, že užívání předmětu financování příjemcem úvěru se děje na základě výpůjčky. Jestliže nedojde k uzavření smlouvy o zajišťovacím převodu vlastnického práva podle tohoto článku, je příjemce úvěru povinen zaplatit poskytovateli úvěru smluvní pokutu ve výši 1.000.000,- CZK ve lhůtě uvedené na faktuře/daňovém dokladu vystaveném poskytovatelem úvěru na příjemce úvěru.</w:t>
      </w:r>
    </w:p>
    <w:p w:rsidR="00EE08D2" w:rsidRDefault="00494667">
      <w:pPr>
        <w:pStyle w:val="sOdstavec"/>
        <w:tabs>
          <w:tab w:val="left" w:pos="567"/>
          <w:tab w:val="num" w:pos="2836"/>
        </w:tabs>
        <w:rPr>
          <w:lang w:val="cs-CZ"/>
        </w:rPr>
      </w:pPr>
      <w:r>
        <w:rPr>
          <w:lang w:val="cs-CZ"/>
        </w:rPr>
        <w:t>Případné neposkytnutí požadovaného zajišťovacího instrumentu dle článku 7 odst. 7.1 je považováno za podstatné porušení této smlouvy o úvěru a může být důvodem pro prohlášení předčasné splatnosti úvěru.</w:t>
      </w:r>
    </w:p>
    <w:p w:rsidR="00EE08D2" w:rsidRDefault="00494667">
      <w:pPr>
        <w:pStyle w:val="sOdstavec"/>
        <w:tabs>
          <w:tab w:val="left" w:pos="567"/>
          <w:tab w:val="num" w:pos="2836"/>
        </w:tabs>
        <w:rPr>
          <w:lang w:val="cs-CZ"/>
        </w:rPr>
      </w:pPr>
      <w:r>
        <w:rPr>
          <w:lang w:val="cs-CZ"/>
        </w:rPr>
        <w:t>Příjemce úvěru po dobu trvání zajišťovacího instrumentu podle tohoto článku opatří předmět financování nebo jiný předmět zajišťovacího instrumentu (společně dále též jen „</w:t>
      </w:r>
      <w:r>
        <w:rPr>
          <w:b/>
          <w:lang w:val="cs-CZ"/>
        </w:rPr>
        <w:t>předmět zajištění“</w:t>
      </w:r>
      <w:r>
        <w:rPr>
          <w:lang w:val="cs-CZ"/>
        </w:rPr>
        <w:t>) viditelnou a trvanlivou informací o tom, že předmět zajištění je předmětem zajišťovacího instrumentu podle tohoto článku zřízeného ve prospěch poskytovatele úvěru.</w:t>
      </w:r>
    </w:p>
    <w:p w:rsidR="00EE08D2" w:rsidRDefault="00494667">
      <w:pPr>
        <w:pStyle w:val="sOdstavec"/>
        <w:tabs>
          <w:tab w:val="left" w:pos="567"/>
          <w:tab w:val="num" w:pos="2836"/>
        </w:tabs>
        <w:rPr>
          <w:lang w:val="cs-CZ"/>
        </w:rPr>
      </w:pPr>
      <w:r>
        <w:rPr>
          <w:lang w:val="cs-CZ"/>
        </w:rPr>
        <w:t xml:space="preserve">Příjemce úvěru je povinen umožnit kdykoliv poskytovateli úvěru a/nebo jím pověřené osobě provedení kontroly stavu předmětu zajištění a kontroly dodržování smluvních podmínek. Příjemce úvěru tímto zmocňuje poskytovatele úvěru a/nebo jím pověřenou osobu ke vstupu do jeho prostor a/nebo na jeho pozemky, zejména za účelem převzetí předmětu zajištění, jakož i jednáním spojeným s převzetím </w:t>
      </w:r>
      <w:r>
        <w:rPr>
          <w:lang w:val="cs-CZ"/>
        </w:rPr>
        <w:lastRenderedPageBreak/>
        <w:t>předmětu zajištění. Bude-li předmět zajištění umístěn na pozemcích či v prostorách třetí osoby, je příjemce úvěru na žádost poskytovatele úvěru povinen zajistit udělení plné moci o stejném rozsahu touto třetí osobou ve prospěch poskytovatele úvěru a/nebo jím pověřené osoby. Tato plná moc se vztahuje i na každé právní jednání s různými osobami a orgány státní správy a policie, které bude při prosazování práv a povinností z této smlouvy o úvěru či po jejím předčasném ukončení zapotřebí. Poskytovatel úvěru je oprávněn požadovat takovou zvláštní, po formální stránce správnou, plnou moc již v okamžiku uzavření této smlouvy o úvěru. Příjemce úvěru se zavazuje zajistit poskytovateli úvěru a/nebo jím pověřené osobě přístup k předmětu zajištění na vlastní náklady. Není-li možné zajistit přístup k předmětu zajištění jinak, zavazuje se příjemce úvěru provést na vlastní náklady nezbytné stavební úpravy nutné pro umožnění převzetí předmětu zajištění poskytovatelem úvěru a/nebo jím pověřenou osobou. Poruší-li příjemce úvěru tuto povinnost, je poskytovatel úvěru oprávněn provést nezbytné stavební úpravy na náklad příjemce úvěru sám. Ujednání tohoto odstavce o kontrole a umožnění přístupu k předmětu zajištění se použijí i ve vztahu k předmětu financování, není-li tento předmětem zajištění.</w:t>
      </w:r>
    </w:p>
    <w:p w:rsidR="00EE08D2" w:rsidRDefault="00494667">
      <w:pPr>
        <w:pStyle w:val="sNadpis2"/>
        <w:spacing w:before="480"/>
      </w:pPr>
      <w:r>
        <w:t>Předčasná splatnost úvěru a předčasné ukončení závazku ze smlouvy o úvěru</w:t>
      </w:r>
    </w:p>
    <w:p w:rsidR="00EE08D2" w:rsidRDefault="00494667">
      <w:pPr>
        <w:pStyle w:val="sOdstavec"/>
        <w:tabs>
          <w:tab w:val="left" w:pos="567"/>
          <w:tab w:val="num" w:pos="2836"/>
        </w:tabs>
        <w:rPr>
          <w:lang w:val="cs-CZ"/>
        </w:rPr>
      </w:pPr>
      <w:r>
        <w:rPr>
          <w:lang w:val="cs-CZ"/>
        </w:rPr>
        <w:t>Poskytovatel úvěru je oprávněn závazek ze smlouvy o úvěru vypovědět nebo prohlásit úvěr předčasně splatným z následujících důvodů:</w:t>
      </w:r>
    </w:p>
    <w:p w:rsidR="00EE08D2" w:rsidRDefault="00494667">
      <w:pPr>
        <w:pStyle w:val="sOdstavec2"/>
        <w:keepNext w:val="0"/>
        <w:spacing w:after="120"/>
        <w:jc w:val="both"/>
        <w:rPr>
          <w:lang w:val="cs-CZ"/>
        </w:rPr>
      </w:pPr>
      <w:r>
        <w:rPr>
          <w:lang w:val="cs-CZ"/>
        </w:rPr>
        <w:t>dojde-li ze strany příjemce úvěru k podstatnému porušení smlouvy o úvěru, přičemž za tyto případy jsou považovány situace uvedené v článku 8 odst. 8.3,</w:t>
      </w:r>
    </w:p>
    <w:p w:rsidR="00EE08D2" w:rsidRDefault="00494667">
      <w:pPr>
        <w:pStyle w:val="sOdstavec2"/>
        <w:keepNext w:val="0"/>
        <w:spacing w:after="120"/>
        <w:jc w:val="both"/>
        <w:rPr>
          <w:lang w:val="cs-CZ"/>
        </w:rPr>
      </w:pPr>
      <w:r>
        <w:rPr>
          <w:lang w:val="cs-CZ"/>
        </w:rPr>
        <w:t>dojde-li ke zničení, poškození či ztrátě předmětu financování nebo jiného předmětu zajištění, sníží-li se hodnota předmětu financování nebo jiného předmětu zajištění neodbornou péčí a zacházením,</w:t>
      </w:r>
    </w:p>
    <w:p w:rsidR="00EE08D2" w:rsidRDefault="00494667">
      <w:pPr>
        <w:pStyle w:val="sOdstavec2"/>
        <w:keepNext w:val="0"/>
        <w:spacing w:after="120"/>
        <w:jc w:val="both"/>
        <w:rPr>
          <w:lang w:val="cs-CZ"/>
        </w:rPr>
      </w:pPr>
      <w:r>
        <w:rPr>
          <w:lang w:val="cs-CZ"/>
        </w:rPr>
        <w:t>dojde-li ke změně ve vlastnické struktuře příjemce úvěru či převodu jeho podniku nebo dojde k výrazným negativním změnám v ekonomické situaci příjemce úvěru,</w:t>
      </w:r>
    </w:p>
    <w:p w:rsidR="00EE08D2" w:rsidRDefault="00494667">
      <w:pPr>
        <w:pStyle w:val="sOdstavec2"/>
        <w:keepNext w:val="0"/>
        <w:spacing w:after="120"/>
        <w:jc w:val="both"/>
        <w:rPr>
          <w:lang w:val="cs-CZ"/>
        </w:rPr>
      </w:pPr>
      <w:r>
        <w:rPr>
          <w:lang w:val="cs-CZ"/>
        </w:rPr>
        <w:t>bude adresa bydliště nebo sídla příjemce úvěru přesunuta do zahraničí,</w:t>
      </w:r>
    </w:p>
    <w:p w:rsidR="00EE08D2" w:rsidRDefault="00494667">
      <w:pPr>
        <w:pStyle w:val="sOdstavec2"/>
        <w:keepNext w:val="0"/>
        <w:spacing w:after="120"/>
        <w:jc w:val="both"/>
        <w:rPr>
          <w:lang w:val="cs-CZ"/>
        </w:rPr>
      </w:pPr>
      <w:r>
        <w:rPr>
          <w:lang w:val="cs-CZ"/>
        </w:rPr>
        <w:t>zánikem příjemce úvěru jako právnické osoby bez právního nástupce,</w:t>
      </w:r>
    </w:p>
    <w:p w:rsidR="00EE08D2" w:rsidRDefault="00494667">
      <w:pPr>
        <w:pStyle w:val="sOdstavec2"/>
        <w:keepNext w:val="0"/>
        <w:spacing w:after="120"/>
        <w:jc w:val="both"/>
        <w:rPr>
          <w:lang w:val="cs-CZ"/>
        </w:rPr>
      </w:pPr>
      <w:r>
        <w:rPr>
          <w:lang w:val="cs-CZ"/>
        </w:rPr>
        <w:t>smrtí příjemce úvěru – fyzické osoby, nebude-li postupováno dle čl. 9 odst. 9.4,</w:t>
      </w:r>
    </w:p>
    <w:p w:rsidR="00EE08D2" w:rsidRDefault="00494667">
      <w:pPr>
        <w:pStyle w:val="sOdstavec2"/>
        <w:jc w:val="both"/>
        <w:rPr>
          <w:lang w:val="cs-CZ"/>
        </w:rPr>
      </w:pPr>
      <w:r>
        <w:rPr>
          <w:lang w:val="cs-CZ"/>
        </w:rPr>
        <w:t>pokud se stane plnění povinností poskytovatele úvěru dle této smlouvy o úvěru nebo poskytování prostředků či úhrada plateb, případně poskytování služeb dle této smlouvy o úvěru, protiprávním podle příslušného právního řádu nebo pokud se stane příjemce úvěru sankcionovanou osobou ve smyslu článku 9. odstavce 9.8 této smlouvy o úvěru či se sankcionovanou osobou stane kterákoli z osob tvořících s příjemcem úvěru koncern.</w:t>
      </w:r>
    </w:p>
    <w:p w:rsidR="00EE08D2" w:rsidRDefault="00494667">
      <w:pPr>
        <w:pStyle w:val="sOdstavec1"/>
        <w:rPr>
          <w:lang w:val="cs-CZ"/>
        </w:rPr>
      </w:pPr>
      <w:r>
        <w:rPr>
          <w:lang w:val="cs-CZ"/>
        </w:rPr>
        <w:t>V případě předčasného ukončení závazku ze smlouvy o úvěru výpovědí či prohlášením předčasné splatnosti úvěru ze strany poskytovatele úvěru se strany vypořádají způsobem uvedeným v tomto článku 8. Výslovně se sjednává, že výpověď či prohlášení předčasné splatnosti se nedotýká povinnosti příjemce úvěru uhradit všechny splatné a dosud neuhrazené dluhy a práv poskytovatele úvěru vyplývajících z tohoto článku.</w:t>
      </w:r>
    </w:p>
    <w:p w:rsidR="00EE08D2" w:rsidRDefault="00494667">
      <w:pPr>
        <w:pStyle w:val="sOdstavec"/>
        <w:tabs>
          <w:tab w:val="left" w:pos="567"/>
          <w:tab w:val="num" w:pos="2836"/>
        </w:tabs>
        <w:rPr>
          <w:lang w:val="cs-CZ"/>
        </w:rPr>
      </w:pPr>
      <w:r>
        <w:rPr>
          <w:lang w:val="cs-CZ"/>
        </w:rPr>
        <w:t>Poskytovatel úvěru je oprávněn závazek ze smlouvy o úvěru vypovědět, pokud ve lhůtě 6 měsíců nedojde k čerpání úvěru (ve smyslu uvedeném v článku 2 odst. 2.4) nebo v případech uvedených v článku 1 odst. 1.5 této smlouvy o úvěru. V těchto případech má poskytovatel úvěru právo požadovat smluvní pokutu dle článku 1 odst. 1.8 této smlouvy o úvěru a ponechat si veškeré příjemcem úvěru uhrazené platby, které použije na úhradu dluhů příjemce úvěru souvisejících s touto smlouvou o úvěru.</w:t>
      </w:r>
    </w:p>
    <w:p w:rsidR="00EE08D2" w:rsidRDefault="00494667">
      <w:pPr>
        <w:pStyle w:val="sOdstavec"/>
        <w:tabs>
          <w:tab w:val="left" w:pos="567"/>
          <w:tab w:val="num" w:pos="2836"/>
        </w:tabs>
        <w:rPr>
          <w:lang w:val="cs-CZ"/>
        </w:rPr>
      </w:pPr>
      <w:r>
        <w:rPr>
          <w:lang w:val="cs-CZ"/>
        </w:rPr>
        <w:t>Za podstatné porušení smlouvy o úvěru ve smyslu článku 8 odst. 8.1 písm. a) jsou považovány zejména následující skutečnosti, a to bez ohledu na to, zda taková událost vznikla v důsledku jednání či opomenutí příjemce úvěru nebo z důvodů objektivně mimo kontrolu příjemce úvěru:</w:t>
      </w:r>
    </w:p>
    <w:p w:rsidR="00EE08D2" w:rsidRDefault="00494667">
      <w:pPr>
        <w:pStyle w:val="sOdstavec4"/>
        <w:numPr>
          <w:ilvl w:val="0"/>
          <w:numId w:val="4"/>
        </w:numPr>
        <w:tabs>
          <w:tab w:val="left" w:pos="567"/>
        </w:tabs>
        <w:rPr>
          <w:lang w:val="cs-CZ"/>
        </w:rPr>
      </w:pPr>
      <w:r>
        <w:rPr>
          <w:lang w:val="cs-CZ"/>
        </w:rPr>
        <w:t>pokud účelově poskytnuté finanční prostředky nebyly použity v souladu s touto smlouvou o úvěru,</w:t>
      </w:r>
    </w:p>
    <w:p w:rsidR="00EE08D2" w:rsidRDefault="00494667">
      <w:pPr>
        <w:pStyle w:val="sOdstavec4"/>
        <w:numPr>
          <w:ilvl w:val="0"/>
          <w:numId w:val="4"/>
        </w:numPr>
        <w:tabs>
          <w:tab w:val="left" w:pos="567"/>
        </w:tabs>
        <w:rPr>
          <w:lang w:val="cs-CZ"/>
        </w:rPr>
      </w:pPr>
      <w:r>
        <w:rPr>
          <w:lang w:val="cs-CZ"/>
        </w:rPr>
        <w:t>příjemce úvěru je v prodlení se splátkou nebo její částí dle článku 6 odst. 6.3 této smlouvy o úvěru a/nebo je-li příjemce úvěru v prodlení s jakoukoli další platbou dle smlouvy o úvěru,</w:t>
      </w:r>
    </w:p>
    <w:p w:rsidR="00EE08D2" w:rsidRDefault="00494667">
      <w:pPr>
        <w:pStyle w:val="sOdstavec4"/>
        <w:numPr>
          <w:ilvl w:val="0"/>
          <w:numId w:val="4"/>
        </w:numPr>
        <w:tabs>
          <w:tab w:val="left" w:pos="567"/>
        </w:tabs>
        <w:rPr>
          <w:lang w:val="cs-CZ"/>
        </w:rPr>
      </w:pPr>
      <w:r>
        <w:rPr>
          <w:lang w:val="cs-CZ"/>
        </w:rPr>
        <w:t>jestliže příjemce úvěru zastaví platby nebo bude na jeho majetek podán návrh na zahájení řízení podle zákona č. 182/2006 Sb., o úpadku a způsobech jeho řešení (insolvenční zákon), ve znění pozdějších předpisů,</w:t>
      </w:r>
    </w:p>
    <w:p w:rsidR="00EE08D2" w:rsidRDefault="00494667">
      <w:pPr>
        <w:pStyle w:val="sOdstavec4"/>
        <w:numPr>
          <w:ilvl w:val="0"/>
          <w:numId w:val="4"/>
        </w:numPr>
        <w:tabs>
          <w:tab w:val="left" w:pos="567"/>
        </w:tabs>
        <w:rPr>
          <w:lang w:val="cs-CZ"/>
        </w:rPr>
      </w:pPr>
      <w:r>
        <w:rPr>
          <w:lang w:val="cs-CZ"/>
        </w:rPr>
        <w:t xml:space="preserve">příjemce úvěru při uzavírání smlouvy o úvěru zamlčel údaje, zejména že leasingové nebo úvěrové smlouvy s jinými leasingovými společnostmi byly pro neplacení předčasně ukončeny, nebo že </w:t>
      </w:r>
      <w:r>
        <w:rPr>
          <w:lang w:val="cs-CZ"/>
        </w:rPr>
        <w:lastRenderedPageBreak/>
        <w:t>v průběhu jejího trvání uvedl nesprávné nebo nepravdivé údaje, zejména týkající se jeho ekonomické situace,</w:t>
      </w:r>
    </w:p>
    <w:p w:rsidR="00EE08D2" w:rsidRDefault="00494667">
      <w:pPr>
        <w:pStyle w:val="sOdstavec4"/>
        <w:numPr>
          <w:ilvl w:val="0"/>
          <w:numId w:val="4"/>
        </w:numPr>
        <w:tabs>
          <w:tab w:val="left" w:pos="567"/>
        </w:tabs>
        <w:rPr>
          <w:lang w:val="cs-CZ"/>
        </w:rPr>
      </w:pPr>
      <w:r>
        <w:rPr>
          <w:lang w:val="cs-CZ"/>
        </w:rPr>
        <w:t>není-li poskytnutý úvěr řádně zajištěn, tj. není zajištěn dle podmínek této smlouvy o úvěru, nebo když se hodnota poskytnutého zajištění sníží nebo výrazně ztratí na hodnotě, a když příjemce úvěru přes žádost poskytovatele úvěru ve lhůtě stanovené poskytovatelem úvěru neposkytne rovnocenné zajištění, nebo pokud příjemce úvěru odmítne uzavřít zajišťovací smlouvy či některou z nich,</w:t>
      </w:r>
    </w:p>
    <w:p w:rsidR="00EE08D2" w:rsidRDefault="00494667">
      <w:pPr>
        <w:pStyle w:val="sOdstavec4"/>
        <w:numPr>
          <w:ilvl w:val="0"/>
          <w:numId w:val="4"/>
        </w:numPr>
        <w:tabs>
          <w:tab w:val="left" w:pos="567"/>
        </w:tabs>
        <w:rPr>
          <w:lang w:val="cs-CZ"/>
        </w:rPr>
      </w:pPr>
      <w:r>
        <w:rPr>
          <w:lang w:val="cs-CZ"/>
        </w:rPr>
        <w:t>příjemce úvěru zcela či částečně nesplní povinnosti vyplývající pro něj z jiné mezi ním a poskytovatelem úvěru uzavřené smlouvy, dohody či jiného ujednání,</w:t>
      </w:r>
    </w:p>
    <w:p w:rsidR="00EE08D2" w:rsidRDefault="00494667">
      <w:pPr>
        <w:pStyle w:val="sOdstavec4"/>
        <w:numPr>
          <w:ilvl w:val="0"/>
          <w:numId w:val="4"/>
        </w:numPr>
        <w:tabs>
          <w:tab w:val="left" w:pos="567"/>
        </w:tabs>
        <w:rPr>
          <w:lang w:val="cs-CZ"/>
        </w:rPr>
      </w:pPr>
      <w:r>
        <w:rPr>
          <w:lang w:val="cs-CZ"/>
        </w:rPr>
        <w:t>byla-li uzavřena smlouva o zajišťovacím převodu vlastnického práva nebo zástavní smlouva, jestliže příjemce úvěru předmět zajištění (bez souhlasu poskytovatele úvěru) zcizí, zastaví, pronajme nebo jinak zatíží právy třetích osob, nebo pokud třetí osoba uplatní právo ze zástavy nebo zadržovací právo k předmětu zajištění,</w:t>
      </w:r>
    </w:p>
    <w:p w:rsidR="00EE08D2" w:rsidRDefault="00494667">
      <w:pPr>
        <w:pStyle w:val="sOdstavec4"/>
        <w:numPr>
          <w:ilvl w:val="0"/>
          <w:numId w:val="4"/>
        </w:numPr>
        <w:tabs>
          <w:tab w:val="left" w:pos="567"/>
        </w:tabs>
        <w:rPr>
          <w:lang w:val="cs-CZ"/>
        </w:rPr>
      </w:pPr>
      <w:r>
        <w:rPr>
          <w:lang w:val="cs-CZ"/>
        </w:rPr>
        <w:t>příjemce úvěru neplní svoje povinnosti vyplývající z pojistných smluv, nebo když poskytovateli úvěru neprodleně nesdělí vznik pojistné události, dále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EE08D2" w:rsidRDefault="00494667">
      <w:pPr>
        <w:pStyle w:val="sOdstavec4"/>
        <w:numPr>
          <w:ilvl w:val="0"/>
          <w:numId w:val="4"/>
        </w:numPr>
        <w:tabs>
          <w:tab w:val="left" w:pos="567"/>
        </w:tabs>
        <w:rPr>
          <w:lang w:val="cs-CZ"/>
        </w:rPr>
      </w:pPr>
      <w:r>
        <w:rPr>
          <w:lang w:val="cs-CZ"/>
        </w:rPr>
        <w:t>příjemce úvěru fyzická či právnická osoba se dopustí trestného činu a bylo zahájeno trestní stíhání,</w:t>
      </w:r>
    </w:p>
    <w:p w:rsidR="00EE08D2" w:rsidRDefault="00494667">
      <w:pPr>
        <w:pStyle w:val="sOdstavec4"/>
        <w:numPr>
          <w:ilvl w:val="0"/>
          <w:numId w:val="4"/>
        </w:numPr>
        <w:tabs>
          <w:tab w:val="left" w:pos="567"/>
        </w:tabs>
        <w:rPr>
          <w:lang w:val="cs-CZ"/>
        </w:rPr>
      </w:pPr>
      <w:r>
        <w:rPr>
          <w:lang w:val="cs-CZ"/>
        </w:rPr>
        <w:t>ručitel zcizí svůj obchodní podíl na příjemci úvěru, který jím byl vlastněn k okamžiku příslibu úvěru a/nebo příjemce úvěru zcizí podnik a/nebo jeho část.</w:t>
      </w:r>
    </w:p>
    <w:p w:rsidR="00EE08D2" w:rsidRDefault="00494667">
      <w:pPr>
        <w:pStyle w:val="sOdstavec"/>
        <w:tabs>
          <w:tab w:val="left" w:pos="567"/>
          <w:tab w:val="num" w:pos="2836"/>
        </w:tabs>
        <w:rPr>
          <w:lang w:val="cs-CZ"/>
        </w:rPr>
      </w:pPr>
      <w:r>
        <w:rPr>
          <w:lang w:val="cs-CZ"/>
        </w:rPr>
        <w:t>Nastane-li situace uvedená v článku 8 odst. 8.1 a/nebo 8.3, stává se zbývající (dosud nesplacená) část úvěru s příslušenstvím splatnou ke dni uvedenému v prohlášení poskytovatele úvěru o předčasné splatnosti úvěru a příjemce úvěru je povinen uhradit poskytovateli úvěru celou výši nesplaceného úvěru a dále úrok do data předčasné splatnosti úvěru ve lhůtě určené poskytovatelem úvěru. Práva poskytovatele úvěru podle článku 8 odst. 8.7 tím nejsou dotčena. Nesplní-li příjemce úvěru tuto povinnost, je poskytovatel úvěru oprávněn uspokojit svoji pohledávku ze smlouvy o zajišťovacím převodu vlastnického práva nebo jiného zajišťovacího instrumentu vztahujícího se k předmětu zajištění, byla-li uzavřena, a to zpeněžením předmětu zajištění. Pokud výtěžek při zpeněžení předmětu zajištění a případných ostatních zajištění nestačí k pokrytí pohledávek poskytovatele úvěru za příjemcem úvěru, je povinen uhradit zbylou část pohledávky příjemce úvěru. Veškeré náklady, které poskytovateli úvěru vzniknou prohlídkou, zajištěním, uložením a zpeněžením předmětu zajištění včetně příslušných daní a poplatků, je rovněž povinen poskytovateli úvěru uhradit příjemce úvěru, stejně jako veškeré náklady vzniklé v souvislosti s vymáháním práv poskytovatele úvěru vůči příjemci úvěru a s tím spojenými opatřeními (zejména využití služeb inkasní a vymáhací agentury).</w:t>
      </w:r>
    </w:p>
    <w:p w:rsidR="00EE08D2" w:rsidRDefault="00494667">
      <w:pPr>
        <w:pStyle w:val="sOdstavec"/>
        <w:tabs>
          <w:tab w:val="left" w:pos="567"/>
          <w:tab w:val="num" w:pos="2836"/>
        </w:tabs>
        <w:rPr>
          <w:lang w:val="cs-CZ"/>
        </w:rPr>
      </w:pPr>
      <w:r>
        <w:rPr>
          <w:lang w:val="cs-CZ"/>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 Dále je poskytovatel úvěru v takovém případě oprávněn požadovat smluvní pokutu až do výše 5 % z celkové výše poskytnutého úvěru. Smluvní pokutu a ostatní platby dle tohoto odstavce jsou splatné ve lhůtách uvedených na faktuře/daňovém dokladu vystaveném poskytovatelem úvěru na příjemce úvěru</w:t>
      </w:r>
    </w:p>
    <w:p w:rsidR="00EE08D2" w:rsidRDefault="00494667">
      <w:pPr>
        <w:pStyle w:val="sOdstavec"/>
        <w:tabs>
          <w:tab w:val="left" w:pos="567"/>
          <w:tab w:val="num" w:pos="2836"/>
        </w:tabs>
        <w:rPr>
          <w:lang w:val="cs-CZ"/>
        </w:rPr>
      </w:pPr>
      <w:r>
        <w:rPr>
          <w:lang w:val="cs-CZ"/>
        </w:rPr>
        <w:t>Případné škody vyplývající z dodatečného zvýšení daňové povinnosti poskytovatele úvěru a újmy vzniklé poskytovateli úvěru refinancováním v důsledku předčasného ukončení této smlouvy o úvěru, budou připočteny k částce dle článku 8 odst. 8.5. Poskytovatel úvěru má dále právo přeúčtovat na příjemce úvěru dodatečně vzniklé náklady z důvodu předčasného ukončení smlouvy o úvěru.</w:t>
      </w:r>
    </w:p>
    <w:p w:rsidR="00EE08D2" w:rsidRDefault="00494667">
      <w:pPr>
        <w:pStyle w:val="sOdstavec"/>
        <w:tabs>
          <w:tab w:val="left" w:pos="567"/>
          <w:tab w:val="num" w:pos="2836"/>
        </w:tabs>
        <w:rPr>
          <w:lang w:val="cs-CZ"/>
        </w:rPr>
      </w:pPr>
      <w:r>
        <w:rPr>
          <w:lang w:val="cs-CZ"/>
        </w:rPr>
        <w:t>Nastane-li situace uvedená v článku 8 odst. 8.4, je příjemce úvěru povinen:</w:t>
      </w:r>
    </w:p>
    <w:p w:rsidR="00EE08D2" w:rsidRDefault="00494667">
      <w:pPr>
        <w:pStyle w:val="sOdstavec2"/>
        <w:keepNext w:val="0"/>
        <w:spacing w:after="120"/>
        <w:rPr>
          <w:lang w:val="cs-CZ"/>
        </w:rPr>
      </w:pPr>
      <w:r>
        <w:rPr>
          <w:lang w:val="cs-CZ"/>
        </w:rPr>
        <w:t xml:space="preserve">na první písemnou výzvu poskytovatele úvěru na vlastní náklady a nebezpečí dopravit předmět zajištění poskytovateli úvěru nebo jím zmocněné osobě na </w:t>
      </w:r>
      <w:proofErr w:type="gramStart"/>
      <w:r>
        <w:rPr>
          <w:lang w:val="cs-CZ"/>
        </w:rPr>
        <w:t>poskytovatelem</w:t>
      </w:r>
      <w:proofErr w:type="gramEnd"/>
      <w:r>
        <w:rPr>
          <w:lang w:val="cs-CZ"/>
        </w:rPr>
        <w:t xml:space="preserve"> úvěru určené místo na území České republiky,</w:t>
      </w:r>
    </w:p>
    <w:p w:rsidR="00EE08D2" w:rsidRDefault="00494667">
      <w:pPr>
        <w:pStyle w:val="sOdstavec2"/>
        <w:keepNext w:val="0"/>
        <w:spacing w:after="120"/>
        <w:rPr>
          <w:lang w:val="cs-CZ"/>
        </w:rPr>
      </w:pPr>
      <w:r>
        <w:rPr>
          <w:lang w:val="cs-CZ"/>
        </w:rPr>
        <w:t>předat předmět zajištění poskytovateli úvěru nebo jím zmocněné osobě, včetně všech součástí, vybavení a příslušenství (případně jejich náhrady) v čistém stavu. Předmět zajištění musí být v řádném technickém, opticky bezvadném a provozuschopném stavu. Případné náklady na nutné opravy a/nebo na nutnou úpravu předmětu zajištění nese příjemce úvěru,</w:t>
      </w:r>
    </w:p>
    <w:p w:rsidR="00EE08D2" w:rsidRDefault="00494667">
      <w:pPr>
        <w:pStyle w:val="sOdstavec2"/>
        <w:keepNext w:val="0"/>
        <w:spacing w:after="120"/>
        <w:rPr>
          <w:lang w:val="cs-CZ"/>
        </w:rPr>
      </w:pPr>
      <w:r>
        <w:rPr>
          <w:lang w:val="cs-CZ"/>
        </w:rPr>
        <w:lastRenderedPageBreak/>
        <w:t>spolu s předmětem zajištění vydat poskytovateli úvěru nebo jím zmocněné osobě všechny ostatní doklady, nutné pro provoz předmětu zajištění a všechny podklady k opravám předmětu zajištění.</w:t>
      </w:r>
    </w:p>
    <w:p w:rsidR="00EE08D2" w:rsidRDefault="00494667">
      <w:pPr>
        <w:pStyle w:val="sOdstavec"/>
        <w:tabs>
          <w:tab w:val="left" w:pos="567"/>
          <w:tab w:val="num" w:pos="2836"/>
        </w:tabs>
        <w:rPr>
          <w:lang w:val="cs-CZ"/>
        </w:rPr>
      </w:pPr>
      <w:r>
        <w:rPr>
          <w:lang w:val="cs-CZ"/>
        </w:rPr>
        <w:t>Nevydá-li příjemce úvěru předmět zajištění poskytovateli úvěru, je poskytovatel úvěru oprávněn předmět zajištění odebrat, přičemž příjemce úvěru nese veškeré náklady s tím spojené.</w:t>
      </w:r>
    </w:p>
    <w:p w:rsidR="00EE08D2" w:rsidRDefault="00494667">
      <w:pPr>
        <w:pStyle w:val="sOdstavec"/>
        <w:tabs>
          <w:tab w:val="left" w:pos="567"/>
          <w:tab w:val="num" w:pos="2836"/>
        </w:tabs>
        <w:rPr>
          <w:lang w:val="cs-CZ"/>
        </w:rPr>
      </w:pPr>
      <w:r>
        <w:rPr>
          <w:lang w:val="cs-CZ"/>
        </w:rPr>
        <w:t>Poskytovatel úvěru má zejména právo přeúčtovat na příjemce úvěru dodatečně vzniklé náklady z důvodu předčasného ukončení této smlouvy o úvěru, jakými jsou zejména pojistné, náklady na zabezpečení předmětu zajištění, jeho skladování, opravy a náklady spojené se získáváním potenciálních zájemců, a to až do doby opětovného zobchodování předmětu zajištění, jakož i náklady na případné uvedení předmětu zajištění do provozuschopného stavu.</w:t>
      </w:r>
    </w:p>
    <w:p w:rsidR="00EE08D2" w:rsidRDefault="00494667">
      <w:pPr>
        <w:pStyle w:val="sOdstavec"/>
        <w:tabs>
          <w:tab w:val="left" w:pos="567"/>
          <w:tab w:val="num" w:pos="2836"/>
        </w:tabs>
        <w:rPr>
          <w:lang w:val="cs-CZ"/>
        </w:rPr>
      </w:pPr>
      <w:r>
        <w:rPr>
          <w:lang w:val="cs-CZ"/>
        </w:rPr>
        <w:t>Je-li předmětem zajištění motorové vozidlo, příjemce úvěru tímto zmocňuje poskytovatele úvěru v případě realizace zajišťovacího instrumentu dle článku 7 k vyznačení příslušných změn v evidenci Registru silničních vozidel a v technickém průkazu vozidla a k vystavení duplikátu chybějících dokumentů. Tím není dotčena skutečnost, že při předčasném ukončení této smlouvy o úvěru zůstává příjemce úvěru provozovatelem předmětu zajištění – motorového vozidla ve smyslu veřejnoprávních předpisů až do opětovného zobchodování předmětu zajištění či jeho trvalého vyřazení z registru vozidel.</w:t>
      </w:r>
    </w:p>
    <w:p w:rsidR="00EE08D2" w:rsidRDefault="00494667">
      <w:pPr>
        <w:pStyle w:val="sOdstavec"/>
        <w:tabs>
          <w:tab w:val="left" w:pos="567"/>
          <w:tab w:val="num" w:pos="2836"/>
        </w:tabs>
        <w:rPr>
          <w:lang w:val="cs-CZ"/>
        </w:rPr>
      </w:pPr>
      <w:r>
        <w:rPr>
          <w:lang w:val="cs-CZ"/>
        </w:rPr>
        <w:t>V případě předčasné splatnosti úvěru, v případě výpovědi závazku z této smlouvy o úvěru či realizace zajišťovacího instrumentu podle článku 7 této smlouvy o úvěru může poskytovatel úvěru využít služby inkasní a vymáhací agentury. Veškeré náklady s tímto spojené budou přeúčtovány k tíži příjemci úvěru a příjemce úvěru se je zavazuje uhradit dle splatnosti uvedené na příslušné faktuře/daňovém dokladu vystaveném poskytovatelem úvěru na příjemce úvěru.</w:t>
      </w:r>
    </w:p>
    <w:p w:rsidR="00EE08D2" w:rsidRDefault="00494667">
      <w:pPr>
        <w:pStyle w:val="sNadpis2"/>
        <w:spacing w:before="480"/>
      </w:pPr>
      <w:r>
        <w:t>Ostatní ustanovení</w:t>
      </w:r>
    </w:p>
    <w:p w:rsidR="00EE08D2" w:rsidRDefault="00494667">
      <w:pPr>
        <w:pStyle w:val="sOdstavec"/>
        <w:tabs>
          <w:tab w:val="left" w:pos="567"/>
          <w:tab w:val="num" w:pos="2836"/>
        </w:tabs>
        <w:rPr>
          <w:lang w:val="cs-CZ"/>
        </w:rPr>
      </w:pPr>
      <w:r>
        <w:rPr>
          <w:lang w:val="cs-CZ"/>
        </w:rPr>
        <w:t>Příjemce úvěru se zavazuje, že poskytovateli úvěru umožní prověření svojí (i osoby poskytující zajištění) ekonomické situace. Za tímto účelem se příjemce úvěru zavazuje bez vyzvání poskytovateli úvěru zaslat nejpozději jeden měsíc po zákonem stanoveném termínu zveřejnění svou účetní závěrku včetně přílohy, výroční zprávu a zprávy auditora o jejich ověření, pokud je příjemci úvěru uložena povinnost zpracovávat výroční zprávu nebo nechat si ověřit účetní závěrku a výroční zprávu auditorem. Na vyžádání poskytovatele úvěru je příjemce úvěru povinen předkládat poskytovateli úvěru své finanční výkazy vždy za uplynulé kalendářní čtvrtletí. Příjemce úvěru je povinen poskytovateli úvěru neprodleně sdělit jakoukoli změnu týkající se jeho osoby, zejména údajů, které jsou uvedeny v této smlouvě o úvěru nebo které mají vliv na její platnost, zejména změnu adresy bydliště nebo sídla, změnu vlastnické struktury, změnu statutárních orgánů nebo bankovního spojení, likvidaci, vstup do řízení podle zákona o úpadku a způsobech jeho řešení (insolvenční zákon) apod.</w:t>
      </w:r>
    </w:p>
    <w:p w:rsidR="00EE08D2" w:rsidRDefault="00494667">
      <w:pPr>
        <w:pStyle w:val="sOdstavec"/>
        <w:rPr>
          <w:lang w:val="cs-CZ"/>
        </w:rPr>
      </w:pPr>
      <w:r>
        <w:rPr>
          <w:lang w:val="cs-CZ"/>
        </w:rPr>
        <w:t>Je-li příjemce úvěru právnickou osobou, uděluje podpisem této smlouvy souhlas, aby údaje o příjemci úvěru – právnické osobě (včetně údajů charakterizujících bonitu příjemce úvěru a důvěryhodnost a příslušných podkladů pro jejich vyhodnocení, například účetní výkazy příjemce úvěru), byly zpracovávány poskytovatelem úvěru, tedy i vzájemně předávány mezi poskytovatelem úvěru a třetími osobami (zejména společnostmi tvořícími s poskytovatelem úvěru koncern, dále pak s vendory a dodavateli) za účelem zkvalitnění péče o příjemce úvěru, provádění marketingových činností, informování ostatních subjektů o bonitě a důvěryhodnosti příjemce úvěru a analyzování těchto údajů. Příjemce úvěru – právnická osoba souhlasí s tím, aby poskytovatel úvěru zpracovával údaje o příjemci úvěru – právnické osobě, za účelem a v rozsahu shora uvedeném po dobu od udělení tohoto souhlasu do uplynutí 4 let od ukončení posledního smluvního nebo jiného právního vztahu mezi ním a kterýmkoliv ze subjektů z řad společností, s nimiž tvoří poskytovatel úvěru koncern.</w:t>
      </w:r>
    </w:p>
    <w:p w:rsidR="00EE08D2" w:rsidRDefault="00494667">
      <w:pPr>
        <w:pStyle w:val="sOdstavec"/>
        <w:rPr>
          <w:lang w:val="cs-CZ"/>
        </w:rPr>
      </w:pPr>
      <w:r>
        <w:rPr>
          <w:lang w:val="cs-CZ"/>
        </w:rPr>
        <w:t>Je-li příjemce úvěru právnickou osobou, uděluje podpisem této smlouvy souhlas se zpracováním údajů poskytnutých poskytovateli úvěru za účelem uzavření této smlouvy na dobu trvání závazku z této smlouvy a jejich případným zpřístupněním a sdělením v rámci bankovního registru klientských informací a nebankovního registru klientských informací.</w:t>
      </w:r>
    </w:p>
    <w:p w:rsidR="00EE08D2" w:rsidRDefault="00494667">
      <w:pPr>
        <w:pStyle w:val="sOdstavec"/>
        <w:tabs>
          <w:tab w:val="left" w:pos="567"/>
          <w:tab w:val="num" w:pos="2836"/>
        </w:tabs>
        <w:rPr>
          <w:lang w:val="cs-CZ"/>
        </w:rPr>
      </w:pPr>
      <w:r>
        <w:rPr>
          <w:lang w:val="cs-CZ"/>
        </w:rPr>
        <w:t xml:space="preserve">Příjemce úvěru je oprávněn postoupit svá práva a povinnosti z této smlouvy o úvěru nebo postoupit celou tuto smlouvu o úvěru třetí osobě pouze s předchozím výslovným písemným souhlasem poskytovatele úvěru. Poskytovatel úvěru je oprávněn postoupit práva a povinnosti z této smlouvy o úvěru nebo postoupit celou tuto smlouvu o úvěru na třetí osobu, k čemuž mu příjemce úvěru tímto uděluje svůj výslovný souhlas. Práva a povinnosti z této smlouvy o úvěru přecházejí bez dalšího na právní nástupce, resp. dědice smluvních stran. Poskytovatel úvěru je však dle vlastního uvážení oprávněn závazek z této </w:t>
      </w:r>
      <w:r>
        <w:rPr>
          <w:lang w:val="cs-CZ"/>
        </w:rPr>
        <w:lastRenderedPageBreak/>
        <w:t>smlouvy o úvěru vypovědět, jestliže se domnívá, že přechodem smlouvy o úvěru, resp. přechodem práv a povinností z této smlouvy o úvěru, na právního nástupce bude ohroženo plnění smluvních povinností.</w:t>
      </w:r>
    </w:p>
    <w:p w:rsidR="00EE08D2" w:rsidRDefault="00494667">
      <w:pPr>
        <w:pStyle w:val="sOdstavec"/>
        <w:tabs>
          <w:tab w:val="left" w:pos="567"/>
          <w:tab w:val="num" w:pos="2836"/>
        </w:tabs>
        <w:rPr>
          <w:lang w:val="cs-CZ"/>
        </w:rPr>
      </w:pPr>
      <w:r>
        <w:rPr>
          <w:lang w:val="cs-CZ"/>
        </w:rPr>
        <w:t>Příjemce úvěru se zavazuje předat poskytovateli úvěru veškeré doklady potřebné ke splnění povinností poskytovatele úvěru spjatých s nahlášením předmětu financování do statistického systému Intrastat, je-li toto nahlášení vyžadováno právními předpisy.</w:t>
      </w:r>
    </w:p>
    <w:p w:rsidR="00EE08D2" w:rsidRDefault="00494667">
      <w:pPr>
        <w:pStyle w:val="sOdstavec"/>
        <w:tabs>
          <w:tab w:val="left" w:pos="567"/>
          <w:tab w:val="num" w:pos="2836"/>
        </w:tabs>
        <w:rPr>
          <w:iCs/>
          <w:lang w:val="cs-CZ"/>
        </w:rPr>
      </w:pPr>
      <w:r>
        <w:rPr>
          <w:iCs/>
          <w:lang w:val="cs-CZ"/>
        </w:rPr>
        <w:t>Příjemce úvěru se zavazuje, že nepodá soudu návrh na snížení výše smluvní pokuty vyplývající z této smlouvy o úvěru.</w:t>
      </w:r>
    </w:p>
    <w:p w:rsidR="00EE08D2" w:rsidRDefault="00494667">
      <w:pPr>
        <w:pStyle w:val="sOdstavec"/>
        <w:tabs>
          <w:tab w:val="left" w:pos="567"/>
          <w:tab w:val="num" w:pos="2836"/>
        </w:tabs>
        <w:rPr>
          <w:lang w:val="cs-CZ"/>
        </w:rPr>
      </w:pPr>
      <w:r>
        <w:rPr>
          <w:lang w:val="cs-CZ"/>
        </w:rPr>
        <w:t xml:space="preserve">Pokud příjemce úvěru v rámci určitého dotačního programu žádá příslušného poskytovatele dotace o poskytnutí dotace v souvislosti s pořízením předmětu financování, prohlašuje příjemce úvěru, že si je vědom svojí odpovědnosti za splnění všech povinností v rámci řízení o jeho žádosti o poskytnutí dotace, jakož i vyplývajících z poskytnutí výše uvedené dotace a že bude postupovat v souladu s podmínkami příslušného dotačního programu. Poskytovatel úvěru neodpovídá příjemci úvěru ani jakékoli třetí straně za správnost postupu směřujícího k udělení dotace a/ nebo za dodržení souvisejících podmínek pro poskytnutí této dotace a příjemce úvěru z tohoto titulu neuplatňuje a nebude uplatňovat vůči poskytovateli úvěru žádná práva a nároky. Případné neposkytnutí dotace nemá vliv na povinnosti příjemce úvěru vyplývající z této smlouvy o úvěru. Příjemce úvěru není oprávněn požadovat na poskytovateli úvěru jakoukoli náhradu újmy či jiné finanční plnění z důvodu porušení jakékoli podmínky výše uvedeného dotačního programu, ať v okamžiku přípravy projektu a/nebo podání žádosti o udělení dotace a/nebo v době realizace projektu a/nebo v době provozování předmětu financování. Příjemce úvěru je zmocněn poskytovatelem úvěru k podání veškerých potřebných podkladů poskytovateli dotace a zavazuje se, že tak v zastoupení poskytovatele úvěru řádně a včas učiní. Pro případ porušení této povinnosti se příjemce úvěru zavazuje poskytovateli úvěru nahradit veškerou vzniklou újmu. </w:t>
      </w:r>
    </w:p>
    <w:p w:rsidR="00EE08D2" w:rsidRDefault="00494667">
      <w:pPr>
        <w:pStyle w:val="sOdstavec1"/>
        <w:rPr>
          <w:lang w:val="cs-CZ"/>
        </w:rPr>
      </w:pPr>
      <w:r>
        <w:rPr>
          <w:lang w:val="cs-CZ"/>
        </w:rPr>
        <w:t>Požaduje-li poskytovatel dotace údaje a informace vztahující se ke smlouvě o úvěru, případně jejímu plnění, souhlasí příjemce úvěru s předáváním údajů a informací vztahujících se ke smlouvě o úvěru a jejímu plnění příjemcem úvěru ze strany poskytovatele úvěru poskytovateli dotace, a to po celou dobu trvání smluvního vztahu založeného touto smlouvou o úvěru, včetně údajů o splácení úvěru příjemcem úvěru. Umožňují-li to podmínky pro udělení dotace, bere příjemce úvěru na vědomí, že v případě prodlení příjemce úvěru s jakoukoli platbou podle této smlouvy o úvěru a/nebo v souvislosti s ní, je poskytovatel dotace oprávněn omezit či zastavit výplatu dotace. Příjemce úvěru je dále povinen bez zbytečného odkladu předat poskytovateli úvěru v kopii či stejnopisu veškeré smluvní dokumenty, případné též veškeré další dokumenty vyžádané poskytovatelem úvěru, které příjemce úvěru obdržel od poskytovatele dotace v souvislosti s přidělenou dotací.</w:t>
      </w:r>
    </w:p>
    <w:p w:rsidR="00EE08D2" w:rsidRDefault="00494667">
      <w:pPr>
        <w:pStyle w:val="sOdstavec"/>
        <w:tabs>
          <w:tab w:val="left" w:pos="567"/>
          <w:tab w:val="num" w:pos="2836"/>
        </w:tabs>
        <w:rPr>
          <w:lang w:val="cs-CZ"/>
        </w:rPr>
      </w:pPr>
      <w:r>
        <w:rPr>
          <w:lang w:val="cs-CZ"/>
        </w:rPr>
        <w:t xml:space="preserve">Příjemce úvěru se zavazuje, že po celou dobu trvání této smlouvy o úvěru: </w:t>
      </w:r>
    </w:p>
    <w:p w:rsidR="00EE08D2" w:rsidRDefault="00494667">
      <w:pPr>
        <w:pStyle w:val="sOdstavec"/>
        <w:numPr>
          <w:ilvl w:val="0"/>
          <w:numId w:val="35"/>
        </w:numPr>
        <w:tabs>
          <w:tab w:val="clear" w:pos="708"/>
          <w:tab w:val="left" w:pos="567"/>
          <w:tab w:val="left" w:pos="720"/>
        </w:tabs>
        <w:ind w:left="993" w:hanging="426"/>
        <w:rPr>
          <w:lang w:val="cs-CZ"/>
        </w:rPr>
      </w:pPr>
      <w:r>
        <w:rPr>
          <w:lang w:val="cs-CZ"/>
        </w:rPr>
        <w:t>neposkytne prostředky poskytnuté ze strany poskytovatele úvěru jakýmkoli způsobem (zejména jako zápůjčku nebo úvěr), jehož důsledkem by bylo porušení embarg a sankcí (včetně případů využití prostředků za účelem financování obchodů nebo transakcí sankcionované osoby nebo osob s ní spojených nebo jako důsledek poskytnutí těchto prostředků sankcionované osobě nebo v její prospěch),</w:t>
      </w:r>
    </w:p>
    <w:p w:rsidR="00EE08D2" w:rsidRDefault="00494667">
      <w:pPr>
        <w:pStyle w:val="sOdstavec"/>
        <w:numPr>
          <w:ilvl w:val="0"/>
          <w:numId w:val="35"/>
        </w:numPr>
        <w:tabs>
          <w:tab w:val="clear" w:pos="708"/>
          <w:tab w:val="left" w:pos="567"/>
          <w:tab w:val="left" w:pos="720"/>
        </w:tabs>
        <w:ind w:left="993" w:hanging="426"/>
        <w:rPr>
          <w:lang w:val="cs-CZ"/>
        </w:rPr>
      </w:pPr>
      <w:r>
        <w:rPr>
          <w:lang w:val="cs-CZ"/>
        </w:rPr>
        <w:t>zajistí, aby žádná osoba, která je sankcionovanou osobou, neměla mít právo na prostředky z úvěru, které bude příjemce úvěru splácet z titulu této smlouvy o úvěru a že žádný výnos nebo příjem související s činností nebo transakcí sankcionované osoby nebude použit pro uhrazení částek, které bude příjemce úvěru splácet z titulu této smlouvy o úvěru.</w:t>
      </w:r>
    </w:p>
    <w:p w:rsidR="00EE08D2" w:rsidRDefault="00494667">
      <w:pPr>
        <w:pStyle w:val="sOdstavec"/>
        <w:numPr>
          <w:ilvl w:val="0"/>
          <w:numId w:val="0"/>
        </w:numPr>
        <w:ind w:left="567"/>
        <w:rPr>
          <w:lang w:val="cs-CZ"/>
        </w:rPr>
      </w:pPr>
      <w:r>
        <w:rPr>
          <w:lang w:val="cs-CZ"/>
        </w:rPr>
        <w:t>Pro účely tohoto odstavce se sankcí rozumí jakákoli ekonomická nebo finanční sankce, obchodní embargo nebo podobné opatření přijaté, uplatněné nebo vymáhané ze strany Organizace spojených národů, Spojených států amerických, Evropské unie nebo některého z jejích členských států (nebo jejich orgánů) a sankcionovanou osobou se rozumí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EE08D2" w:rsidRDefault="00494667">
      <w:pPr>
        <w:pStyle w:val="sOdstavec"/>
        <w:tabs>
          <w:tab w:val="left" w:pos="567"/>
          <w:tab w:val="num" w:pos="2836"/>
        </w:tabs>
        <w:rPr>
          <w:lang w:val="cs-CZ"/>
        </w:rPr>
      </w:pPr>
      <w:r>
        <w:rPr>
          <w:lang w:val="cs-CZ"/>
        </w:rPr>
        <w:t>Příjemce úvěru prohlašuje, že ani on ani kterákoli z osob tvořících s příjemcem úvěru koncern nejsou sankcionovanou osobou ve smyslu článku 9. odstavce 9.8 této smlouvy o úvěru a podle nejlepšího vědomí příjemce úvěru není sankcionovanou osobou ani osoba oprávněná zastupovat příjemce úvěru či osobu tvořící s příjemcem úvěru koncern nebo za ně jednat nebo zaměstnanec příjemce úvěru či nebo osoby tvořící s příjemcem úvěru koncern.</w:t>
      </w:r>
    </w:p>
    <w:p w:rsidR="00EE08D2" w:rsidRDefault="00EE08D2">
      <w:pPr>
        <w:pStyle w:val="sOdstavec1"/>
        <w:rPr>
          <w:lang w:val="cs-CZ"/>
        </w:rPr>
      </w:pPr>
    </w:p>
    <w:p w:rsidR="00EE08D2" w:rsidRDefault="00494667">
      <w:pPr>
        <w:pStyle w:val="sNadpis2"/>
        <w:spacing w:before="480"/>
      </w:pPr>
      <w:r>
        <w:t>Závěrečná ustanovení</w:t>
      </w:r>
    </w:p>
    <w:p w:rsidR="00EE08D2" w:rsidRDefault="00494667">
      <w:pPr>
        <w:pStyle w:val="sOdstavec"/>
        <w:tabs>
          <w:tab w:val="left" w:pos="567"/>
          <w:tab w:val="num" w:pos="2836"/>
        </w:tabs>
        <w:rPr>
          <w:lang w:val="cs-CZ"/>
        </w:rPr>
      </w:pPr>
      <w:r>
        <w:rPr>
          <w:lang w:val="cs-CZ"/>
        </w:rPr>
        <w:t>V případě, že návrh na uzavření smlouvy o úvěru činí poskytovatel úvěru, platí, že příjemce úvěru může návrh smlouvy o úvěru přijmout pouze ve znění navrhovaném poskytovatelem úvěru s vyloučením možného přijetí návrhu této smlouvy o úvěru s dodatkem nebo odchylkou dle § 1740 odst. 3 občanského zákoníku.</w:t>
      </w:r>
    </w:p>
    <w:p w:rsidR="00EE08D2" w:rsidRDefault="00494667">
      <w:pPr>
        <w:pStyle w:val="sOdstavec"/>
        <w:tabs>
          <w:tab w:val="left" w:pos="567"/>
          <w:tab w:val="num" w:pos="2836"/>
        </w:tabs>
        <w:rPr>
          <w:lang w:val="cs-CZ"/>
        </w:rPr>
      </w:pPr>
      <w:r>
        <w:rPr>
          <w:lang w:val="cs-CZ"/>
        </w:rPr>
        <w:t>Příjemce úvěru prohlašuje, že při jednání o uzavření této smlouvy o úvěru mu byly sděleny všechny pro něj relevantní skutkové a právní okolnosti k posouzení možnosti uzavřít tuto smlouvu o úvěru dle § 1728 občanského zákoníku, a že neočekává ani nepožaduje od poskytovatele úvěru žádné další informace v této věci.</w:t>
      </w:r>
    </w:p>
    <w:p w:rsidR="00EE08D2" w:rsidRDefault="00494667">
      <w:pPr>
        <w:pStyle w:val="sOdstavec"/>
        <w:tabs>
          <w:tab w:val="left" w:pos="567"/>
          <w:tab w:val="num" w:pos="2836"/>
        </w:tabs>
        <w:rPr>
          <w:lang w:val="cs-CZ"/>
        </w:rPr>
      </w:pPr>
      <w:r>
        <w:rPr>
          <w:lang w:val="cs-CZ"/>
        </w:rPr>
        <w:t>Poskytovatel úvěru a příjemce úvěru si ujednali, že vylučují aplikaci ustanovení § 1799 a § 1800 občanského zákoníku týkající se smluv uzavíraných adhezním způsobem na tuto smlouvu o úvěru.</w:t>
      </w:r>
    </w:p>
    <w:p w:rsidR="00EE08D2" w:rsidRDefault="00494667">
      <w:pPr>
        <w:pStyle w:val="sOdstavec"/>
        <w:tabs>
          <w:tab w:val="left" w:pos="567"/>
          <w:tab w:val="num" w:pos="2836"/>
        </w:tabs>
        <w:rPr>
          <w:lang w:val="cs-CZ"/>
        </w:rPr>
      </w:pPr>
      <w:r>
        <w:rPr>
          <w:lang w:val="cs-CZ"/>
        </w:rPr>
        <w:t>Změny této smlouvy o úvěru vyžadují písemnou formu. Veškeré odchylky od této smlouvy o úvěru mohou být provedeny pouze formou dodatku.</w:t>
      </w:r>
    </w:p>
    <w:p w:rsidR="00EE08D2" w:rsidRDefault="00494667">
      <w:pPr>
        <w:pStyle w:val="sOdstavec"/>
        <w:tabs>
          <w:tab w:val="left" w:pos="567"/>
          <w:tab w:val="num" w:pos="2836"/>
        </w:tabs>
        <w:rPr>
          <w:lang w:val="cs-CZ"/>
        </w:rPr>
      </w:pPr>
      <w:r>
        <w:rPr>
          <w:lang w:val="cs-CZ"/>
        </w:rPr>
        <w:t xml:space="preserve">Veškerá práva poskytovatele úvěru vůči příjemci úvěru se promlčí za patnáct let od počátku běhu příslušné promlčecí doby. </w:t>
      </w:r>
    </w:p>
    <w:p w:rsidR="00EE08D2" w:rsidRDefault="00494667">
      <w:pPr>
        <w:pStyle w:val="sOdstavec"/>
        <w:tabs>
          <w:tab w:val="left" w:pos="567"/>
          <w:tab w:val="num" w:pos="2836"/>
        </w:tabs>
        <w:rPr>
          <w:lang w:val="cs-CZ"/>
        </w:rPr>
      </w:pPr>
      <w:r>
        <w:rPr>
          <w:lang w:val="cs-CZ"/>
        </w:rPr>
        <w:t>Poskytovatel úvěru a příjemce úvěru si dále ujednali vyloučení aplikace § 1971 občanského zákoníku, tedy si dohodli, že poskytovatel úvěru má právo na náhradu škody vzniklé nesplněním peněžitého dluhu příjemce úvěru nad rámec úroků z prodlení.</w:t>
      </w:r>
    </w:p>
    <w:p w:rsidR="00EE08D2" w:rsidRDefault="00494667">
      <w:pPr>
        <w:pStyle w:val="sOdstavec"/>
        <w:tabs>
          <w:tab w:val="left" w:pos="567"/>
          <w:tab w:val="num" w:pos="2836"/>
        </w:tabs>
        <w:rPr>
          <w:lang w:val="cs-CZ"/>
        </w:rPr>
      </w:pPr>
      <w:r>
        <w:rPr>
          <w:lang w:val="cs-CZ"/>
        </w:rPr>
        <w:t>Poskytovatel úvěru a příjemce úvěru si odchylně od ustanovení § 1936 občanského zákoníku ujednali, že poskytovatel úvěru není povinen přijmout na úhradu dluhů příjemce úvěru vyplývajících z této smlouvy o úvěru plnění od třetí osoby. Jakékoliv takové plnění poskytnuté poskytovateli úvěru bez jeho souhlasu jakoukoliv třetí osobou odlišnou od příjemce úvěru (s výjimkou poskytovatelů zajištění dluhů příjemce úvěru, včetně ručitelů, výslovně přijatých poskytovatelem úvěru) bude považováno za plnění bez právního důvodu a nebude zakládat žádná práva takové třetí osoby podle ustanovení § 1936 odst. 2 a § 1937 odst. 2 občanského zákoníku.</w:t>
      </w:r>
    </w:p>
    <w:p w:rsidR="00EE08D2" w:rsidRDefault="00494667">
      <w:pPr>
        <w:pStyle w:val="sOdstavec"/>
        <w:tabs>
          <w:tab w:val="left" w:pos="567"/>
          <w:tab w:val="num" w:pos="2836"/>
        </w:tabs>
        <w:rPr>
          <w:lang w:val="cs-CZ"/>
        </w:rPr>
      </w:pPr>
      <w:r>
        <w:rPr>
          <w:lang w:val="cs-CZ"/>
        </w:rPr>
        <w:t>Jestliže se jedno nebo více ustanovení této smlouvy o úvěru stane neplatným či se ukáže býti zdánlivým, platnost ostatních ustanovení tím není dotčena. Smluvní strany si namísto neplatného či zdánlivého ustanovení dohodnou takové platné ustanovení, které se bude nejvíce blížit hospodářskému účelu zamýšlenému neplatným či zdánlivým ustanovením.</w:t>
      </w:r>
    </w:p>
    <w:p w:rsidR="00EE08D2" w:rsidRDefault="00494667">
      <w:pPr>
        <w:pStyle w:val="sOdstavec"/>
        <w:tabs>
          <w:tab w:val="left" w:pos="567"/>
          <w:tab w:val="num" w:pos="2836"/>
        </w:tabs>
        <w:rPr>
          <w:lang w:val="cs-CZ"/>
        </w:rPr>
      </w:pPr>
      <w:r>
        <w:rPr>
          <w:lang w:val="cs-CZ"/>
        </w:rPr>
        <w:t>Smluvní strany se dohodly, že veškeré zásilky adresované na adresu sídla příjemce úvěru nebo na jinou mezi příjemcem úvěru a poskytovatelem úvěru výslovně sjednanou adresu pro doručování příjemci úvěru, se považují za doručené, pokud si je příjemce úvěru nevyzvedne nejpozději do 7 dnů od jejich uložení za předpokladu, že měl objektivní možnost se s nimi seznámit.</w:t>
      </w:r>
    </w:p>
    <w:p w:rsidR="00EE08D2" w:rsidRDefault="00494667">
      <w:pPr>
        <w:pStyle w:val="sOdstavec"/>
        <w:tabs>
          <w:tab w:val="left" w:pos="567"/>
          <w:tab w:val="num" w:pos="2836"/>
        </w:tabs>
        <w:rPr>
          <w:lang w:val="cs-CZ"/>
        </w:rPr>
      </w:pPr>
      <w:r>
        <w:rPr>
          <w:lang w:val="cs-CZ"/>
        </w:rPr>
        <w:t>Právní vztahy vyplývající z této smlouvy o úvěru se řídí českým právem. Dojde-li ke státním zásahům do podmínek či právních předpisů upravujících tuto smlouvu o úvěru (např. změna měny), bude tato smlouva o úvěru nebo její část změněna tak, aby její smysl a účel zůstal zachován.</w:t>
      </w:r>
    </w:p>
    <w:p w:rsidR="00EE08D2" w:rsidRDefault="00494667">
      <w:pPr>
        <w:pStyle w:val="sOdstavec"/>
        <w:tabs>
          <w:tab w:val="left" w:pos="567"/>
          <w:tab w:val="num" w:pos="2836"/>
        </w:tabs>
        <w:rPr>
          <w:lang w:val="cs-CZ"/>
        </w:rPr>
      </w:pPr>
      <w:r>
        <w:rPr>
          <w:lang w:val="cs-CZ"/>
        </w:rPr>
        <w:t>V případě, že v podpisové tabulce není čitelně vyplněno jméno podepisující osoby, zmocňuje příjemce úvěru poskytovatele úvěru k doplnění tohoto údaje s tím, že takové doplnění nemá a nebude mít vliv na platnost a účinnost smlouvy.</w:t>
      </w:r>
    </w:p>
    <w:p w:rsidR="00EE08D2" w:rsidRDefault="00494667">
      <w:pPr>
        <w:pStyle w:val="sOdstavec"/>
        <w:keepNext/>
        <w:keepLines/>
        <w:tabs>
          <w:tab w:val="left" w:pos="567"/>
          <w:tab w:val="num" w:pos="2836"/>
        </w:tabs>
        <w:rPr>
          <w:lang w:val="cs-CZ"/>
        </w:rPr>
      </w:pPr>
      <w:r>
        <w:rPr>
          <w:bCs/>
          <w:lang w:val="cs-CZ"/>
        </w:rPr>
        <w:lastRenderedPageBreak/>
        <w:t>Všechny spory vznikající z této smlouvy o úvěru a v souvislosti s ní budou rozhodovány s konečnou platností u Rozhodčího soudu při Hospodářské komoře České republiky a Agrární komoře České republiky podle jeho řádu třemi rozhodci.</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321"/>
        <w:gridCol w:w="4509"/>
      </w:tblGrid>
      <w:tr w:rsidR="00EE08D2">
        <w:trPr>
          <w:trHeight w:val="483"/>
          <w:jc w:val="center"/>
        </w:trPr>
        <w:tc>
          <w:tcPr>
            <w:tcW w:w="4576" w:type="dxa"/>
            <w:gridSpan w:val="2"/>
            <w:tcBorders>
              <w:bottom w:val="single" w:sz="4" w:space="0" w:color="auto"/>
            </w:tcBorders>
            <w:vAlign w:val="bottom"/>
          </w:tcPr>
          <w:sdt>
            <w:sdtPr>
              <w:rPr>
                <w:lang w:val="cs-CZ"/>
              </w:rPr>
              <w:id w:val="92664097"/>
            </w:sdtPr>
            <w:sdtEndPr/>
            <w:sdtContent>
              <w:p w:rsidR="00EE08D2" w:rsidRDefault="00494667">
                <w:pPr>
                  <w:pStyle w:val="sTabnorm"/>
                  <w:keepNext/>
                  <w:keepLines/>
                  <w:spacing w:before="120"/>
                  <w:jc w:val="center"/>
                  <w:rPr>
                    <w:rFonts w:ascii="Times New Roman" w:hAnsi="Times New Roman" w:cs="Times New Roman"/>
                    <w:color w:val="auto"/>
                    <w:sz w:val="20"/>
                    <w:lang w:val="cs-CZ"/>
                  </w:rPr>
                </w:pPr>
                <w:r>
                  <w:rPr>
                    <w:lang w:val="cs-CZ"/>
                  </w:rPr>
                  <w:t xml:space="preserve">Praha, </w:t>
                </w:r>
                <w:proofErr w:type="gramStart"/>
                <w:r>
                  <w:rPr>
                    <w:lang w:val="cs-CZ"/>
                  </w:rPr>
                  <w:t>05.09.2018</w:t>
                </w:r>
                <w:proofErr w:type="gramEnd"/>
              </w:p>
            </w:sdtContent>
          </w:sdt>
          <w:p w:rsidR="00EE08D2" w:rsidRDefault="00494667">
            <w:pPr>
              <w:pStyle w:val="sTabnorm"/>
              <w:keepNext/>
              <w:keepLines/>
              <w:jc w:val="center"/>
              <w:rPr>
                <w:lang w:val="cs-CZ"/>
              </w:rPr>
            </w:pPr>
            <w:r>
              <w:rPr>
                <w:lang w:val="cs-CZ"/>
              </w:rPr>
              <w:t>Místo, datum</w:t>
            </w:r>
          </w:p>
        </w:tc>
        <w:tc>
          <w:tcPr>
            <w:tcW w:w="4509" w:type="dxa"/>
            <w:tcBorders>
              <w:bottom w:val="single" w:sz="4" w:space="0" w:color="auto"/>
            </w:tcBorders>
            <w:vAlign w:val="bottom"/>
          </w:tcPr>
          <w:sdt>
            <w:sdtPr>
              <w:rPr>
                <w:lang w:val="cs-CZ"/>
              </w:rPr>
              <w:id w:val="1364621819"/>
            </w:sdtPr>
            <w:sdtEndPr/>
            <w:sdtContent>
              <w:p w:rsidR="00EE08D2" w:rsidRDefault="00494667">
                <w:pPr>
                  <w:pStyle w:val="sTabnorm"/>
                  <w:keepNext/>
                  <w:keepLines/>
                  <w:spacing w:before="120"/>
                  <w:jc w:val="center"/>
                  <w:rPr>
                    <w:rFonts w:ascii="Times New Roman" w:hAnsi="Times New Roman" w:cs="Times New Roman"/>
                    <w:color w:val="auto"/>
                    <w:sz w:val="20"/>
                    <w:lang w:val="cs-CZ"/>
                  </w:rPr>
                </w:pPr>
                <w:r>
                  <w:rPr>
                    <w:lang w:val="cs-CZ"/>
                  </w:rPr>
                  <w:t xml:space="preserve">Liberec, </w:t>
                </w:r>
                <w:proofErr w:type="gramStart"/>
                <w:r>
                  <w:rPr>
                    <w:lang w:val="cs-CZ"/>
                  </w:rPr>
                  <w:t>05.09.2018</w:t>
                </w:r>
                <w:proofErr w:type="gramEnd"/>
              </w:p>
            </w:sdtContent>
          </w:sdt>
          <w:p w:rsidR="00EE08D2" w:rsidRDefault="00494667">
            <w:pPr>
              <w:pStyle w:val="sTabnorm"/>
              <w:keepNext/>
              <w:keepLines/>
              <w:jc w:val="center"/>
              <w:rPr>
                <w:lang w:val="cs-CZ"/>
              </w:rPr>
            </w:pPr>
            <w:r>
              <w:rPr>
                <w:lang w:val="cs-CZ"/>
              </w:rPr>
              <w:t>Místo, datum</w:t>
            </w:r>
          </w:p>
        </w:tc>
      </w:tr>
      <w:tr w:rsidR="00EE08D2">
        <w:trPr>
          <w:trHeight w:val="215"/>
          <w:jc w:val="center"/>
        </w:trPr>
        <w:tc>
          <w:tcPr>
            <w:tcW w:w="4576" w:type="dxa"/>
            <w:gridSpan w:val="2"/>
            <w:tcBorders>
              <w:bottom w:val="nil"/>
            </w:tcBorders>
          </w:tcPr>
          <w:p w:rsidR="00EE08D2" w:rsidRDefault="00494667">
            <w:pPr>
              <w:pStyle w:val="sTabnorm"/>
              <w:keepNext/>
              <w:keepLines/>
              <w:spacing w:before="240"/>
              <w:rPr>
                <w:lang w:val="cs-CZ"/>
              </w:rPr>
            </w:pPr>
            <w:r>
              <w:rPr>
                <w:lang w:val="cs-CZ"/>
              </w:rPr>
              <w:t>Poskytovatel úvěru:</w:t>
            </w:r>
          </w:p>
        </w:tc>
        <w:tc>
          <w:tcPr>
            <w:tcW w:w="4509" w:type="dxa"/>
            <w:tcBorders>
              <w:bottom w:val="nil"/>
            </w:tcBorders>
          </w:tcPr>
          <w:p w:rsidR="00EE08D2" w:rsidRDefault="00494667">
            <w:pPr>
              <w:pStyle w:val="sTabnorm"/>
              <w:keepNext/>
              <w:keepLines/>
              <w:spacing w:before="240"/>
              <w:rPr>
                <w:lang w:val="cs-CZ"/>
              </w:rPr>
            </w:pPr>
            <w:r>
              <w:rPr>
                <w:lang w:val="cs-CZ"/>
              </w:rPr>
              <w:t>Příjemce úvěru:</w:t>
            </w:r>
          </w:p>
        </w:tc>
      </w:tr>
      <w:tr w:rsidR="00EE08D2">
        <w:trPr>
          <w:trHeight w:val="258"/>
          <w:jc w:val="center"/>
        </w:trPr>
        <w:tc>
          <w:tcPr>
            <w:tcW w:w="4576" w:type="dxa"/>
            <w:gridSpan w:val="2"/>
            <w:tcBorders>
              <w:top w:val="nil"/>
            </w:tcBorders>
          </w:tcPr>
          <w:p w:rsidR="00EE08D2" w:rsidRDefault="00494667">
            <w:pPr>
              <w:pStyle w:val="sTabbold"/>
              <w:spacing w:before="240" w:after="240"/>
              <w:rPr>
                <w:b w:val="0"/>
                <w:lang w:val="cs-CZ"/>
              </w:rPr>
            </w:pPr>
            <w:r>
              <w:rPr>
                <w:lang w:val="cs-CZ"/>
              </w:rPr>
              <w:t>SG Equipment Finance Czech Republic s.r.o.</w:t>
            </w:r>
          </w:p>
        </w:tc>
        <w:tc>
          <w:tcPr>
            <w:tcW w:w="4509" w:type="dxa"/>
            <w:tcBorders>
              <w:top w:val="nil"/>
            </w:tcBorders>
          </w:tcPr>
          <w:p w:rsidR="00EE08D2" w:rsidRDefault="00494667">
            <w:pPr>
              <w:pStyle w:val="sTabbold"/>
              <w:spacing w:before="240" w:after="240"/>
              <w:rPr>
                <w:b w:val="0"/>
                <w:lang w:val="cs-CZ"/>
              </w:rPr>
            </w:pPr>
            <w:r>
              <w:rPr>
                <w:lang w:val="cs-CZ"/>
              </w:rPr>
              <w:t>Technické služby města Liberce a.s.</w:t>
            </w:r>
          </w:p>
        </w:tc>
      </w:tr>
      <w:tr w:rsidR="00EE08D2">
        <w:trPr>
          <w:jc w:val="center"/>
        </w:trPr>
        <w:tc>
          <w:tcPr>
            <w:tcW w:w="2255" w:type="dxa"/>
            <w:tcBorders>
              <w:bottom w:val="nil"/>
              <w:right w:val="nil"/>
            </w:tcBorders>
            <w:vAlign w:val="bottom"/>
          </w:tcPr>
          <w:p w:rsidR="00EE08D2" w:rsidRDefault="00494667">
            <w:pPr>
              <w:pStyle w:val="sTabnorm"/>
              <w:keepNext/>
              <w:keepLines/>
              <w:spacing w:before="480"/>
              <w:jc w:val="center"/>
              <w:rPr>
                <w:lang w:val="cs-CZ"/>
              </w:rPr>
            </w:pPr>
            <w:r>
              <w:rPr>
                <w:lang w:val="cs-CZ"/>
              </w:rPr>
              <w:t>.......................</w:t>
            </w:r>
          </w:p>
          <w:p w:rsidR="00EE08D2" w:rsidRDefault="00494667">
            <w:pPr>
              <w:pStyle w:val="sTabnorm"/>
              <w:keepNext/>
              <w:keepLines/>
              <w:jc w:val="center"/>
              <w:rPr>
                <w:lang w:val="cs-CZ"/>
              </w:rPr>
            </w:pPr>
            <w:r>
              <w:rPr>
                <w:lang w:val="cs-CZ"/>
              </w:rPr>
              <w:t>Podpis</w:t>
            </w:r>
          </w:p>
          <w:p w:rsidR="00EE08D2" w:rsidRDefault="00EE08D2">
            <w:pPr>
              <w:pStyle w:val="sTabnorm"/>
              <w:keepNext/>
              <w:keepLines/>
              <w:jc w:val="center"/>
              <w:rPr>
                <w:lang w:val="cs-CZ"/>
              </w:rPr>
            </w:pPr>
          </w:p>
        </w:tc>
        <w:tc>
          <w:tcPr>
            <w:tcW w:w="2321" w:type="dxa"/>
            <w:tcBorders>
              <w:left w:val="nil"/>
              <w:bottom w:val="nil"/>
            </w:tcBorders>
            <w:vAlign w:val="bottom"/>
          </w:tcPr>
          <w:p w:rsidR="00EE08D2" w:rsidRDefault="00494667">
            <w:pPr>
              <w:pStyle w:val="sTabnorm"/>
              <w:keepNext/>
              <w:keepLines/>
              <w:spacing w:before="480"/>
              <w:jc w:val="center"/>
              <w:rPr>
                <w:lang w:val="cs-CZ"/>
              </w:rPr>
            </w:pPr>
            <w:r>
              <w:rPr>
                <w:lang w:val="cs-CZ"/>
              </w:rPr>
              <w:t>.......................</w:t>
            </w:r>
          </w:p>
          <w:p w:rsidR="00EE08D2" w:rsidRDefault="00494667">
            <w:pPr>
              <w:pStyle w:val="sTabnorm"/>
              <w:keepNext/>
              <w:keepLines/>
              <w:jc w:val="center"/>
              <w:rPr>
                <w:lang w:val="cs-CZ"/>
              </w:rPr>
            </w:pPr>
            <w:r>
              <w:rPr>
                <w:lang w:val="cs-CZ"/>
              </w:rPr>
              <w:t>Podpis</w:t>
            </w:r>
          </w:p>
          <w:p w:rsidR="00EE08D2" w:rsidRDefault="00EE08D2">
            <w:pPr>
              <w:pStyle w:val="sTabnorm"/>
              <w:keepNext/>
              <w:keepLines/>
              <w:jc w:val="center"/>
              <w:rPr>
                <w:lang w:val="cs-CZ"/>
              </w:rPr>
            </w:pPr>
          </w:p>
        </w:tc>
        <w:tc>
          <w:tcPr>
            <w:tcW w:w="4509" w:type="dxa"/>
            <w:tcBorders>
              <w:bottom w:val="nil"/>
            </w:tcBorders>
            <w:vAlign w:val="bottom"/>
          </w:tcPr>
          <w:sdt>
            <w:sdtPr>
              <w:rPr>
                <w:lang w:val="cs-CZ"/>
              </w:rPr>
              <w:id w:val="1672479091"/>
            </w:sdtPr>
            <w:sdtEndPr/>
            <w:sdtContent>
              <w:p w:rsidR="00EE08D2" w:rsidRDefault="00494667">
                <w:pPr>
                  <w:pStyle w:val="sTabnorm"/>
                  <w:keepNext/>
                  <w:keepLines/>
                  <w:spacing w:before="120"/>
                  <w:jc w:val="center"/>
                  <w:rPr>
                    <w:lang w:val="cs-CZ"/>
                  </w:rPr>
                </w:pPr>
                <w:proofErr w:type="gramStart"/>
                <w:r>
                  <w:rPr>
                    <w:lang w:val="cs-CZ"/>
                  </w:rPr>
                  <w:t>...............................</w:t>
                </w:r>
                <w:proofErr w:type="gramEnd"/>
              </w:p>
            </w:sdtContent>
          </w:sdt>
          <w:sdt>
            <w:sdtPr>
              <w:rPr>
                <w:lang w:val="cs-CZ"/>
              </w:rPr>
              <w:id w:val="2137490360"/>
            </w:sdtPr>
            <w:sdtEndPr/>
            <w:sdtContent>
              <w:p w:rsidR="00EE08D2" w:rsidRDefault="00494667">
                <w:pPr>
                  <w:pStyle w:val="sTabnorm"/>
                  <w:keepNext/>
                  <w:keepLines/>
                  <w:jc w:val="center"/>
                  <w:rPr>
                    <w:rFonts w:ascii="Times New Roman" w:hAnsi="Times New Roman" w:cs="Times New Roman"/>
                    <w:color w:val="auto"/>
                    <w:sz w:val="20"/>
                    <w:lang w:val="cs-CZ"/>
                  </w:rPr>
                </w:pPr>
                <w:r>
                  <w:rPr>
                    <w:lang w:val="cs-CZ"/>
                  </w:rPr>
                  <w:t>Podpis</w:t>
                </w:r>
              </w:p>
            </w:sdtContent>
          </w:sdt>
          <w:p w:rsidR="00EE08D2" w:rsidRDefault="00EE08D2">
            <w:pPr>
              <w:pStyle w:val="sTabnorm"/>
              <w:keepNext/>
              <w:keepLines/>
              <w:jc w:val="center"/>
              <w:rPr>
                <w:lang w:val="cs-CZ"/>
              </w:rPr>
            </w:pPr>
          </w:p>
        </w:tc>
      </w:tr>
      <w:tr w:rsidR="00EE08D2">
        <w:trPr>
          <w:jc w:val="center"/>
        </w:trPr>
        <w:tc>
          <w:tcPr>
            <w:tcW w:w="2255" w:type="dxa"/>
            <w:tcBorders>
              <w:top w:val="nil"/>
              <w:bottom w:val="nil"/>
              <w:right w:val="nil"/>
            </w:tcBorders>
            <w:vAlign w:val="bottom"/>
          </w:tcPr>
          <w:sdt>
            <w:sdtPr>
              <w:rPr>
                <w:lang w:val="cs-CZ"/>
              </w:rPr>
              <w:id w:val="827335242"/>
              <w:showingPlcHdr/>
            </w:sdtPr>
            <w:sdtEndPr/>
            <w:sdtContent>
              <w:p w:rsidR="00EE08D2" w:rsidRDefault="005E6850" w:rsidP="005E6850">
                <w:pPr>
                  <w:pStyle w:val="sTabnorm"/>
                  <w:keepNext/>
                  <w:keepLines/>
                  <w:spacing w:before="120"/>
                  <w:rPr>
                    <w:rFonts w:ascii="Times New Roman" w:hAnsi="Times New Roman" w:cs="Times New Roman"/>
                    <w:color w:val="auto"/>
                    <w:sz w:val="20"/>
                    <w:lang w:val="cs-CZ"/>
                  </w:rPr>
                </w:pPr>
                <w:r>
                  <w:rPr>
                    <w:lang w:val="cs-CZ"/>
                  </w:rPr>
                  <w:t xml:space="preserve">     </w:t>
                </w:r>
              </w:p>
            </w:sdtContent>
          </w:sdt>
          <w:p w:rsidR="00EE08D2" w:rsidRDefault="00494667">
            <w:pPr>
              <w:pStyle w:val="sTabnorm"/>
              <w:keepNext/>
              <w:keepLines/>
              <w:jc w:val="center"/>
              <w:rPr>
                <w:lang w:val="cs-CZ"/>
              </w:rPr>
            </w:pPr>
            <w:r>
              <w:rPr>
                <w:lang w:val="cs-CZ"/>
              </w:rPr>
              <w:t>Jméno</w:t>
            </w:r>
          </w:p>
          <w:p w:rsidR="00EE08D2" w:rsidRDefault="00EE08D2">
            <w:pPr>
              <w:pStyle w:val="sTabnorm"/>
              <w:keepNext/>
              <w:keepLines/>
              <w:jc w:val="center"/>
              <w:rPr>
                <w:lang w:val="cs-CZ"/>
              </w:rPr>
            </w:pPr>
          </w:p>
        </w:tc>
        <w:tc>
          <w:tcPr>
            <w:tcW w:w="2321" w:type="dxa"/>
            <w:tcBorders>
              <w:top w:val="nil"/>
              <w:left w:val="nil"/>
              <w:bottom w:val="nil"/>
            </w:tcBorders>
            <w:vAlign w:val="bottom"/>
          </w:tcPr>
          <w:sdt>
            <w:sdtPr>
              <w:rPr>
                <w:lang w:val="cs-CZ"/>
              </w:rPr>
              <w:id w:val="1401901232"/>
              <w:showingPlcHdr/>
            </w:sdtPr>
            <w:sdtEndPr/>
            <w:sdtContent>
              <w:p w:rsidR="00EE08D2" w:rsidRDefault="005E6850">
                <w:pPr>
                  <w:pStyle w:val="sTabnorm"/>
                  <w:keepNext/>
                  <w:keepLines/>
                  <w:spacing w:before="120"/>
                  <w:jc w:val="center"/>
                  <w:rPr>
                    <w:rFonts w:ascii="Times New Roman" w:hAnsi="Times New Roman" w:cs="Times New Roman"/>
                    <w:color w:val="auto"/>
                    <w:sz w:val="20"/>
                    <w:lang w:val="cs-CZ"/>
                  </w:rPr>
                </w:pPr>
                <w:r>
                  <w:rPr>
                    <w:lang w:val="cs-CZ"/>
                  </w:rPr>
                  <w:t xml:space="preserve">     </w:t>
                </w:r>
              </w:p>
            </w:sdtContent>
          </w:sdt>
          <w:p w:rsidR="00EE08D2" w:rsidRDefault="00494667">
            <w:pPr>
              <w:pStyle w:val="sTabnorm"/>
              <w:keepNext/>
              <w:keepLines/>
              <w:jc w:val="center"/>
              <w:rPr>
                <w:lang w:val="cs-CZ"/>
              </w:rPr>
            </w:pPr>
            <w:r>
              <w:rPr>
                <w:lang w:val="cs-CZ"/>
              </w:rPr>
              <w:t>Jméno</w:t>
            </w:r>
          </w:p>
          <w:p w:rsidR="00EE08D2" w:rsidRDefault="00EE08D2">
            <w:pPr>
              <w:pStyle w:val="sTabnorm"/>
              <w:keepNext/>
              <w:keepLines/>
              <w:jc w:val="center"/>
              <w:rPr>
                <w:lang w:val="cs-CZ"/>
              </w:rPr>
            </w:pPr>
          </w:p>
        </w:tc>
        <w:tc>
          <w:tcPr>
            <w:tcW w:w="4509" w:type="dxa"/>
            <w:tcBorders>
              <w:top w:val="nil"/>
              <w:bottom w:val="nil"/>
            </w:tcBorders>
            <w:vAlign w:val="bottom"/>
          </w:tcPr>
          <w:p w:rsidR="00EE08D2" w:rsidRDefault="002C7A1C">
            <w:pPr>
              <w:pStyle w:val="sTabnorm"/>
              <w:keepNext/>
              <w:keepLines/>
              <w:spacing w:before="120"/>
              <w:jc w:val="center"/>
              <w:rPr>
                <w:lang w:val="cs-CZ"/>
              </w:rPr>
            </w:pPr>
            <w:sdt>
              <w:sdtPr>
                <w:rPr>
                  <w:szCs w:val="24"/>
                  <w:lang w:val="cs-CZ"/>
                </w:rPr>
                <w:id w:val="1341864314"/>
                <w:showingPlcHdr/>
                <w:text/>
              </w:sdtPr>
              <w:sdtEndPr/>
              <w:sdtContent>
                <w:r w:rsidR="005E6850">
                  <w:rPr>
                    <w:szCs w:val="24"/>
                    <w:lang w:val="cs-CZ"/>
                  </w:rPr>
                  <w:t xml:space="preserve">     </w:t>
                </w:r>
              </w:sdtContent>
            </w:sdt>
          </w:p>
          <w:p w:rsidR="00EE08D2" w:rsidRDefault="00494667">
            <w:pPr>
              <w:pStyle w:val="sTabnorm"/>
              <w:keepNext/>
              <w:keepLines/>
              <w:jc w:val="center"/>
              <w:rPr>
                <w:lang w:val="cs-CZ"/>
              </w:rPr>
            </w:pPr>
            <w:r>
              <w:rPr>
                <w:lang w:val="cs-CZ"/>
              </w:rPr>
              <w:t>Jméno</w:t>
            </w:r>
          </w:p>
          <w:p w:rsidR="00EE08D2" w:rsidRDefault="00EE08D2">
            <w:pPr>
              <w:pStyle w:val="sTabnorm"/>
              <w:keepNext/>
              <w:keepLines/>
              <w:jc w:val="center"/>
              <w:rPr>
                <w:lang w:val="cs-CZ"/>
              </w:rPr>
            </w:pPr>
          </w:p>
        </w:tc>
      </w:tr>
      <w:tr w:rsidR="00EE08D2">
        <w:trPr>
          <w:jc w:val="center"/>
        </w:trPr>
        <w:tc>
          <w:tcPr>
            <w:tcW w:w="2255" w:type="dxa"/>
            <w:tcBorders>
              <w:top w:val="nil"/>
              <w:right w:val="nil"/>
            </w:tcBorders>
            <w:vAlign w:val="bottom"/>
          </w:tcPr>
          <w:sdt>
            <w:sdtPr>
              <w:rPr>
                <w:lang w:val="cs-CZ"/>
              </w:rPr>
              <w:id w:val="660656629"/>
            </w:sdtPr>
            <w:sdtEndPr/>
            <w:sdtContent>
              <w:p w:rsidR="00EE08D2" w:rsidRDefault="00494667">
                <w:pPr>
                  <w:pStyle w:val="sTabnorm"/>
                  <w:keepNext/>
                  <w:keepLines/>
                  <w:jc w:val="center"/>
                  <w:rPr>
                    <w:lang w:val="cs-CZ"/>
                  </w:rPr>
                </w:pPr>
                <w:r>
                  <w:rPr>
                    <w:lang w:val="cs-CZ"/>
                  </w:rPr>
                  <w:t>zmocněnec</w:t>
                </w:r>
              </w:p>
            </w:sdtContent>
          </w:sdt>
          <w:p w:rsidR="00EE08D2" w:rsidRDefault="00494667">
            <w:pPr>
              <w:pStyle w:val="sTabnorm"/>
              <w:keepNext/>
              <w:keepLines/>
              <w:jc w:val="center"/>
              <w:rPr>
                <w:lang w:val="cs-CZ"/>
              </w:rPr>
            </w:pPr>
            <w:r>
              <w:rPr>
                <w:lang w:val="cs-CZ"/>
              </w:rPr>
              <w:t>Funkce</w:t>
            </w:r>
          </w:p>
          <w:p w:rsidR="00EE08D2" w:rsidRDefault="00EE08D2">
            <w:pPr>
              <w:pStyle w:val="sTabnorm"/>
              <w:keepNext/>
              <w:keepLines/>
              <w:jc w:val="center"/>
              <w:rPr>
                <w:lang w:val="cs-CZ"/>
              </w:rPr>
            </w:pPr>
          </w:p>
        </w:tc>
        <w:tc>
          <w:tcPr>
            <w:tcW w:w="2321" w:type="dxa"/>
            <w:tcBorders>
              <w:top w:val="nil"/>
              <w:left w:val="nil"/>
            </w:tcBorders>
            <w:vAlign w:val="bottom"/>
          </w:tcPr>
          <w:sdt>
            <w:sdtPr>
              <w:rPr>
                <w:lang w:val="cs-CZ"/>
              </w:rPr>
              <w:id w:val="294456529"/>
            </w:sdtPr>
            <w:sdtEndPr/>
            <w:sdtContent>
              <w:p w:rsidR="00EE08D2" w:rsidRDefault="00494667">
                <w:pPr>
                  <w:pStyle w:val="sTabnorm"/>
                  <w:keepNext/>
                  <w:keepLines/>
                  <w:jc w:val="center"/>
                  <w:rPr>
                    <w:rFonts w:ascii="Times New Roman" w:hAnsi="Times New Roman" w:cs="Times New Roman"/>
                    <w:color w:val="auto"/>
                    <w:sz w:val="20"/>
                    <w:lang w:val="cs-CZ"/>
                  </w:rPr>
                </w:pPr>
                <w:r>
                  <w:rPr>
                    <w:lang w:val="cs-CZ"/>
                  </w:rPr>
                  <w:t>zmocněnec</w:t>
                </w:r>
              </w:p>
            </w:sdtContent>
          </w:sdt>
          <w:p w:rsidR="00EE08D2" w:rsidRDefault="00494667">
            <w:pPr>
              <w:pStyle w:val="sTabnorm"/>
              <w:keepNext/>
              <w:keepLines/>
              <w:jc w:val="center"/>
              <w:rPr>
                <w:lang w:val="cs-CZ"/>
              </w:rPr>
            </w:pPr>
            <w:r>
              <w:rPr>
                <w:lang w:val="cs-CZ"/>
              </w:rPr>
              <w:t>Funkce</w:t>
            </w:r>
          </w:p>
          <w:p w:rsidR="00EE08D2" w:rsidRDefault="00EE08D2">
            <w:pPr>
              <w:pStyle w:val="sTabnorm"/>
              <w:keepNext/>
              <w:keepLines/>
              <w:jc w:val="center"/>
              <w:rPr>
                <w:lang w:val="cs-CZ"/>
              </w:rPr>
            </w:pPr>
          </w:p>
        </w:tc>
        <w:tc>
          <w:tcPr>
            <w:tcW w:w="4509" w:type="dxa"/>
            <w:tcBorders>
              <w:top w:val="nil"/>
            </w:tcBorders>
            <w:vAlign w:val="bottom"/>
          </w:tcPr>
          <w:p w:rsidR="00EE08D2" w:rsidRDefault="002C7A1C">
            <w:pPr>
              <w:pStyle w:val="sTabnorm"/>
              <w:keepNext/>
              <w:keepLines/>
              <w:spacing w:before="120"/>
              <w:jc w:val="center"/>
              <w:rPr>
                <w:lang w:val="cs-CZ"/>
              </w:rPr>
            </w:pPr>
            <w:sdt>
              <w:sdtPr>
                <w:rPr>
                  <w:szCs w:val="24"/>
                  <w:lang w:val="cs-CZ"/>
                </w:rPr>
                <w:id w:val="788494563"/>
                <w:text/>
              </w:sdtPr>
              <w:sdtEndPr/>
              <w:sdtContent>
                <w:r w:rsidR="00546195" w:rsidRPr="00546195">
                  <w:rPr>
                    <w:szCs w:val="24"/>
                    <w:lang w:val="cs-CZ"/>
                  </w:rPr>
                  <w:t>Předseda představenstva</w:t>
                </w:r>
              </w:sdtContent>
            </w:sdt>
          </w:p>
          <w:p w:rsidR="00EE08D2" w:rsidRDefault="00494667">
            <w:pPr>
              <w:pStyle w:val="sTabnorm"/>
              <w:keepNext/>
              <w:keepLines/>
              <w:jc w:val="center"/>
              <w:rPr>
                <w:lang w:val="cs-CZ"/>
              </w:rPr>
            </w:pPr>
            <w:r>
              <w:rPr>
                <w:lang w:val="cs-CZ"/>
              </w:rPr>
              <w:t>Funkce</w:t>
            </w:r>
            <w:r>
              <w:rPr>
                <w:shd w:val="clear" w:color="auto" w:fill="FFFF00"/>
                <w:lang w:val="cs-CZ"/>
              </w:rPr>
              <w:t xml:space="preserve"> </w:t>
            </w:r>
          </w:p>
        </w:tc>
      </w:tr>
    </w:tbl>
    <w:p w:rsidR="00EE08D2" w:rsidRDefault="00494667">
      <w:pPr>
        <w:pStyle w:val="sTextnorm"/>
        <w:spacing w:before="0" w:after="0"/>
        <w:rPr>
          <w:sz w:val="6"/>
          <w:szCs w:val="6"/>
          <w:lang w:val="cs-CZ"/>
        </w:rPr>
      </w:pPr>
      <w:r>
        <w:rPr>
          <w:rFonts w:ascii="Arial CE" w:hAnsi="Arial CE"/>
          <w:sz w:val="6"/>
          <w:szCs w:val="6"/>
          <w:lang w:val="cs-CZ"/>
        </w:rPr>
        <w:t xml:space="preserve"> </w:t>
      </w:r>
    </w:p>
    <w:sectPr w:rsidR="00EE08D2">
      <w:headerReference w:type="even" r:id="rId8"/>
      <w:headerReference w:type="default" r:id="rId9"/>
      <w:footerReference w:type="even" r:id="rId10"/>
      <w:footerReference w:type="default" r:id="rId11"/>
      <w:headerReference w:type="first" r:id="rId12"/>
      <w:footerReference w:type="first" r:id="rId13"/>
      <w:type w:val="oddPage"/>
      <w:pgSz w:w="11907" w:h="16840"/>
      <w:pgMar w:top="1618" w:right="1417" w:bottom="1618" w:left="1417" w:header="794" w:footer="62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A1C" w:rsidRDefault="002C7A1C">
      <w:r>
        <w:separator/>
      </w:r>
    </w:p>
  </w:endnote>
  <w:endnote w:type="continuationSeparator" w:id="0">
    <w:p w:rsidR="002C7A1C" w:rsidRDefault="002C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67" w:rsidRDefault="004946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ayout w:type="fixed"/>
      <w:tblLook w:val="04A0" w:firstRow="1" w:lastRow="0" w:firstColumn="1" w:lastColumn="0" w:noHBand="0" w:noVBand="1"/>
    </w:tblPr>
    <w:tblGrid>
      <w:gridCol w:w="4535"/>
      <w:gridCol w:w="1134"/>
      <w:gridCol w:w="4535"/>
    </w:tblGrid>
    <w:tr w:rsidR="00EE08D2">
      <w:trPr>
        <w:trHeight w:val="89"/>
        <w:jc w:val="center"/>
      </w:trPr>
      <w:tc>
        <w:tcPr>
          <w:tcW w:w="4535" w:type="dxa"/>
        </w:tcPr>
        <w:p w:rsidR="00EE08D2" w:rsidRDefault="00494667">
          <w:pPr>
            <w:pStyle w:val="sZapati"/>
            <w:jc w:val="left"/>
          </w:pPr>
          <w:r>
            <w:rPr>
              <w:sz w:val="14"/>
              <w:szCs w:val="14"/>
              <w:lang w:val="cs-CZ"/>
            </w:rPr>
            <w:t>Smlouva č.</w:t>
          </w:r>
          <w:r>
            <w:rPr>
              <w:sz w:val="14"/>
              <w:szCs w:val="14"/>
            </w:rPr>
            <w:t xml:space="preserve"> 17010383/18</w:t>
          </w:r>
        </w:p>
      </w:tc>
      <w:tc>
        <w:tcPr>
          <w:tcW w:w="1134" w:type="dxa"/>
          <w:vMerge w:val="restart"/>
        </w:tcPr>
        <w:p w:rsidR="00EE08D2" w:rsidRDefault="00494667">
          <w:pPr>
            <w:pStyle w:val="sZapati"/>
            <w:rPr>
              <w:sz w:val="14"/>
              <w:szCs w:val="14"/>
            </w:rPr>
          </w:pPr>
          <w:r>
            <w:rPr>
              <w:sz w:val="14"/>
              <w:szCs w:val="14"/>
            </w:rPr>
            <w:fldChar w:fldCharType="begin"/>
          </w:r>
          <w:r>
            <w:rPr>
              <w:sz w:val="14"/>
              <w:szCs w:val="14"/>
            </w:rPr>
            <w:instrText>PAGE</w:instrText>
          </w:r>
          <w:r>
            <w:rPr>
              <w:sz w:val="14"/>
              <w:szCs w:val="14"/>
            </w:rPr>
            <w:fldChar w:fldCharType="separate"/>
          </w:r>
          <w:r w:rsidR="005E6850">
            <w:rPr>
              <w:noProof/>
              <w:sz w:val="14"/>
              <w:szCs w:val="14"/>
            </w:rPr>
            <w:t>2</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5E6850">
            <w:rPr>
              <w:noProof/>
              <w:sz w:val="14"/>
              <w:szCs w:val="14"/>
            </w:rPr>
            <w:t>13</w:t>
          </w:r>
          <w:r>
            <w:rPr>
              <w:sz w:val="14"/>
              <w:szCs w:val="14"/>
            </w:rPr>
            <w:fldChar w:fldCharType="end"/>
          </w:r>
        </w:p>
      </w:tc>
      <w:tc>
        <w:tcPr>
          <w:tcW w:w="4535" w:type="dxa"/>
          <w:vMerge w:val="restart"/>
        </w:tcPr>
        <w:p w:rsidR="00EE08D2" w:rsidRDefault="00494667">
          <w:pPr>
            <w:pStyle w:val="sZapati"/>
            <w:jc w:val="right"/>
            <w:rPr>
              <w:sz w:val="14"/>
              <w:szCs w:val="14"/>
            </w:rPr>
          </w:pPr>
          <w:r>
            <w:rPr>
              <w:sz w:val="14"/>
              <w:szCs w:val="14"/>
            </w:rPr>
            <w:t>CZ_SDA_017_100_105_c</w:t>
          </w:r>
        </w:p>
      </w:tc>
    </w:tr>
    <w:tr w:rsidR="00EE08D2">
      <w:trPr>
        <w:trHeight w:val="88"/>
        <w:jc w:val="center"/>
      </w:trPr>
      <w:tc>
        <w:tcPr>
          <w:tcW w:w="4535" w:type="dxa"/>
        </w:tcPr>
        <w:p w:rsidR="00EE08D2" w:rsidRDefault="00EE08D2">
          <w:pPr>
            <w:pStyle w:val="sZapati"/>
            <w:rPr>
              <w:sz w:val="12"/>
              <w:szCs w:val="12"/>
            </w:rPr>
          </w:pPr>
        </w:p>
      </w:tc>
      <w:tc>
        <w:tcPr>
          <w:tcW w:w="1134" w:type="dxa"/>
          <w:vMerge/>
        </w:tcPr>
        <w:p w:rsidR="00EE08D2" w:rsidRDefault="00EE08D2"/>
      </w:tc>
      <w:tc>
        <w:tcPr>
          <w:tcW w:w="4535" w:type="dxa"/>
          <w:vMerge/>
        </w:tcPr>
        <w:p w:rsidR="00EE08D2" w:rsidRDefault="00EE08D2"/>
      </w:tc>
    </w:tr>
  </w:tbl>
  <w:p w:rsidR="00EE08D2" w:rsidRDefault="00EE08D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ayout w:type="fixed"/>
      <w:tblLook w:val="04A0" w:firstRow="1" w:lastRow="0" w:firstColumn="1" w:lastColumn="0" w:noHBand="0" w:noVBand="1"/>
    </w:tblPr>
    <w:tblGrid>
      <w:gridCol w:w="4535"/>
      <w:gridCol w:w="1134"/>
      <w:gridCol w:w="4535"/>
    </w:tblGrid>
    <w:tr w:rsidR="00EE08D2">
      <w:trPr>
        <w:trHeight w:val="83"/>
        <w:jc w:val="center"/>
      </w:trPr>
      <w:tc>
        <w:tcPr>
          <w:tcW w:w="4535" w:type="dxa"/>
        </w:tcPr>
        <w:tbl>
          <w:tblPr>
            <w:tblW w:w="4319" w:type="dxa"/>
            <w:jc w:val="center"/>
            <w:tblLayout w:type="fixed"/>
            <w:tblLook w:val="04A0" w:firstRow="1" w:lastRow="0" w:firstColumn="1" w:lastColumn="0" w:noHBand="0" w:noVBand="1"/>
          </w:tblPr>
          <w:tblGrid>
            <w:gridCol w:w="4319"/>
          </w:tblGrid>
          <w:tr w:rsidR="00EE08D2">
            <w:trPr>
              <w:trHeight w:val="83"/>
              <w:jc w:val="center"/>
            </w:trPr>
            <w:tc>
              <w:tcPr>
                <w:tcW w:w="4319" w:type="dxa"/>
              </w:tcPr>
              <w:p w:rsidR="00EE08D2" w:rsidRDefault="00494667">
                <w:pPr>
                  <w:pStyle w:val="sZapati"/>
                  <w:rPr>
                    <w:sz w:val="12"/>
                    <w:szCs w:val="12"/>
                  </w:rPr>
                </w:pPr>
                <w:r>
                  <w:rPr>
                    <w:noProof/>
                    <w:lang w:val="cs-CZ"/>
                  </w:rPr>
                  <w:drawing>
                    <wp:inline distT="0" distB="0" distL="0" distR="0">
                      <wp:extent cx="2413000" cy="304800"/>
                      <wp:effectExtent l="0" t="0" r="0" b="0"/>
                      <wp:docPr id="1" name="[out]4773.png" descr="[out]4773.png"/>
                      <wp:cNvGraphicFramePr/>
                      <a:graphic xmlns:a="http://schemas.openxmlformats.org/drawingml/2006/main">
                        <a:graphicData uri="http://schemas.openxmlformats.org/drawingml/2006/picture">
                          <pic:pic xmlns:pic="http://schemas.openxmlformats.org/drawingml/2006/picture">
                            <pic:nvPicPr>
                              <pic:cNvPr id="1" name="[out]4773.png"/>
                              <pic:cNvPicPr/>
                            </pic:nvPicPr>
                            <pic:blipFill>
                              <a:blip r:embed="rId1"/>
                              <a:stretch>
                                <a:fillRect/>
                              </a:stretch>
                            </pic:blipFill>
                            <pic:spPr>
                              <a:xfrm>
                                <a:off x="0" y="0"/>
                                <a:ext cx="2413000" cy="304800"/>
                              </a:xfrm>
                              <a:prstGeom prst="rect">
                                <a:avLst/>
                              </a:prstGeom>
                            </pic:spPr>
                          </pic:pic>
                        </a:graphicData>
                      </a:graphic>
                    </wp:inline>
                  </w:drawing>
                </w:r>
              </w:p>
            </w:tc>
          </w:tr>
        </w:tbl>
        <w:p w:rsidR="00EE08D2" w:rsidRDefault="00EE08D2">
          <w:pPr>
            <w:pStyle w:val="sZapati"/>
            <w:rPr>
              <w:sz w:val="12"/>
              <w:szCs w:val="12"/>
            </w:rPr>
          </w:pPr>
        </w:p>
      </w:tc>
      <w:tc>
        <w:tcPr>
          <w:tcW w:w="1134" w:type="dxa"/>
          <w:vMerge w:val="restart"/>
        </w:tcPr>
        <w:p w:rsidR="00EE08D2" w:rsidRDefault="00494667">
          <w:pPr>
            <w:pStyle w:val="sZapati"/>
            <w:rPr>
              <w:sz w:val="14"/>
              <w:szCs w:val="14"/>
            </w:rPr>
          </w:pPr>
          <w:r>
            <w:rPr>
              <w:sz w:val="14"/>
              <w:szCs w:val="14"/>
            </w:rPr>
            <w:fldChar w:fldCharType="begin"/>
          </w:r>
          <w:r>
            <w:rPr>
              <w:sz w:val="14"/>
              <w:szCs w:val="14"/>
            </w:rPr>
            <w:instrText>PAGE</w:instrText>
          </w:r>
          <w:r>
            <w:rPr>
              <w:sz w:val="14"/>
              <w:szCs w:val="14"/>
            </w:rPr>
            <w:fldChar w:fldCharType="separate"/>
          </w:r>
          <w:r w:rsidR="005E6850">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5E6850">
            <w:rPr>
              <w:noProof/>
              <w:sz w:val="14"/>
              <w:szCs w:val="14"/>
            </w:rPr>
            <w:t>13</w:t>
          </w:r>
          <w:r>
            <w:rPr>
              <w:sz w:val="14"/>
              <w:szCs w:val="14"/>
            </w:rPr>
            <w:fldChar w:fldCharType="end"/>
          </w:r>
        </w:p>
      </w:tc>
      <w:tc>
        <w:tcPr>
          <w:tcW w:w="4535" w:type="dxa"/>
          <w:vMerge w:val="restart"/>
        </w:tcPr>
        <w:p w:rsidR="00EE08D2" w:rsidRDefault="00494667">
          <w:pPr>
            <w:pStyle w:val="sZapati"/>
            <w:jc w:val="right"/>
            <w:rPr>
              <w:sz w:val="14"/>
              <w:szCs w:val="14"/>
            </w:rPr>
          </w:pPr>
          <w:r>
            <w:rPr>
              <w:sz w:val="14"/>
              <w:szCs w:val="14"/>
            </w:rPr>
            <w:t>CZ_SDA_017_100_105_c</w:t>
          </w:r>
        </w:p>
      </w:tc>
    </w:tr>
    <w:tr w:rsidR="00EE08D2">
      <w:trPr>
        <w:trHeight w:val="83"/>
        <w:jc w:val="center"/>
      </w:trPr>
      <w:tc>
        <w:tcPr>
          <w:tcW w:w="4535" w:type="dxa"/>
        </w:tcPr>
        <w:p w:rsidR="00EE08D2" w:rsidRDefault="00494667">
          <w:pPr>
            <w:pStyle w:val="sZapati"/>
            <w:rPr>
              <w:sz w:val="12"/>
              <w:szCs w:val="12"/>
            </w:rPr>
          </w:pPr>
          <w:r>
            <w:rPr>
              <w:sz w:val="12"/>
              <w:szCs w:val="12"/>
            </w:rPr>
            <w:t>FCZ0118783</w:t>
          </w:r>
        </w:p>
      </w:tc>
      <w:tc>
        <w:tcPr>
          <w:tcW w:w="1134" w:type="dxa"/>
          <w:vMerge/>
        </w:tcPr>
        <w:p w:rsidR="00EE08D2" w:rsidRDefault="00EE08D2"/>
      </w:tc>
      <w:tc>
        <w:tcPr>
          <w:tcW w:w="4535" w:type="dxa"/>
          <w:vMerge/>
        </w:tcPr>
        <w:p w:rsidR="00EE08D2" w:rsidRDefault="00EE08D2"/>
      </w:tc>
    </w:tr>
  </w:tbl>
  <w:p w:rsidR="00EE08D2" w:rsidRDefault="00EE08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A1C" w:rsidRDefault="002C7A1C">
      <w:r>
        <w:separator/>
      </w:r>
    </w:p>
  </w:footnote>
  <w:footnote w:type="continuationSeparator" w:id="0">
    <w:p w:rsidR="002C7A1C" w:rsidRDefault="002C7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D2" w:rsidRDefault="002C7A1C">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29" o:spid="_x0000_s3074" type="#_x0000_t136" style="position:absolute;margin-left:0;margin-top:0;width:596.8pt;height:42.6pt;rotation:315;z-index:-251655168;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D2" w:rsidRDefault="002C7A1C">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30" o:spid="_x0000_s3075" type="#_x0000_t136" style="position:absolute;margin-left:0;margin-top:0;width:596.8pt;height:42.6pt;rotation:315;z-index:-251653120;visibility:hidden;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D2" w:rsidRDefault="002C7A1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28" o:spid="_x0000_s3073" type="#_x0000_t136" style="position:absolute;margin-left:0;margin-top:0;width:596.8pt;height:42.6pt;rotation:315;z-index:-251657216;visibility:hidden;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AC0"/>
    <w:multiLevelType w:val="singleLevel"/>
    <w:tmpl w:val="E08C167A"/>
    <w:lvl w:ilvl="0">
      <w:start w:val="1"/>
      <w:numFmt w:val="lowerLetter"/>
      <w:lvlText w:val="%1)"/>
      <w:lvlJc w:val="left"/>
      <w:pPr>
        <w:tabs>
          <w:tab w:val="num" w:pos="720"/>
        </w:tabs>
        <w:ind w:left="720" w:hanging="360"/>
      </w:pPr>
      <w:rPr>
        <w:rFonts w:hint="default"/>
      </w:rPr>
    </w:lvl>
  </w:abstractNum>
  <w:abstractNum w:abstractNumId="1">
    <w:nsid w:val="086C4885"/>
    <w:multiLevelType w:val="hybridMultilevel"/>
    <w:tmpl w:val="A58C83E0"/>
    <w:lvl w:ilvl="0" w:tplc="167A9DB4">
      <w:start w:val="1"/>
      <w:numFmt w:val="none"/>
      <w:lvlText w:val="- "/>
      <w:lvlJc w:val="left"/>
      <w:pPr>
        <w:tabs>
          <w:tab w:val="num" w:pos="720"/>
        </w:tabs>
        <w:ind w:left="720" w:hanging="360"/>
      </w:pPr>
      <w:rPr>
        <w:rFonts w:hint="default"/>
      </w:rPr>
    </w:lvl>
    <w:lvl w:ilvl="1" w:tplc="76AC254E">
      <w:start w:val="1"/>
      <w:numFmt w:val="lowerLetter"/>
      <w:lvlText w:val="%2."/>
      <w:lvlJc w:val="left"/>
      <w:pPr>
        <w:tabs>
          <w:tab w:val="num" w:pos="1440"/>
        </w:tabs>
        <w:ind w:left="1440" w:hanging="360"/>
      </w:pPr>
    </w:lvl>
    <w:lvl w:ilvl="2" w:tplc="996E90A2">
      <w:start w:val="1"/>
      <w:numFmt w:val="lowerRoman"/>
      <w:lvlText w:val="%3."/>
      <w:lvlJc w:val="right"/>
      <w:pPr>
        <w:tabs>
          <w:tab w:val="num" w:pos="2160"/>
        </w:tabs>
        <w:ind w:left="2160" w:hanging="180"/>
      </w:pPr>
    </w:lvl>
    <w:lvl w:ilvl="3" w:tplc="348C41CE">
      <w:start w:val="1"/>
      <w:numFmt w:val="decimal"/>
      <w:lvlText w:val="%4."/>
      <w:lvlJc w:val="left"/>
      <w:pPr>
        <w:tabs>
          <w:tab w:val="num" w:pos="2880"/>
        </w:tabs>
        <w:ind w:left="2880" w:hanging="360"/>
      </w:pPr>
    </w:lvl>
    <w:lvl w:ilvl="4" w:tplc="DAAED9E8">
      <w:start w:val="1"/>
      <w:numFmt w:val="lowerLetter"/>
      <w:lvlText w:val="%5."/>
      <w:lvlJc w:val="left"/>
      <w:pPr>
        <w:tabs>
          <w:tab w:val="num" w:pos="3600"/>
        </w:tabs>
        <w:ind w:left="3600" w:hanging="360"/>
      </w:pPr>
    </w:lvl>
    <w:lvl w:ilvl="5" w:tplc="5908F10C">
      <w:start w:val="1"/>
      <w:numFmt w:val="lowerRoman"/>
      <w:lvlText w:val="%6."/>
      <w:lvlJc w:val="right"/>
      <w:pPr>
        <w:tabs>
          <w:tab w:val="num" w:pos="4320"/>
        </w:tabs>
        <w:ind w:left="4320" w:hanging="180"/>
      </w:pPr>
    </w:lvl>
    <w:lvl w:ilvl="6" w:tplc="E7F2C0AE">
      <w:start w:val="1"/>
      <w:numFmt w:val="decimal"/>
      <w:lvlText w:val="%7."/>
      <w:lvlJc w:val="left"/>
      <w:pPr>
        <w:tabs>
          <w:tab w:val="num" w:pos="5040"/>
        </w:tabs>
        <w:ind w:left="5040" w:hanging="360"/>
      </w:pPr>
    </w:lvl>
    <w:lvl w:ilvl="7" w:tplc="5A20E8D2">
      <w:start w:val="1"/>
      <w:numFmt w:val="lowerLetter"/>
      <w:lvlText w:val="%8."/>
      <w:lvlJc w:val="left"/>
      <w:pPr>
        <w:tabs>
          <w:tab w:val="num" w:pos="5760"/>
        </w:tabs>
        <w:ind w:left="5760" w:hanging="360"/>
      </w:pPr>
    </w:lvl>
    <w:lvl w:ilvl="8" w:tplc="5434BF8C">
      <w:start w:val="1"/>
      <w:numFmt w:val="lowerRoman"/>
      <w:lvlText w:val="%9."/>
      <w:lvlJc w:val="right"/>
      <w:pPr>
        <w:tabs>
          <w:tab w:val="num" w:pos="6480"/>
        </w:tabs>
        <w:ind w:left="6480" w:hanging="180"/>
      </w:pPr>
    </w:lvl>
  </w:abstractNum>
  <w:abstractNum w:abstractNumId="2">
    <w:nsid w:val="13747274"/>
    <w:multiLevelType w:val="hybridMultilevel"/>
    <w:tmpl w:val="BC58EAA0"/>
    <w:lvl w:ilvl="0" w:tplc="F00C85F2">
      <w:start w:val="1"/>
      <w:numFmt w:val="decimal"/>
      <w:lvlText w:val="2.%1"/>
      <w:lvlJc w:val="left"/>
      <w:pPr>
        <w:tabs>
          <w:tab w:val="left" w:pos="708"/>
        </w:tabs>
        <w:ind w:left="1080" w:hanging="360"/>
      </w:pPr>
      <w:rPr>
        <w:rFonts w:ascii="Arial" w:hAnsi="Arial" w:cs="Arial" w:hint="default"/>
        <w:color w:val="000000"/>
      </w:rPr>
    </w:lvl>
    <w:lvl w:ilvl="1" w:tplc="F5F8F3C8">
      <w:start w:val="1"/>
      <w:numFmt w:val="lowerLetter"/>
      <w:lvlText w:val="%2."/>
      <w:lvlJc w:val="left"/>
      <w:pPr>
        <w:tabs>
          <w:tab w:val="left" w:pos="708"/>
        </w:tabs>
        <w:ind w:left="1800" w:hanging="360"/>
      </w:pPr>
    </w:lvl>
    <w:lvl w:ilvl="2" w:tplc="EC202EE0">
      <w:start w:val="1"/>
      <w:numFmt w:val="lowerRoman"/>
      <w:lvlText w:val="%3."/>
      <w:lvlJc w:val="right"/>
      <w:pPr>
        <w:tabs>
          <w:tab w:val="left" w:pos="708"/>
        </w:tabs>
        <w:ind w:left="2520" w:hanging="180"/>
      </w:pPr>
    </w:lvl>
    <w:lvl w:ilvl="3" w:tplc="CB2AA230">
      <w:start w:val="1"/>
      <w:numFmt w:val="decimal"/>
      <w:lvlText w:val="%4."/>
      <w:lvlJc w:val="left"/>
      <w:pPr>
        <w:tabs>
          <w:tab w:val="left" w:pos="708"/>
        </w:tabs>
        <w:ind w:left="3240" w:hanging="360"/>
      </w:pPr>
    </w:lvl>
    <w:lvl w:ilvl="4" w:tplc="BD68C482">
      <w:start w:val="1"/>
      <w:numFmt w:val="lowerLetter"/>
      <w:lvlText w:val="%5."/>
      <w:lvlJc w:val="left"/>
      <w:pPr>
        <w:tabs>
          <w:tab w:val="left" w:pos="708"/>
        </w:tabs>
        <w:ind w:left="3960" w:hanging="360"/>
      </w:pPr>
    </w:lvl>
    <w:lvl w:ilvl="5" w:tplc="51F21CBA">
      <w:start w:val="1"/>
      <w:numFmt w:val="lowerRoman"/>
      <w:lvlText w:val="%6."/>
      <w:lvlJc w:val="right"/>
      <w:pPr>
        <w:tabs>
          <w:tab w:val="left" w:pos="708"/>
        </w:tabs>
        <w:ind w:left="4680" w:hanging="180"/>
      </w:pPr>
    </w:lvl>
    <w:lvl w:ilvl="6" w:tplc="86120848">
      <w:start w:val="1"/>
      <w:numFmt w:val="decimal"/>
      <w:lvlText w:val="%7."/>
      <w:lvlJc w:val="left"/>
      <w:pPr>
        <w:tabs>
          <w:tab w:val="left" w:pos="708"/>
        </w:tabs>
        <w:ind w:left="5400" w:hanging="360"/>
      </w:pPr>
    </w:lvl>
    <w:lvl w:ilvl="7" w:tplc="1F4CFD10">
      <w:start w:val="1"/>
      <w:numFmt w:val="lowerLetter"/>
      <w:lvlText w:val="%8."/>
      <w:lvlJc w:val="left"/>
      <w:pPr>
        <w:tabs>
          <w:tab w:val="left" w:pos="708"/>
        </w:tabs>
        <w:ind w:left="6120" w:hanging="360"/>
      </w:pPr>
    </w:lvl>
    <w:lvl w:ilvl="8" w:tplc="0B04EB48">
      <w:start w:val="1"/>
      <w:numFmt w:val="lowerRoman"/>
      <w:lvlText w:val="%9."/>
      <w:lvlJc w:val="right"/>
      <w:pPr>
        <w:tabs>
          <w:tab w:val="left" w:pos="708"/>
        </w:tabs>
        <w:ind w:left="6840" w:hanging="180"/>
      </w:pPr>
    </w:lvl>
  </w:abstractNum>
  <w:abstractNum w:abstractNumId="3">
    <w:nsid w:val="1B47340E"/>
    <w:multiLevelType w:val="singleLevel"/>
    <w:tmpl w:val="78221286"/>
    <w:lvl w:ilvl="0">
      <w:start w:val="1"/>
      <w:numFmt w:val="decimal"/>
      <w:lvlText w:val="4.%1"/>
      <w:lvlJc w:val="left"/>
      <w:pPr>
        <w:tabs>
          <w:tab w:val="num" w:pos="360"/>
        </w:tabs>
        <w:ind w:left="360" w:hanging="360"/>
      </w:pPr>
      <w:rPr>
        <w:rFonts w:hint="default"/>
      </w:rPr>
    </w:lvl>
  </w:abstractNum>
  <w:abstractNum w:abstractNumId="4">
    <w:nsid w:val="1E990138"/>
    <w:multiLevelType w:val="multilevel"/>
    <w:tmpl w:val="639024D0"/>
    <w:lvl w:ilvl="0">
      <w:start w:val="1"/>
      <w:numFmt w:val="decimal"/>
      <w:pStyle w:val="sNadpis2"/>
      <w:lvlText w:val="%1."/>
      <w:lvlJc w:val="left"/>
      <w:pPr>
        <w:tabs>
          <w:tab w:val="left" w:pos="708"/>
        </w:tabs>
        <w:ind w:left="360" w:hanging="360"/>
      </w:pPr>
      <w:rPr>
        <w:rFonts w:hint="default"/>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sz w:val="18"/>
        <w:szCs w:val="18"/>
        <w:u w:val="none"/>
        <w:vertAlign w:val="baseline"/>
      </w:rPr>
    </w:lvl>
    <w:lvl w:ilvl="2">
      <w:start w:val="1"/>
      <w:numFmt w:val="lowerLetter"/>
      <w:pStyle w:val="sOdstavec2"/>
      <w:suff w:val="space"/>
      <w:lvlText w:val="%3)"/>
      <w:lvlJc w:val="left"/>
      <w:pPr>
        <w:tabs>
          <w:tab w:val="left" w:pos="708"/>
        </w:tabs>
        <w:ind w:left="964" w:hanging="244"/>
      </w:pPr>
      <w:rPr>
        <w:rFonts w:hint="default"/>
      </w:rPr>
    </w:lvl>
    <w:lvl w:ilvl="3">
      <w:start w:val="1"/>
      <w:numFmt w:val="decimal"/>
      <w:lvlText w:val="%1.%2.%3.%4."/>
      <w:lvlJc w:val="left"/>
      <w:pPr>
        <w:tabs>
          <w:tab w:val="left" w:pos="708"/>
        </w:tabs>
        <w:ind w:left="1728" w:hanging="648"/>
      </w:pPr>
      <w:rPr>
        <w:rFonts w:hint="default"/>
      </w:rPr>
    </w:lvl>
    <w:lvl w:ilvl="4">
      <w:start w:val="1"/>
      <w:numFmt w:val="decimal"/>
      <w:lvlText w:val="%1.%2.%3.%4.%5."/>
      <w:lvlJc w:val="left"/>
      <w:pPr>
        <w:tabs>
          <w:tab w:val="left" w:pos="708"/>
        </w:tabs>
        <w:ind w:left="2232" w:hanging="792"/>
      </w:pPr>
      <w:rPr>
        <w:rFonts w:hint="default"/>
      </w:rPr>
    </w:lvl>
    <w:lvl w:ilvl="5">
      <w:start w:val="1"/>
      <w:numFmt w:val="decimal"/>
      <w:lvlText w:val="%1.%2.%3.%4.%5.%6."/>
      <w:lvlJc w:val="left"/>
      <w:pPr>
        <w:tabs>
          <w:tab w:val="left" w:pos="708"/>
        </w:tabs>
        <w:ind w:left="2736" w:hanging="936"/>
      </w:pPr>
      <w:rPr>
        <w:rFonts w:hint="default"/>
      </w:rPr>
    </w:lvl>
    <w:lvl w:ilvl="6">
      <w:start w:val="1"/>
      <w:numFmt w:val="decimal"/>
      <w:lvlText w:val="%1.%2.%3.%4.%5.%6.%7."/>
      <w:lvlJc w:val="left"/>
      <w:pPr>
        <w:tabs>
          <w:tab w:val="left" w:pos="708"/>
        </w:tabs>
        <w:ind w:left="3240" w:hanging="1080"/>
      </w:pPr>
      <w:rPr>
        <w:rFonts w:hint="default"/>
      </w:rPr>
    </w:lvl>
    <w:lvl w:ilvl="7">
      <w:start w:val="1"/>
      <w:numFmt w:val="decimal"/>
      <w:lvlText w:val="%1.%2.%3.%4.%5.%6.%7.%8."/>
      <w:lvlJc w:val="left"/>
      <w:pPr>
        <w:tabs>
          <w:tab w:val="left" w:pos="708"/>
        </w:tabs>
        <w:ind w:left="3744" w:hanging="1224"/>
      </w:pPr>
      <w:rPr>
        <w:rFonts w:hint="default"/>
      </w:rPr>
    </w:lvl>
    <w:lvl w:ilvl="8">
      <w:start w:val="1"/>
      <w:numFmt w:val="decimal"/>
      <w:lvlText w:val="%1.%2.%3.%4.%5.%6.%7.%8.%9."/>
      <w:lvlJc w:val="left"/>
      <w:pPr>
        <w:tabs>
          <w:tab w:val="left" w:pos="708"/>
        </w:tabs>
        <w:ind w:left="4320" w:hanging="1440"/>
      </w:pPr>
      <w:rPr>
        <w:rFonts w:hint="default"/>
      </w:rPr>
    </w:lvl>
  </w:abstractNum>
  <w:abstractNum w:abstractNumId="5">
    <w:nsid w:val="2006327C"/>
    <w:multiLevelType w:val="hybridMultilevel"/>
    <w:tmpl w:val="919A23FA"/>
    <w:lvl w:ilvl="0" w:tplc="D3B446E8">
      <w:start w:val="1"/>
      <w:numFmt w:val="none"/>
      <w:pStyle w:val="sOdstavec4"/>
      <w:suff w:val="space"/>
      <w:lvlText w:val="-"/>
      <w:lvlJc w:val="left"/>
      <w:pPr>
        <w:tabs>
          <w:tab w:val="left" w:pos="708"/>
        </w:tabs>
        <w:ind w:left="964" w:hanging="113"/>
      </w:pPr>
      <w:rPr>
        <w:rFonts w:hint="default"/>
      </w:rPr>
    </w:lvl>
    <w:lvl w:ilvl="1" w:tplc="A0127CBE">
      <w:start w:val="1"/>
      <w:numFmt w:val="lowerLetter"/>
      <w:lvlText w:val="%2."/>
      <w:lvlJc w:val="left"/>
      <w:pPr>
        <w:tabs>
          <w:tab w:val="left" w:pos="708"/>
        </w:tabs>
        <w:ind w:left="1440" w:hanging="360"/>
      </w:pPr>
    </w:lvl>
    <w:lvl w:ilvl="2" w:tplc="199849A8">
      <w:start w:val="1"/>
      <w:numFmt w:val="lowerRoman"/>
      <w:lvlText w:val="%3."/>
      <w:lvlJc w:val="right"/>
      <w:pPr>
        <w:tabs>
          <w:tab w:val="left" w:pos="708"/>
        </w:tabs>
        <w:ind w:left="2160" w:hanging="180"/>
      </w:pPr>
    </w:lvl>
    <w:lvl w:ilvl="3" w:tplc="0F14CFA2">
      <w:start w:val="1"/>
      <w:numFmt w:val="decimal"/>
      <w:lvlText w:val="%4."/>
      <w:lvlJc w:val="left"/>
      <w:pPr>
        <w:tabs>
          <w:tab w:val="left" w:pos="708"/>
        </w:tabs>
        <w:ind w:left="2880" w:hanging="360"/>
      </w:pPr>
    </w:lvl>
    <w:lvl w:ilvl="4" w:tplc="1138E02A">
      <w:start w:val="1"/>
      <w:numFmt w:val="lowerLetter"/>
      <w:lvlText w:val="%5."/>
      <w:lvlJc w:val="left"/>
      <w:pPr>
        <w:tabs>
          <w:tab w:val="left" w:pos="708"/>
        </w:tabs>
        <w:ind w:left="3600" w:hanging="360"/>
      </w:pPr>
    </w:lvl>
    <w:lvl w:ilvl="5" w:tplc="6AAE1614">
      <w:start w:val="1"/>
      <w:numFmt w:val="lowerRoman"/>
      <w:lvlText w:val="%6."/>
      <w:lvlJc w:val="right"/>
      <w:pPr>
        <w:tabs>
          <w:tab w:val="left" w:pos="708"/>
        </w:tabs>
        <w:ind w:left="4320" w:hanging="180"/>
      </w:pPr>
    </w:lvl>
    <w:lvl w:ilvl="6" w:tplc="458A1622">
      <w:start w:val="1"/>
      <w:numFmt w:val="decimal"/>
      <w:lvlText w:val="%7."/>
      <w:lvlJc w:val="left"/>
      <w:pPr>
        <w:tabs>
          <w:tab w:val="left" w:pos="708"/>
        </w:tabs>
        <w:ind w:left="5040" w:hanging="360"/>
      </w:pPr>
    </w:lvl>
    <w:lvl w:ilvl="7" w:tplc="8C54E2E4">
      <w:start w:val="1"/>
      <w:numFmt w:val="lowerLetter"/>
      <w:lvlText w:val="%8."/>
      <w:lvlJc w:val="left"/>
      <w:pPr>
        <w:tabs>
          <w:tab w:val="left" w:pos="708"/>
        </w:tabs>
        <w:ind w:left="5760" w:hanging="360"/>
      </w:pPr>
    </w:lvl>
    <w:lvl w:ilvl="8" w:tplc="C2FA8A1C">
      <w:start w:val="1"/>
      <w:numFmt w:val="lowerRoman"/>
      <w:lvlText w:val="%9."/>
      <w:lvlJc w:val="right"/>
      <w:pPr>
        <w:tabs>
          <w:tab w:val="left" w:pos="708"/>
        </w:tabs>
        <w:ind w:left="6480" w:hanging="180"/>
      </w:pPr>
    </w:lvl>
  </w:abstractNum>
  <w:abstractNum w:abstractNumId="6">
    <w:nsid w:val="22294231"/>
    <w:multiLevelType w:val="singleLevel"/>
    <w:tmpl w:val="815E909C"/>
    <w:lvl w:ilvl="0">
      <w:start w:val="1"/>
      <w:numFmt w:val="decimal"/>
      <w:lvlText w:val="6.%1"/>
      <w:lvlJc w:val="left"/>
      <w:pPr>
        <w:tabs>
          <w:tab w:val="num" w:pos="360"/>
        </w:tabs>
        <w:ind w:left="360" w:hanging="360"/>
      </w:pPr>
      <w:rPr>
        <w:rFonts w:hint="default"/>
      </w:rPr>
    </w:lvl>
  </w:abstractNum>
  <w:abstractNum w:abstractNumId="7">
    <w:nsid w:val="250B4647"/>
    <w:multiLevelType w:val="hybridMultilevel"/>
    <w:tmpl w:val="71FAF6A6"/>
    <w:lvl w:ilvl="0" w:tplc="DA0A5718">
      <w:start w:val="1"/>
      <w:numFmt w:val="lowerLetter"/>
      <w:lvlText w:val="%1)"/>
      <w:lvlJc w:val="left"/>
      <w:pPr>
        <w:tabs>
          <w:tab w:val="left" w:pos="708"/>
        </w:tabs>
        <w:ind w:left="1287" w:hanging="360"/>
      </w:pPr>
      <w:rPr>
        <w:rFonts w:hint="default"/>
      </w:rPr>
    </w:lvl>
    <w:lvl w:ilvl="1" w:tplc="88D0FFAA">
      <w:start w:val="1"/>
      <w:numFmt w:val="lowerLetter"/>
      <w:lvlText w:val="%2."/>
      <w:lvlJc w:val="left"/>
      <w:pPr>
        <w:tabs>
          <w:tab w:val="left" w:pos="708"/>
        </w:tabs>
        <w:ind w:left="1440" w:hanging="360"/>
      </w:pPr>
    </w:lvl>
    <w:lvl w:ilvl="2" w:tplc="BC50BB74">
      <w:start w:val="1"/>
      <w:numFmt w:val="lowerRoman"/>
      <w:lvlText w:val="%3."/>
      <w:lvlJc w:val="right"/>
      <w:pPr>
        <w:tabs>
          <w:tab w:val="left" w:pos="708"/>
        </w:tabs>
        <w:ind w:left="2160" w:hanging="180"/>
      </w:pPr>
    </w:lvl>
    <w:lvl w:ilvl="3" w:tplc="FC0046DA">
      <w:start w:val="1"/>
      <w:numFmt w:val="decimal"/>
      <w:lvlText w:val="%4."/>
      <w:lvlJc w:val="left"/>
      <w:pPr>
        <w:tabs>
          <w:tab w:val="left" w:pos="708"/>
        </w:tabs>
        <w:ind w:left="2880" w:hanging="360"/>
      </w:pPr>
    </w:lvl>
    <w:lvl w:ilvl="4" w:tplc="75C693C0">
      <w:start w:val="1"/>
      <w:numFmt w:val="lowerLetter"/>
      <w:lvlText w:val="%5."/>
      <w:lvlJc w:val="left"/>
      <w:pPr>
        <w:tabs>
          <w:tab w:val="left" w:pos="708"/>
        </w:tabs>
        <w:ind w:left="3600" w:hanging="360"/>
      </w:pPr>
    </w:lvl>
    <w:lvl w:ilvl="5" w:tplc="D5268ADE">
      <w:start w:val="1"/>
      <w:numFmt w:val="lowerRoman"/>
      <w:lvlText w:val="%6."/>
      <w:lvlJc w:val="right"/>
      <w:pPr>
        <w:tabs>
          <w:tab w:val="left" w:pos="708"/>
        </w:tabs>
        <w:ind w:left="4320" w:hanging="180"/>
      </w:pPr>
    </w:lvl>
    <w:lvl w:ilvl="6" w:tplc="EEA4918C">
      <w:start w:val="1"/>
      <w:numFmt w:val="decimal"/>
      <w:lvlText w:val="%7."/>
      <w:lvlJc w:val="left"/>
      <w:pPr>
        <w:tabs>
          <w:tab w:val="left" w:pos="708"/>
        </w:tabs>
        <w:ind w:left="5040" w:hanging="360"/>
      </w:pPr>
    </w:lvl>
    <w:lvl w:ilvl="7" w:tplc="221AC24E">
      <w:start w:val="1"/>
      <w:numFmt w:val="lowerLetter"/>
      <w:lvlText w:val="%8."/>
      <w:lvlJc w:val="left"/>
      <w:pPr>
        <w:tabs>
          <w:tab w:val="left" w:pos="708"/>
        </w:tabs>
        <w:ind w:left="5760" w:hanging="360"/>
      </w:pPr>
    </w:lvl>
    <w:lvl w:ilvl="8" w:tplc="C0B46F78">
      <w:start w:val="1"/>
      <w:numFmt w:val="lowerRoman"/>
      <w:lvlText w:val="%9."/>
      <w:lvlJc w:val="right"/>
      <w:pPr>
        <w:tabs>
          <w:tab w:val="left" w:pos="708"/>
        </w:tabs>
        <w:ind w:left="6480" w:hanging="180"/>
      </w:pPr>
    </w:lvl>
  </w:abstractNum>
  <w:abstractNum w:abstractNumId="8">
    <w:nsid w:val="29845E50"/>
    <w:multiLevelType w:val="multilevel"/>
    <w:tmpl w:val="0C16FCF2"/>
    <w:lvl w:ilvl="0">
      <w:start w:val="1"/>
      <w:numFmt w:val="decimal"/>
      <w:lvlText w:val="%1."/>
      <w:lvlJc w:val="left"/>
      <w:pPr>
        <w:tabs>
          <w:tab w:val="left" w:pos="720"/>
        </w:tabs>
        <w:ind w:left="360" w:hanging="360"/>
      </w:pPr>
      <w:rPr>
        <w:rFonts w:hint="default"/>
      </w:rPr>
    </w:lvl>
    <w:lvl w:ilvl="1">
      <w:start w:val="1"/>
      <w:numFmt w:val="decimal"/>
      <w:lvlText w:val="%1.%2"/>
      <w:lvlJc w:val="left"/>
      <w:pPr>
        <w:tabs>
          <w:tab w:val="num" w:pos="2836"/>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9">
    <w:nsid w:val="2E5D6D67"/>
    <w:multiLevelType w:val="singleLevel"/>
    <w:tmpl w:val="34983A32"/>
    <w:lvl w:ilvl="0">
      <w:start w:val="1"/>
      <w:numFmt w:val="decimal"/>
      <w:lvlText w:val="8.%1"/>
      <w:lvlJc w:val="left"/>
      <w:pPr>
        <w:tabs>
          <w:tab w:val="num" w:pos="360"/>
        </w:tabs>
        <w:ind w:left="360" w:hanging="360"/>
      </w:pPr>
      <w:rPr>
        <w:rFonts w:hint="default"/>
      </w:rPr>
    </w:lvl>
  </w:abstractNum>
  <w:abstractNum w:abstractNumId="10">
    <w:nsid w:val="458D6289"/>
    <w:multiLevelType w:val="hybridMultilevel"/>
    <w:tmpl w:val="9216C74E"/>
    <w:lvl w:ilvl="0" w:tplc="E2BE236A">
      <w:start w:val="3"/>
      <w:numFmt w:val="decimal"/>
      <w:lvlText w:val="2.%1"/>
      <w:lvlJc w:val="left"/>
      <w:pPr>
        <w:tabs>
          <w:tab w:val="num" w:pos="340"/>
        </w:tabs>
        <w:ind w:left="340" w:hanging="340"/>
      </w:pPr>
      <w:rPr>
        <w:rFonts w:hint="default"/>
      </w:rPr>
    </w:lvl>
    <w:lvl w:ilvl="1" w:tplc="01CEADE0">
      <w:start w:val="1"/>
      <w:numFmt w:val="lowerLetter"/>
      <w:lvlText w:val="%2."/>
      <w:lvlJc w:val="left"/>
      <w:pPr>
        <w:tabs>
          <w:tab w:val="num" w:pos="1440"/>
        </w:tabs>
        <w:ind w:left="1440" w:hanging="360"/>
      </w:pPr>
    </w:lvl>
    <w:lvl w:ilvl="2" w:tplc="FFF2A394">
      <w:start w:val="1"/>
      <w:numFmt w:val="lowerRoman"/>
      <w:lvlText w:val="%3."/>
      <w:lvlJc w:val="right"/>
      <w:pPr>
        <w:tabs>
          <w:tab w:val="num" w:pos="2160"/>
        </w:tabs>
        <w:ind w:left="2160" w:hanging="180"/>
      </w:pPr>
    </w:lvl>
    <w:lvl w:ilvl="3" w:tplc="F8489C14">
      <w:start w:val="1"/>
      <w:numFmt w:val="decimal"/>
      <w:lvlText w:val="%4."/>
      <w:lvlJc w:val="left"/>
      <w:pPr>
        <w:tabs>
          <w:tab w:val="num" w:pos="2880"/>
        </w:tabs>
        <w:ind w:left="2880" w:hanging="360"/>
      </w:pPr>
    </w:lvl>
    <w:lvl w:ilvl="4" w:tplc="3B3CDC38">
      <w:start w:val="1"/>
      <w:numFmt w:val="lowerLetter"/>
      <w:lvlText w:val="%5."/>
      <w:lvlJc w:val="left"/>
      <w:pPr>
        <w:tabs>
          <w:tab w:val="num" w:pos="3600"/>
        </w:tabs>
        <w:ind w:left="3600" w:hanging="360"/>
      </w:pPr>
    </w:lvl>
    <w:lvl w:ilvl="5" w:tplc="E2708EFC">
      <w:start w:val="1"/>
      <w:numFmt w:val="lowerRoman"/>
      <w:lvlText w:val="%6."/>
      <w:lvlJc w:val="right"/>
      <w:pPr>
        <w:tabs>
          <w:tab w:val="num" w:pos="4320"/>
        </w:tabs>
        <w:ind w:left="4320" w:hanging="180"/>
      </w:pPr>
    </w:lvl>
    <w:lvl w:ilvl="6" w:tplc="E4C0389C">
      <w:start w:val="1"/>
      <w:numFmt w:val="decimal"/>
      <w:lvlText w:val="%7."/>
      <w:lvlJc w:val="left"/>
      <w:pPr>
        <w:tabs>
          <w:tab w:val="num" w:pos="5040"/>
        </w:tabs>
        <w:ind w:left="5040" w:hanging="360"/>
      </w:pPr>
    </w:lvl>
    <w:lvl w:ilvl="7" w:tplc="277C36A8">
      <w:start w:val="1"/>
      <w:numFmt w:val="lowerLetter"/>
      <w:lvlText w:val="%8."/>
      <w:lvlJc w:val="left"/>
      <w:pPr>
        <w:tabs>
          <w:tab w:val="num" w:pos="5760"/>
        </w:tabs>
        <w:ind w:left="5760" w:hanging="360"/>
      </w:pPr>
    </w:lvl>
    <w:lvl w:ilvl="8" w:tplc="33E438B0">
      <w:start w:val="1"/>
      <w:numFmt w:val="lowerRoman"/>
      <w:lvlText w:val="%9."/>
      <w:lvlJc w:val="right"/>
      <w:pPr>
        <w:tabs>
          <w:tab w:val="num" w:pos="6480"/>
        </w:tabs>
        <w:ind w:left="6480" w:hanging="180"/>
      </w:pPr>
    </w:lvl>
  </w:abstractNum>
  <w:abstractNum w:abstractNumId="11">
    <w:nsid w:val="4E6412D2"/>
    <w:multiLevelType w:val="hybridMultilevel"/>
    <w:tmpl w:val="AEB28966"/>
    <w:lvl w:ilvl="0" w:tplc="E9EA3CF0">
      <w:start w:val="1"/>
      <w:numFmt w:val="decimal"/>
      <w:lvlText w:val="1.%1"/>
      <w:lvlJc w:val="left"/>
      <w:pPr>
        <w:tabs>
          <w:tab w:val="num" w:pos="360"/>
        </w:tabs>
        <w:ind w:left="360" w:hanging="360"/>
      </w:pPr>
      <w:rPr>
        <w:rFonts w:hint="default"/>
      </w:rPr>
    </w:lvl>
    <w:lvl w:ilvl="1" w:tplc="24B47C2E">
      <w:start w:val="1"/>
      <w:numFmt w:val="lowerLetter"/>
      <w:lvlText w:val="%2."/>
      <w:lvlJc w:val="left"/>
      <w:pPr>
        <w:tabs>
          <w:tab w:val="num" w:pos="1440"/>
        </w:tabs>
        <w:ind w:left="1440" w:hanging="360"/>
      </w:pPr>
    </w:lvl>
    <w:lvl w:ilvl="2" w:tplc="5EF09894">
      <w:start w:val="1"/>
      <w:numFmt w:val="lowerRoman"/>
      <w:lvlText w:val="%3."/>
      <w:lvlJc w:val="right"/>
      <w:pPr>
        <w:tabs>
          <w:tab w:val="num" w:pos="2160"/>
        </w:tabs>
        <w:ind w:left="2160" w:hanging="180"/>
      </w:pPr>
    </w:lvl>
    <w:lvl w:ilvl="3" w:tplc="E8DE1B38">
      <w:start w:val="1"/>
      <w:numFmt w:val="decimal"/>
      <w:lvlText w:val="%4."/>
      <w:lvlJc w:val="left"/>
      <w:pPr>
        <w:tabs>
          <w:tab w:val="num" w:pos="2880"/>
        </w:tabs>
        <w:ind w:left="2880" w:hanging="360"/>
      </w:pPr>
    </w:lvl>
    <w:lvl w:ilvl="4" w:tplc="8CF2CA7C">
      <w:start w:val="1"/>
      <w:numFmt w:val="lowerLetter"/>
      <w:lvlText w:val="%5."/>
      <w:lvlJc w:val="left"/>
      <w:pPr>
        <w:tabs>
          <w:tab w:val="num" w:pos="3600"/>
        </w:tabs>
        <w:ind w:left="3600" w:hanging="360"/>
      </w:pPr>
    </w:lvl>
    <w:lvl w:ilvl="5" w:tplc="7F3CB706">
      <w:start w:val="1"/>
      <w:numFmt w:val="lowerRoman"/>
      <w:lvlText w:val="%6."/>
      <w:lvlJc w:val="right"/>
      <w:pPr>
        <w:tabs>
          <w:tab w:val="num" w:pos="4320"/>
        </w:tabs>
        <w:ind w:left="4320" w:hanging="180"/>
      </w:pPr>
    </w:lvl>
    <w:lvl w:ilvl="6" w:tplc="F0DA770E">
      <w:start w:val="1"/>
      <w:numFmt w:val="decimal"/>
      <w:lvlText w:val="%7."/>
      <w:lvlJc w:val="left"/>
      <w:pPr>
        <w:tabs>
          <w:tab w:val="num" w:pos="5040"/>
        </w:tabs>
        <w:ind w:left="5040" w:hanging="360"/>
      </w:pPr>
    </w:lvl>
    <w:lvl w:ilvl="7" w:tplc="ECF2A38C">
      <w:start w:val="1"/>
      <w:numFmt w:val="lowerLetter"/>
      <w:lvlText w:val="%8."/>
      <w:lvlJc w:val="left"/>
      <w:pPr>
        <w:tabs>
          <w:tab w:val="num" w:pos="5760"/>
        </w:tabs>
        <w:ind w:left="5760" w:hanging="360"/>
      </w:pPr>
    </w:lvl>
    <w:lvl w:ilvl="8" w:tplc="A88EEBCA">
      <w:start w:val="1"/>
      <w:numFmt w:val="lowerRoman"/>
      <w:lvlText w:val="%9."/>
      <w:lvlJc w:val="right"/>
      <w:pPr>
        <w:tabs>
          <w:tab w:val="num" w:pos="6480"/>
        </w:tabs>
        <w:ind w:left="6480" w:hanging="180"/>
      </w:pPr>
    </w:lvl>
  </w:abstractNum>
  <w:abstractNum w:abstractNumId="12">
    <w:nsid w:val="4E9D27DC"/>
    <w:multiLevelType w:val="singleLevel"/>
    <w:tmpl w:val="8490F5FE"/>
    <w:lvl w:ilvl="0">
      <w:start w:val="1"/>
      <w:numFmt w:val="decimal"/>
      <w:lvlText w:val="2.%1"/>
      <w:lvlJc w:val="left"/>
      <w:pPr>
        <w:tabs>
          <w:tab w:val="left" w:pos="708"/>
        </w:tabs>
        <w:ind w:left="360" w:hanging="360"/>
      </w:pPr>
      <w:rPr>
        <w:rFonts w:hint="default"/>
      </w:rPr>
    </w:lvl>
  </w:abstractNum>
  <w:abstractNum w:abstractNumId="13">
    <w:nsid w:val="6453218B"/>
    <w:multiLevelType w:val="hybridMultilevel"/>
    <w:tmpl w:val="2D0A4632"/>
    <w:lvl w:ilvl="0" w:tplc="58448EFE">
      <w:start w:val="1"/>
      <w:numFmt w:val="decimal"/>
      <w:lvlText w:val="9.%1"/>
      <w:lvlJc w:val="left"/>
      <w:pPr>
        <w:tabs>
          <w:tab w:val="num" w:pos="340"/>
        </w:tabs>
        <w:ind w:left="340" w:hanging="340"/>
      </w:pPr>
      <w:rPr>
        <w:rFonts w:hint="default"/>
      </w:rPr>
    </w:lvl>
    <w:lvl w:ilvl="1" w:tplc="3BB84D58">
      <w:start w:val="1"/>
      <w:numFmt w:val="lowerLetter"/>
      <w:lvlText w:val="%2."/>
      <w:lvlJc w:val="left"/>
      <w:pPr>
        <w:tabs>
          <w:tab w:val="num" w:pos="1440"/>
        </w:tabs>
        <w:ind w:left="1440" w:hanging="360"/>
      </w:pPr>
    </w:lvl>
    <w:lvl w:ilvl="2" w:tplc="82544568">
      <w:start w:val="1"/>
      <w:numFmt w:val="lowerRoman"/>
      <w:lvlText w:val="%3."/>
      <w:lvlJc w:val="right"/>
      <w:pPr>
        <w:tabs>
          <w:tab w:val="num" w:pos="2160"/>
        </w:tabs>
        <w:ind w:left="2160" w:hanging="180"/>
      </w:pPr>
    </w:lvl>
    <w:lvl w:ilvl="3" w:tplc="2294E1F8">
      <w:start w:val="1"/>
      <w:numFmt w:val="decimal"/>
      <w:lvlText w:val="%4."/>
      <w:lvlJc w:val="left"/>
      <w:pPr>
        <w:tabs>
          <w:tab w:val="num" w:pos="2880"/>
        </w:tabs>
        <w:ind w:left="2880" w:hanging="360"/>
      </w:pPr>
    </w:lvl>
    <w:lvl w:ilvl="4" w:tplc="6F64CD7E">
      <w:start w:val="1"/>
      <w:numFmt w:val="lowerLetter"/>
      <w:lvlText w:val="%5."/>
      <w:lvlJc w:val="left"/>
      <w:pPr>
        <w:tabs>
          <w:tab w:val="num" w:pos="3600"/>
        </w:tabs>
        <w:ind w:left="3600" w:hanging="360"/>
      </w:pPr>
    </w:lvl>
    <w:lvl w:ilvl="5" w:tplc="FDDA1D30">
      <w:start w:val="1"/>
      <w:numFmt w:val="lowerRoman"/>
      <w:lvlText w:val="%6."/>
      <w:lvlJc w:val="right"/>
      <w:pPr>
        <w:tabs>
          <w:tab w:val="num" w:pos="4320"/>
        </w:tabs>
        <w:ind w:left="4320" w:hanging="180"/>
      </w:pPr>
    </w:lvl>
    <w:lvl w:ilvl="6" w:tplc="3A88C74C">
      <w:start w:val="1"/>
      <w:numFmt w:val="decimal"/>
      <w:lvlText w:val="%7."/>
      <w:lvlJc w:val="left"/>
      <w:pPr>
        <w:tabs>
          <w:tab w:val="num" w:pos="5040"/>
        </w:tabs>
        <w:ind w:left="5040" w:hanging="360"/>
      </w:pPr>
    </w:lvl>
    <w:lvl w:ilvl="7" w:tplc="21669B08">
      <w:start w:val="1"/>
      <w:numFmt w:val="lowerLetter"/>
      <w:lvlText w:val="%8."/>
      <w:lvlJc w:val="left"/>
      <w:pPr>
        <w:tabs>
          <w:tab w:val="num" w:pos="5760"/>
        </w:tabs>
        <w:ind w:left="5760" w:hanging="360"/>
      </w:pPr>
    </w:lvl>
    <w:lvl w:ilvl="8" w:tplc="FC06FAB0">
      <w:start w:val="1"/>
      <w:numFmt w:val="lowerRoman"/>
      <w:lvlText w:val="%9."/>
      <w:lvlJc w:val="right"/>
      <w:pPr>
        <w:tabs>
          <w:tab w:val="num" w:pos="6480"/>
        </w:tabs>
        <w:ind w:left="6480" w:hanging="180"/>
      </w:pPr>
    </w:lvl>
  </w:abstractNum>
  <w:abstractNum w:abstractNumId="14">
    <w:nsid w:val="68706B51"/>
    <w:multiLevelType w:val="hybridMultilevel"/>
    <w:tmpl w:val="2CD0A560"/>
    <w:lvl w:ilvl="0" w:tplc="7C94A2CA">
      <w:start w:val="1"/>
      <w:numFmt w:val="decimal"/>
      <w:lvlText w:val="8.%1"/>
      <w:lvlJc w:val="left"/>
      <w:pPr>
        <w:tabs>
          <w:tab w:val="num" w:pos="0"/>
        </w:tabs>
        <w:ind w:left="454" w:firstLine="1020"/>
      </w:pPr>
      <w:rPr>
        <w:rFonts w:hint="default"/>
      </w:rPr>
    </w:lvl>
    <w:lvl w:ilvl="1" w:tplc="C4CEC176">
      <w:start w:val="1"/>
      <w:numFmt w:val="lowerLetter"/>
      <w:lvlText w:val="%2."/>
      <w:lvlJc w:val="left"/>
      <w:pPr>
        <w:tabs>
          <w:tab w:val="num" w:pos="1440"/>
        </w:tabs>
        <w:ind w:left="1440" w:hanging="360"/>
      </w:pPr>
    </w:lvl>
    <w:lvl w:ilvl="2" w:tplc="672EB828">
      <w:start w:val="1"/>
      <w:numFmt w:val="lowerRoman"/>
      <w:lvlText w:val="%3."/>
      <w:lvlJc w:val="right"/>
      <w:pPr>
        <w:tabs>
          <w:tab w:val="num" w:pos="2160"/>
        </w:tabs>
        <w:ind w:left="2160" w:hanging="180"/>
      </w:pPr>
    </w:lvl>
    <w:lvl w:ilvl="3" w:tplc="5FF21D9C">
      <w:start w:val="1"/>
      <w:numFmt w:val="decimal"/>
      <w:lvlText w:val="%4."/>
      <w:lvlJc w:val="left"/>
      <w:pPr>
        <w:tabs>
          <w:tab w:val="num" w:pos="2880"/>
        </w:tabs>
        <w:ind w:left="2880" w:hanging="360"/>
      </w:pPr>
    </w:lvl>
    <w:lvl w:ilvl="4" w:tplc="45680FCE">
      <w:start w:val="1"/>
      <w:numFmt w:val="lowerLetter"/>
      <w:lvlText w:val="%5."/>
      <w:lvlJc w:val="left"/>
      <w:pPr>
        <w:tabs>
          <w:tab w:val="num" w:pos="3600"/>
        </w:tabs>
        <w:ind w:left="3600" w:hanging="360"/>
      </w:pPr>
    </w:lvl>
    <w:lvl w:ilvl="5" w:tplc="BF64D4F0">
      <w:start w:val="1"/>
      <w:numFmt w:val="lowerRoman"/>
      <w:lvlText w:val="%6."/>
      <w:lvlJc w:val="right"/>
      <w:pPr>
        <w:tabs>
          <w:tab w:val="num" w:pos="4320"/>
        </w:tabs>
        <w:ind w:left="4320" w:hanging="180"/>
      </w:pPr>
    </w:lvl>
    <w:lvl w:ilvl="6" w:tplc="8CEA7E12">
      <w:start w:val="1"/>
      <w:numFmt w:val="decimal"/>
      <w:lvlText w:val="%7."/>
      <w:lvlJc w:val="left"/>
      <w:pPr>
        <w:tabs>
          <w:tab w:val="num" w:pos="5040"/>
        </w:tabs>
        <w:ind w:left="5040" w:hanging="360"/>
      </w:pPr>
    </w:lvl>
    <w:lvl w:ilvl="7" w:tplc="F8F09FA8">
      <w:start w:val="1"/>
      <w:numFmt w:val="lowerLetter"/>
      <w:lvlText w:val="%8."/>
      <w:lvlJc w:val="left"/>
      <w:pPr>
        <w:tabs>
          <w:tab w:val="num" w:pos="5760"/>
        </w:tabs>
        <w:ind w:left="5760" w:hanging="360"/>
      </w:pPr>
    </w:lvl>
    <w:lvl w:ilvl="8" w:tplc="720A71A4">
      <w:start w:val="1"/>
      <w:numFmt w:val="lowerRoman"/>
      <w:lvlText w:val="%9."/>
      <w:lvlJc w:val="right"/>
      <w:pPr>
        <w:tabs>
          <w:tab w:val="num" w:pos="6480"/>
        </w:tabs>
        <w:ind w:left="6480" w:hanging="180"/>
      </w:pPr>
    </w:lvl>
  </w:abstractNum>
  <w:abstractNum w:abstractNumId="15">
    <w:nsid w:val="694C66BB"/>
    <w:multiLevelType w:val="hybridMultilevel"/>
    <w:tmpl w:val="9EA4934C"/>
    <w:lvl w:ilvl="0" w:tplc="463E2C68">
      <w:start w:val="1"/>
      <w:numFmt w:val="decimal"/>
      <w:lvlText w:val="3.%1"/>
      <w:lvlJc w:val="left"/>
      <w:pPr>
        <w:tabs>
          <w:tab w:val="num" w:pos="360"/>
        </w:tabs>
        <w:ind w:left="360" w:hanging="360"/>
      </w:pPr>
      <w:rPr>
        <w:rFonts w:hint="default"/>
      </w:rPr>
    </w:lvl>
    <w:lvl w:ilvl="1" w:tplc="15500048">
      <w:start w:val="1"/>
      <w:numFmt w:val="lowerLetter"/>
      <w:lvlText w:val="%2."/>
      <w:lvlJc w:val="left"/>
      <w:pPr>
        <w:tabs>
          <w:tab w:val="num" w:pos="1440"/>
        </w:tabs>
        <w:ind w:left="1440" w:hanging="360"/>
      </w:pPr>
    </w:lvl>
    <w:lvl w:ilvl="2" w:tplc="15CCBA5A">
      <w:start w:val="1"/>
      <w:numFmt w:val="lowerRoman"/>
      <w:lvlText w:val="%3."/>
      <w:lvlJc w:val="right"/>
      <w:pPr>
        <w:tabs>
          <w:tab w:val="num" w:pos="2160"/>
        </w:tabs>
        <w:ind w:left="2160" w:hanging="180"/>
      </w:pPr>
    </w:lvl>
    <w:lvl w:ilvl="3" w:tplc="8F16D008">
      <w:start w:val="1"/>
      <w:numFmt w:val="decimal"/>
      <w:lvlText w:val="%4."/>
      <w:lvlJc w:val="left"/>
      <w:pPr>
        <w:tabs>
          <w:tab w:val="num" w:pos="2880"/>
        </w:tabs>
        <w:ind w:left="2880" w:hanging="360"/>
      </w:pPr>
    </w:lvl>
    <w:lvl w:ilvl="4" w:tplc="56764D2A">
      <w:start w:val="1"/>
      <w:numFmt w:val="lowerLetter"/>
      <w:lvlText w:val="%5."/>
      <w:lvlJc w:val="left"/>
      <w:pPr>
        <w:tabs>
          <w:tab w:val="num" w:pos="3600"/>
        </w:tabs>
        <w:ind w:left="3600" w:hanging="360"/>
      </w:pPr>
    </w:lvl>
    <w:lvl w:ilvl="5" w:tplc="CB7E2858">
      <w:start w:val="1"/>
      <w:numFmt w:val="lowerRoman"/>
      <w:lvlText w:val="%6."/>
      <w:lvlJc w:val="right"/>
      <w:pPr>
        <w:tabs>
          <w:tab w:val="num" w:pos="4320"/>
        </w:tabs>
        <w:ind w:left="4320" w:hanging="180"/>
      </w:pPr>
    </w:lvl>
    <w:lvl w:ilvl="6" w:tplc="2CE241BC">
      <w:start w:val="1"/>
      <w:numFmt w:val="decimal"/>
      <w:lvlText w:val="%7."/>
      <w:lvlJc w:val="left"/>
      <w:pPr>
        <w:tabs>
          <w:tab w:val="num" w:pos="5040"/>
        </w:tabs>
        <w:ind w:left="5040" w:hanging="360"/>
      </w:pPr>
    </w:lvl>
    <w:lvl w:ilvl="7" w:tplc="38A68C4C">
      <w:start w:val="1"/>
      <w:numFmt w:val="lowerLetter"/>
      <w:lvlText w:val="%8."/>
      <w:lvlJc w:val="left"/>
      <w:pPr>
        <w:tabs>
          <w:tab w:val="num" w:pos="5760"/>
        </w:tabs>
        <w:ind w:left="5760" w:hanging="360"/>
      </w:pPr>
    </w:lvl>
    <w:lvl w:ilvl="8" w:tplc="B6AA23AC">
      <w:start w:val="1"/>
      <w:numFmt w:val="lowerRoman"/>
      <w:lvlText w:val="%9."/>
      <w:lvlJc w:val="right"/>
      <w:pPr>
        <w:tabs>
          <w:tab w:val="num" w:pos="6480"/>
        </w:tabs>
        <w:ind w:left="6480" w:hanging="180"/>
      </w:pPr>
    </w:lvl>
  </w:abstractNum>
  <w:abstractNum w:abstractNumId="16">
    <w:nsid w:val="69716015"/>
    <w:multiLevelType w:val="singleLevel"/>
    <w:tmpl w:val="E17277A6"/>
    <w:lvl w:ilvl="0">
      <w:start w:val="1"/>
      <w:numFmt w:val="decimal"/>
      <w:lvlText w:val="10.%1"/>
      <w:lvlJc w:val="left"/>
      <w:pPr>
        <w:tabs>
          <w:tab w:val="num" w:pos="360"/>
        </w:tabs>
        <w:ind w:left="360" w:hanging="360"/>
      </w:pPr>
      <w:rPr>
        <w:rFonts w:hint="default"/>
      </w:rPr>
    </w:lvl>
  </w:abstractNum>
  <w:abstractNum w:abstractNumId="17">
    <w:nsid w:val="6D400F92"/>
    <w:multiLevelType w:val="hybridMultilevel"/>
    <w:tmpl w:val="A6908916"/>
    <w:lvl w:ilvl="0" w:tplc="83609BC4">
      <w:start w:val="1"/>
      <w:numFmt w:val="decimal"/>
      <w:lvlText w:val="%1."/>
      <w:lvlJc w:val="left"/>
      <w:pPr>
        <w:tabs>
          <w:tab w:val="left" w:pos="708"/>
        </w:tabs>
        <w:ind w:left="720" w:hanging="360"/>
      </w:pPr>
    </w:lvl>
    <w:lvl w:ilvl="1" w:tplc="3B06A67C">
      <w:start w:val="1"/>
      <w:numFmt w:val="lowerLetter"/>
      <w:lvlText w:val="%2."/>
      <w:lvlJc w:val="left"/>
      <w:pPr>
        <w:tabs>
          <w:tab w:val="left" w:pos="708"/>
        </w:tabs>
        <w:ind w:left="1440" w:hanging="360"/>
      </w:pPr>
    </w:lvl>
    <w:lvl w:ilvl="2" w:tplc="7F0211AC">
      <w:start w:val="1"/>
      <w:numFmt w:val="lowerRoman"/>
      <w:lvlText w:val="%3."/>
      <w:lvlJc w:val="right"/>
      <w:pPr>
        <w:tabs>
          <w:tab w:val="left" w:pos="708"/>
        </w:tabs>
        <w:ind w:left="2160" w:hanging="180"/>
      </w:pPr>
    </w:lvl>
    <w:lvl w:ilvl="3" w:tplc="3F70404C">
      <w:start w:val="1"/>
      <w:numFmt w:val="decimal"/>
      <w:lvlText w:val="%4."/>
      <w:lvlJc w:val="left"/>
      <w:pPr>
        <w:tabs>
          <w:tab w:val="left" w:pos="708"/>
        </w:tabs>
        <w:ind w:left="2880" w:hanging="360"/>
      </w:pPr>
    </w:lvl>
    <w:lvl w:ilvl="4" w:tplc="ED1CE5D8">
      <w:start w:val="1"/>
      <w:numFmt w:val="lowerLetter"/>
      <w:lvlText w:val="%5."/>
      <w:lvlJc w:val="left"/>
      <w:pPr>
        <w:tabs>
          <w:tab w:val="left" w:pos="708"/>
        </w:tabs>
        <w:ind w:left="3600" w:hanging="360"/>
      </w:pPr>
    </w:lvl>
    <w:lvl w:ilvl="5" w:tplc="51E2CB8A">
      <w:start w:val="1"/>
      <w:numFmt w:val="lowerRoman"/>
      <w:lvlText w:val="%6."/>
      <w:lvlJc w:val="right"/>
      <w:pPr>
        <w:tabs>
          <w:tab w:val="left" w:pos="708"/>
        </w:tabs>
        <w:ind w:left="4320" w:hanging="180"/>
      </w:pPr>
    </w:lvl>
    <w:lvl w:ilvl="6" w:tplc="E1C03472">
      <w:start w:val="1"/>
      <w:numFmt w:val="decimal"/>
      <w:lvlText w:val="%7."/>
      <w:lvlJc w:val="left"/>
      <w:pPr>
        <w:tabs>
          <w:tab w:val="left" w:pos="708"/>
        </w:tabs>
        <w:ind w:left="5040" w:hanging="360"/>
      </w:pPr>
    </w:lvl>
    <w:lvl w:ilvl="7" w:tplc="45FE9978">
      <w:start w:val="1"/>
      <w:numFmt w:val="lowerLetter"/>
      <w:lvlText w:val="%8."/>
      <w:lvlJc w:val="left"/>
      <w:pPr>
        <w:tabs>
          <w:tab w:val="left" w:pos="708"/>
        </w:tabs>
        <w:ind w:left="5760" w:hanging="360"/>
      </w:pPr>
    </w:lvl>
    <w:lvl w:ilvl="8" w:tplc="0E9E08CE">
      <w:start w:val="1"/>
      <w:numFmt w:val="lowerRoman"/>
      <w:lvlText w:val="%9."/>
      <w:lvlJc w:val="right"/>
      <w:pPr>
        <w:tabs>
          <w:tab w:val="left" w:pos="708"/>
        </w:tabs>
        <w:ind w:left="6480" w:hanging="180"/>
      </w:pPr>
    </w:lvl>
  </w:abstractNum>
  <w:abstractNum w:abstractNumId="18">
    <w:nsid w:val="6D51021B"/>
    <w:multiLevelType w:val="singleLevel"/>
    <w:tmpl w:val="0809000F"/>
    <w:lvl w:ilvl="0">
      <w:start w:val="1"/>
      <w:numFmt w:val="decimal"/>
      <w:lvlText w:val="%1."/>
      <w:lvlJc w:val="left"/>
      <w:pPr>
        <w:tabs>
          <w:tab w:val="num" w:pos="360"/>
        </w:tabs>
        <w:ind w:left="360" w:hanging="360"/>
      </w:pPr>
      <w:rPr>
        <w:rFonts w:hint="default"/>
      </w:rPr>
    </w:lvl>
  </w:abstractNum>
  <w:abstractNum w:abstractNumId="19">
    <w:nsid w:val="730B4BD9"/>
    <w:multiLevelType w:val="hybridMultilevel"/>
    <w:tmpl w:val="440E207C"/>
    <w:lvl w:ilvl="0" w:tplc="933497F6">
      <w:start w:val="3"/>
      <w:numFmt w:val="decimal"/>
      <w:lvlText w:val="8.%1"/>
      <w:lvlJc w:val="left"/>
      <w:pPr>
        <w:tabs>
          <w:tab w:val="num" w:pos="340"/>
        </w:tabs>
        <w:ind w:left="340" w:hanging="340"/>
      </w:pPr>
      <w:rPr>
        <w:rFonts w:hint="default"/>
      </w:rPr>
    </w:lvl>
    <w:lvl w:ilvl="1" w:tplc="40B024D4">
      <w:start w:val="1"/>
      <w:numFmt w:val="lowerLetter"/>
      <w:lvlText w:val="%2)"/>
      <w:lvlJc w:val="left"/>
      <w:pPr>
        <w:tabs>
          <w:tab w:val="num" w:pos="1440"/>
        </w:tabs>
        <w:ind w:left="1440" w:hanging="360"/>
      </w:pPr>
      <w:rPr>
        <w:rFonts w:hint="default"/>
      </w:rPr>
    </w:lvl>
    <w:lvl w:ilvl="2" w:tplc="32D8F9BE">
      <w:start w:val="1"/>
      <w:numFmt w:val="lowerRoman"/>
      <w:lvlText w:val="%3."/>
      <w:lvlJc w:val="right"/>
      <w:pPr>
        <w:tabs>
          <w:tab w:val="num" w:pos="2160"/>
        </w:tabs>
        <w:ind w:left="2160" w:hanging="180"/>
      </w:pPr>
    </w:lvl>
    <w:lvl w:ilvl="3" w:tplc="75128E56">
      <w:start w:val="1"/>
      <w:numFmt w:val="decimal"/>
      <w:lvlText w:val="%4."/>
      <w:lvlJc w:val="left"/>
      <w:pPr>
        <w:tabs>
          <w:tab w:val="num" w:pos="2880"/>
        </w:tabs>
        <w:ind w:left="2880" w:hanging="360"/>
      </w:pPr>
    </w:lvl>
    <w:lvl w:ilvl="4" w:tplc="0F406348">
      <w:start w:val="1"/>
      <w:numFmt w:val="lowerLetter"/>
      <w:lvlText w:val="%5."/>
      <w:lvlJc w:val="left"/>
      <w:pPr>
        <w:tabs>
          <w:tab w:val="num" w:pos="3600"/>
        </w:tabs>
        <w:ind w:left="3600" w:hanging="360"/>
      </w:pPr>
    </w:lvl>
    <w:lvl w:ilvl="5" w:tplc="4E381564">
      <w:start w:val="1"/>
      <w:numFmt w:val="lowerRoman"/>
      <w:lvlText w:val="%6."/>
      <w:lvlJc w:val="right"/>
      <w:pPr>
        <w:tabs>
          <w:tab w:val="num" w:pos="4320"/>
        </w:tabs>
        <w:ind w:left="4320" w:hanging="180"/>
      </w:pPr>
    </w:lvl>
    <w:lvl w:ilvl="6" w:tplc="DB5044DA">
      <w:start w:val="1"/>
      <w:numFmt w:val="decimal"/>
      <w:lvlText w:val="%7."/>
      <w:lvlJc w:val="left"/>
      <w:pPr>
        <w:tabs>
          <w:tab w:val="num" w:pos="5040"/>
        </w:tabs>
        <w:ind w:left="5040" w:hanging="360"/>
      </w:pPr>
    </w:lvl>
    <w:lvl w:ilvl="7" w:tplc="F69E9F68">
      <w:start w:val="1"/>
      <w:numFmt w:val="lowerLetter"/>
      <w:lvlText w:val="%8."/>
      <w:lvlJc w:val="left"/>
      <w:pPr>
        <w:tabs>
          <w:tab w:val="num" w:pos="5760"/>
        </w:tabs>
        <w:ind w:left="5760" w:hanging="360"/>
      </w:pPr>
    </w:lvl>
    <w:lvl w:ilvl="8" w:tplc="0400EE56">
      <w:start w:val="1"/>
      <w:numFmt w:val="lowerRoman"/>
      <w:lvlText w:val="%9."/>
      <w:lvlJc w:val="right"/>
      <w:pPr>
        <w:tabs>
          <w:tab w:val="num" w:pos="6480"/>
        </w:tabs>
        <w:ind w:left="6480" w:hanging="180"/>
      </w:pPr>
    </w:lvl>
  </w:abstractNum>
  <w:abstractNum w:abstractNumId="20">
    <w:nsid w:val="75022FEE"/>
    <w:multiLevelType w:val="singleLevel"/>
    <w:tmpl w:val="51021BE8"/>
    <w:lvl w:ilvl="0">
      <w:start w:val="1"/>
      <w:numFmt w:val="decimal"/>
      <w:lvlText w:val="5.%1"/>
      <w:lvlJc w:val="left"/>
      <w:pPr>
        <w:tabs>
          <w:tab w:val="num" w:pos="360"/>
        </w:tabs>
        <w:ind w:left="360" w:hanging="360"/>
      </w:pPr>
      <w:rPr>
        <w:rFonts w:hint="default"/>
      </w:rPr>
    </w:lvl>
  </w:abstractNum>
  <w:abstractNum w:abstractNumId="21">
    <w:nsid w:val="756741CF"/>
    <w:multiLevelType w:val="hybridMultilevel"/>
    <w:tmpl w:val="F55EBA58"/>
    <w:lvl w:ilvl="0" w:tplc="8B667214">
      <w:start w:val="1"/>
      <w:numFmt w:val="decimal"/>
      <w:lvlText w:val="7.%1"/>
      <w:lvlJc w:val="left"/>
      <w:pPr>
        <w:tabs>
          <w:tab w:val="num" w:pos="340"/>
        </w:tabs>
        <w:ind w:left="340" w:hanging="340"/>
      </w:pPr>
      <w:rPr>
        <w:rFonts w:hint="default"/>
      </w:rPr>
    </w:lvl>
    <w:lvl w:ilvl="1" w:tplc="F1748AB6">
      <w:start w:val="1"/>
      <w:numFmt w:val="lowerLetter"/>
      <w:lvlText w:val="%2."/>
      <w:lvlJc w:val="left"/>
      <w:pPr>
        <w:tabs>
          <w:tab w:val="num" w:pos="1440"/>
        </w:tabs>
        <w:ind w:left="1440" w:hanging="360"/>
      </w:pPr>
    </w:lvl>
    <w:lvl w:ilvl="2" w:tplc="01C09418">
      <w:start w:val="1"/>
      <w:numFmt w:val="lowerRoman"/>
      <w:lvlText w:val="%3."/>
      <w:lvlJc w:val="right"/>
      <w:pPr>
        <w:tabs>
          <w:tab w:val="num" w:pos="2160"/>
        </w:tabs>
        <w:ind w:left="2160" w:hanging="180"/>
      </w:pPr>
    </w:lvl>
    <w:lvl w:ilvl="3" w:tplc="C0D42CAE">
      <w:start w:val="1"/>
      <w:numFmt w:val="decimal"/>
      <w:lvlText w:val="%4."/>
      <w:lvlJc w:val="left"/>
      <w:pPr>
        <w:tabs>
          <w:tab w:val="num" w:pos="2880"/>
        </w:tabs>
        <w:ind w:left="2880" w:hanging="360"/>
      </w:pPr>
    </w:lvl>
    <w:lvl w:ilvl="4" w:tplc="8F760810">
      <w:start w:val="1"/>
      <w:numFmt w:val="lowerLetter"/>
      <w:lvlText w:val="%5."/>
      <w:lvlJc w:val="left"/>
      <w:pPr>
        <w:tabs>
          <w:tab w:val="num" w:pos="3600"/>
        </w:tabs>
        <w:ind w:left="3600" w:hanging="360"/>
      </w:pPr>
    </w:lvl>
    <w:lvl w:ilvl="5" w:tplc="A9129E2C">
      <w:start w:val="1"/>
      <w:numFmt w:val="lowerRoman"/>
      <w:lvlText w:val="%6."/>
      <w:lvlJc w:val="right"/>
      <w:pPr>
        <w:tabs>
          <w:tab w:val="num" w:pos="4320"/>
        </w:tabs>
        <w:ind w:left="4320" w:hanging="180"/>
      </w:pPr>
    </w:lvl>
    <w:lvl w:ilvl="6" w:tplc="87E4D8B2">
      <w:start w:val="1"/>
      <w:numFmt w:val="decimal"/>
      <w:lvlText w:val="%7."/>
      <w:lvlJc w:val="left"/>
      <w:pPr>
        <w:tabs>
          <w:tab w:val="num" w:pos="5040"/>
        </w:tabs>
        <w:ind w:left="5040" w:hanging="360"/>
      </w:pPr>
    </w:lvl>
    <w:lvl w:ilvl="7" w:tplc="BDACF884">
      <w:start w:val="1"/>
      <w:numFmt w:val="lowerLetter"/>
      <w:lvlText w:val="%8."/>
      <w:lvlJc w:val="left"/>
      <w:pPr>
        <w:tabs>
          <w:tab w:val="num" w:pos="5760"/>
        </w:tabs>
        <w:ind w:left="5760" w:hanging="360"/>
      </w:pPr>
    </w:lvl>
    <w:lvl w:ilvl="8" w:tplc="77A67602">
      <w:start w:val="1"/>
      <w:numFmt w:val="lowerRoman"/>
      <w:lvlText w:val="%9."/>
      <w:lvlJc w:val="right"/>
      <w:pPr>
        <w:tabs>
          <w:tab w:val="num" w:pos="6480"/>
        </w:tabs>
        <w:ind w:left="6480" w:hanging="180"/>
      </w:pPr>
    </w:lvl>
  </w:abstractNum>
  <w:abstractNum w:abstractNumId="22">
    <w:nsid w:val="7A0139AF"/>
    <w:multiLevelType w:val="hybridMultilevel"/>
    <w:tmpl w:val="CA78E116"/>
    <w:lvl w:ilvl="0" w:tplc="E3ACDCFE">
      <w:start w:val="1"/>
      <w:numFmt w:val="decimal"/>
      <w:lvlText w:val="%1."/>
      <w:lvlJc w:val="left"/>
      <w:pPr>
        <w:tabs>
          <w:tab w:val="left" w:pos="708"/>
        </w:tabs>
        <w:ind w:left="720" w:hanging="360"/>
      </w:pPr>
    </w:lvl>
    <w:lvl w:ilvl="1" w:tplc="7D52561A">
      <w:start w:val="1"/>
      <w:numFmt w:val="lowerLetter"/>
      <w:lvlText w:val="%2."/>
      <w:lvlJc w:val="left"/>
      <w:pPr>
        <w:tabs>
          <w:tab w:val="left" w:pos="708"/>
        </w:tabs>
        <w:ind w:left="1440" w:hanging="360"/>
      </w:pPr>
    </w:lvl>
    <w:lvl w:ilvl="2" w:tplc="B4522794">
      <w:start w:val="1"/>
      <w:numFmt w:val="lowerRoman"/>
      <w:lvlText w:val="%3."/>
      <w:lvlJc w:val="right"/>
      <w:pPr>
        <w:tabs>
          <w:tab w:val="left" w:pos="708"/>
        </w:tabs>
        <w:ind w:left="2160" w:hanging="180"/>
      </w:pPr>
    </w:lvl>
    <w:lvl w:ilvl="3" w:tplc="ABAE9D56">
      <w:start w:val="1"/>
      <w:numFmt w:val="decimal"/>
      <w:lvlText w:val="%4."/>
      <w:lvlJc w:val="left"/>
      <w:pPr>
        <w:tabs>
          <w:tab w:val="left" w:pos="708"/>
        </w:tabs>
        <w:ind w:left="2880" w:hanging="360"/>
      </w:pPr>
    </w:lvl>
    <w:lvl w:ilvl="4" w:tplc="87EE5E6E">
      <w:start w:val="1"/>
      <w:numFmt w:val="lowerLetter"/>
      <w:lvlText w:val="%5."/>
      <w:lvlJc w:val="left"/>
      <w:pPr>
        <w:tabs>
          <w:tab w:val="left" w:pos="708"/>
        </w:tabs>
        <w:ind w:left="3600" w:hanging="360"/>
      </w:pPr>
    </w:lvl>
    <w:lvl w:ilvl="5" w:tplc="279862FA">
      <w:start w:val="1"/>
      <w:numFmt w:val="lowerRoman"/>
      <w:lvlText w:val="%6."/>
      <w:lvlJc w:val="right"/>
      <w:pPr>
        <w:tabs>
          <w:tab w:val="left" w:pos="708"/>
        </w:tabs>
        <w:ind w:left="4320" w:hanging="180"/>
      </w:pPr>
    </w:lvl>
    <w:lvl w:ilvl="6" w:tplc="700AABEE">
      <w:start w:val="1"/>
      <w:numFmt w:val="decimal"/>
      <w:lvlText w:val="%7."/>
      <w:lvlJc w:val="left"/>
      <w:pPr>
        <w:tabs>
          <w:tab w:val="left" w:pos="708"/>
        </w:tabs>
        <w:ind w:left="5040" w:hanging="360"/>
      </w:pPr>
    </w:lvl>
    <w:lvl w:ilvl="7" w:tplc="38BE5480">
      <w:start w:val="1"/>
      <w:numFmt w:val="lowerLetter"/>
      <w:lvlText w:val="%8."/>
      <w:lvlJc w:val="left"/>
      <w:pPr>
        <w:tabs>
          <w:tab w:val="left" w:pos="708"/>
        </w:tabs>
        <w:ind w:left="5760" w:hanging="360"/>
      </w:pPr>
    </w:lvl>
    <w:lvl w:ilvl="8" w:tplc="1D582260">
      <w:start w:val="1"/>
      <w:numFmt w:val="lowerRoman"/>
      <w:lvlText w:val="%9."/>
      <w:lvlJc w:val="right"/>
      <w:pPr>
        <w:tabs>
          <w:tab w:val="left" w:pos="708"/>
        </w:tabs>
        <w:ind w:left="6480" w:hanging="180"/>
      </w:pPr>
    </w:lvl>
  </w:abstractNum>
  <w:num w:numId="1">
    <w:abstractNumId w:val="4"/>
  </w:num>
  <w:num w:numId="2">
    <w:abstractNumId w:val="4"/>
  </w:num>
  <w:num w:numId="3">
    <w:abstractNumId w:val="4"/>
  </w:num>
  <w:num w:numId="4">
    <w:abstractNumId w:val="5"/>
  </w:num>
  <w:num w:numId="5">
    <w:abstractNumId w:val="4"/>
  </w:num>
  <w:num w:numId="6">
    <w:abstractNumId w:val="4"/>
  </w:num>
  <w:num w:numId="7">
    <w:abstractNumId w:val="4"/>
  </w:num>
  <w:num w:numId="8">
    <w:abstractNumId w:val="5"/>
  </w:num>
  <w:num w:numId="9">
    <w:abstractNumId w:val="4"/>
  </w:num>
  <w:num w:numId="10">
    <w:abstractNumId w:val="4"/>
  </w:num>
  <w:num w:numId="11">
    <w:abstractNumId w:val="4"/>
  </w:num>
  <w:num w:numId="12">
    <w:abstractNumId w:val="5"/>
  </w:num>
  <w:num w:numId="13">
    <w:abstractNumId w:val="4"/>
  </w:num>
  <w:num w:numId="14">
    <w:abstractNumId w:val="22"/>
  </w:num>
  <w:num w:numId="15">
    <w:abstractNumId w:val="17"/>
  </w:num>
  <w:num w:numId="16">
    <w:abstractNumId w:val="11"/>
  </w:num>
  <w:num w:numId="17">
    <w:abstractNumId w:val="18"/>
  </w:num>
  <w:num w:numId="18">
    <w:abstractNumId w:val="12"/>
  </w:num>
  <w:num w:numId="19">
    <w:abstractNumId w:val="3"/>
  </w:num>
  <w:num w:numId="20">
    <w:abstractNumId w:val="20"/>
  </w:num>
  <w:num w:numId="21">
    <w:abstractNumId w:val="6"/>
  </w:num>
  <w:num w:numId="22">
    <w:abstractNumId w:val="16"/>
  </w:num>
  <w:num w:numId="23">
    <w:abstractNumId w:val="0"/>
  </w:num>
  <w:num w:numId="24">
    <w:abstractNumId w:val="19"/>
  </w:num>
  <w:num w:numId="25">
    <w:abstractNumId w:val="1"/>
  </w:num>
  <w:num w:numId="26">
    <w:abstractNumId w:val="10"/>
  </w:num>
  <w:num w:numId="27">
    <w:abstractNumId w:val="15"/>
  </w:num>
  <w:num w:numId="28">
    <w:abstractNumId w:val="21"/>
  </w:num>
  <w:num w:numId="29">
    <w:abstractNumId w:val="14"/>
  </w:num>
  <w:num w:numId="30">
    <w:abstractNumId w:val="13"/>
  </w:num>
  <w:num w:numId="31">
    <w:abstractNumId w:val="2"/>
  </w:num>
  <w:num w:numId="32">
    <w:abstractNumId w:val="9"/>
  </w:num>
  <w:num w:numId="33">
    <w:abstractNumId w:val="8"/>
  </w:num>
  <w:num w:numId="34">
    <w:abstractNumId w:val="4"/>
  </w:num>
  <w:num w:numId="35">
    <w:abstractNumId w:val="7"/>
  </w:num>
  <w:num w:numId="36">
    <w:abstractNumId w:val="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tfT6ckBkDqHCuGTznkJfld6/1XCkLRdZYqRdiwCeDWRTWZiSZWf2VOtyFD7i4bdxd4+z4Fs5ssCAyRaEx7jNPQ==" w:salt="B+RxDgd2FkWXliznpV2uGw=="/>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D2"/>
    <w:rsid w:val="000B57FC"/>
    <w:rsid w:val="002C7A1C"/>
    <w:rsid w:val="00494667"/>
    <w:rsid w:val="00546195"/>
    <w:rsid w:val="005E6850"/>
    <w:rsid w:val="00EE0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link w:val="Nadpis1Char"/>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Nadpis">
    <w:name w:val="sNadpis"/>
    <w:basedOn w:val="Nzev"/>
    <w:link w:val="sNadpisChar"/>
    <w:pPr>
      <w:contextualSpacing w:val="0"/>
      <w:jc w:val="center"/>
      <w:outlineLvl w:val="0"/>
    </w:pPr>
    <w:rPr>
      <w:rFonts w:ascii="Arial" w:eastAsia="Times New Roman" w:hAnsi="Arial" w:cs="Arial"/>
      <w:b/>
      <w:caps/>
      <w:spacing w:val="5"/>
      <w:sz w:val="20"/>
      <w:szCs w:val="24"/>
    </w:rPr>
  </w:style>
  <w:style w:type="character" w:customStyle="1" w:styleId="sNadpisChar">
    <w:name w:val="sNadpis Char"/>
    <w:link w:val="sNadpis"/>
    <w:rPr>
      <w:rFonts w:ascii="Arial" w:eastAsia="Times New Roman" w:hAnsi="Arial" w:cs="Arial"/>
      <w:b/>
      <w:caps/>
      <w:spacing w:val="5"/>
      <w:kern w:val="28"/>
      <w:sz w:val="20"/>
      <w:szCs w:val="24"/>
      <w:lang w:val="cs-CZ" w:eastAsia="cs-CZ" w:bidi="ar-SA"/>
    </w:rPr>
  </w:style>
  <w:style w:type="paragraph" w:styleId="Nzev">
    <w:name w:val="Title"/>
    <w:basedOn w:val="Normln"/>
    <w:link w:val="NzevChar"/>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rPr>
  </w:style>
  <w:style w:type="paragraph" w:customStyle="1" w:styleId="sNadpis1">
    <w:name w:val="sNadpis1"/>
    <w:basedOn w:val="Normln"/>
    <w:link w:val="sNadpis1Char"/>
    <w:pPr>
      <w:spacing w:after="480"/>
      <w:jc w:val="center"/>
    </w:pPr>
    <w:rPr>
      <w:rFonts w:ascii="Arial" w:hAnsi="Arial" w:cs="Arial"/>
      <w:sz w:val="18"/>
    </w:rPr>
  </w:style>
  <w:style w:type="character" w:customStyle="1" w:styleId="sNadpis1Char">
    <w:name w:val="sNadpis1 Char"/>
    <w:link w:val="sNadpis1"/>
    <w:rPr>
      <w:rFonts w:ascii="Arial" w:eastAsia="Times New Roman" w:hAnsi="Arial" w:cs="Arial"/>
      <w:sz w:val="18"/>
      <w:szCs w:val="20"/>
      <w:lang w:val="cs-CZ" w:eastAsia="cs-CZ" w:bidi="ar-SA"/>
    </w:rPr>
  </w:style>
  <w:style w:type="paragraph" w:customStyle="1" w:styleId="sNadpis2">
    <w:name w:val="sNadpis2"/>
    <w:basedOn w:val="Nadpis1"/>
    <w:link w:val="sNadpis2Char"/>
    <w:pPr>
      <w:keepLines w:val="0"/>
      <w:numPr>
        <w:numId w:val="1"/>
      </w:numPr>
      <w:spacing w:before="0" w:after="240"/>
      <w:jc w:val="center"/>
    </w:pPr>
    <w:rPr>
      <w:rFonts w:ascii="Arial" w:eastAsia="Times New Roman" w:hAnsi="Arial" w:cs="Arial"/>
      <w:b/>
      <w:bCs/>
      <w:iCs/>
      <w:color w:val="auto"/>
      <w:sz w:val="20"/>
      <w:szCs w:val="20"/>
      <w:lang w:val="cs-CZ"/>
    </w:rPr>
  </w:style>
  <w:style w:type="character" w:customStyle="1" w:styleId="sNadpis2Char">
    <w:name w:val="sNadpis2 Char"/>
    <w:link w:val="sNadpis2"/>
    <w:rPr>
      <w:rFonts w:ascii="Arial" w:eastAsia="Times New Roman" w:hAnsi="Arial" w:cs="Arial"/>
      <w:b/>
      <w:bCs/>
      <w:iCs/>
      <w:sz w:val="20"/>
      <w:szCs w:val="20"/>
      <w:lang w:val="cs-CZ" w:eastAsia="cs-CZ" w:bidi="ar-SA"/>
    </w:rPr>
  </w:style>
  <w:style w:type="character" w:customStyle="1" w:styleId="Nadpis1Char">
    <w:name w:val="Nadpis 1 Char"/>
    <w:basedOn w:val="Standardnpsmoodstavce"/>
    <w:link w:val="Nadpis1"/>
    <w:rPr>
      <w:rFonts w:asciiTheme="majorHAnsi" w:eastAsiaTheme="majorEastAsia" w:hAnsiTheme="majorHAnsi" w:cstheme="majorBidi"/>
      <w:color w:val="2E74B5" w:themeColor="accent1" w:themeShade="BF"/>
      <w:sz w:val="32"/>
      <w:szCs w:val="32"/>
    </w:rPr>
  </w:style>
  <w:style w:type="paragraph" w:customStyle="1" w:styleId="sOdstavec">
    <w:name w:val="sOdstavec"/>
    <w:basedOn w:val="Normln"/>
    <w:link w:val="sOdstavecChar"/>
    <w:pPr>
      <w:numPr>
        <w:ilvl w:val="1"/>
        <w:numId w:val="1"/>
      </w:numPr>
      <w:spacing w:after="240"/>
      <w:jc w:val="both"/>
      <w:outlineLvl w:val="1"/>
    </w:pPr>
    <w:rPr>
      <w:rFonts w:ascii="Arial" w:hAnsi="Arial" w:cs="Arial"/>
      <w:color w:val="000000"/>
      <w:sz w:val="18"/>
      <w:szCs w:val="18"/>
    </w:rPr>
  </w:style>
  <w:style w:type="character" w:customStyle="1" w:styleId="sOdstavecChar">
    <w:name w:val="sOdstavec Char"/>
    <w:link w:val="sOdstavec"/>
    <w:rPr>
      <w:rFonts w:ascii="Arial" w:eastAsia="Times New Roman" w:hAnsi="Arial" w:cs="Arial"/>
      <w:color w:val="000000"/>
      <w:sz w:val="18"/>
      <w:szCs w:val="18"/>
      <w:lang w:val="cs-CZ" w:eastAsia="cs-CZ" w:bidi="ar-SA"/>
    </w:rPr>
  </w:style>
  <w:style w:type="paragraph" w:customStyle="1" w:styleId="sOdstavec1">
    <w:name w:val="sOdstavec1"/>
    <w:basedOn w:val="Normln"/>
    <w:link w:val="sOdstavec1Char"/>
    <w:pPr>
      <w:spacing w:after="240"/>
      <w:ind w:left="567"/>
      <w:jc w:val="both"/>
      <w:outlineLvl w:val="1"/>
    </w:pPr>
    <w:rPr>
      <w:rFonts w:ascii="Arial" w:hAnsi="Arial" w:cs="Arial"/>
      <w:bCs/>
      <w:iCs/>
      <w:color w:val="000000"/>
      <w:sz w:val="18"/>
      <w:szCs w:val="18"/>
    </w:rPr>
  </w:style>
  <w:style w:type="character" w:customStyle="1" w:styleId="sOdstavec1Char">
    <w:name w:val="sOdstavec1 Char"/>
    <w:basedOn w:val="Standardnpsmoodstavce"/>
    <w:link w:val="sOdstavec1"/>
    <w:rPr>
      <w:rFonts w:ascii="Arial" w:eastAsia="Times New Roman" w:hAnsi="Arial" w:cs="Arial"/>
      <w:bCs/>
      <w:iCs/>
      <w:color w:val="000000"/>
      <w:sz w:val="18"/>
      <w:szCs w:val="18"/>
      <w:lang w:val="cs-CZ" w:eastAsia="cs-CZ" w:bidi="ar-SA"/>
    </w:rPr>
  </w:style>
  <w:style w:type="paragraph" w:customStyle="1" w:styleId="sOdstavec2">
    <w:name w:val="sOdstavec2"/>
    <w:basedOn w:val="Normln"/>
    <w:link w:val="sOdstavec2Char"/>
    <w:pPr>
      <w:keepNext/>
      <w:numPr>
        <w:ilvl w:val="2"/>
        <w:numId w:val="1"/>
      </w:numPr>
      <w:spacing w:after="240"/>
      <w:outlineLvl w:val="1"/>
    </w:pPr>
    <w:rPr>
      <w:rFonts w:ascii="Arial" w:hAnsi="Arial" w:cs="Arial"/>
      <w:bCs/>
      <w:iCs/>
      <w:color w:val="000000"/>
      <w:sz w:val="18"/>
    </w:rPr>
  </w:style>
  <w:style w:type="character" w:customStyle="1" w:styleId="sOdstavec2Char">
    <w:name w:val="sOdstavec2 Char"/>
    <w:link w:val="sOdstavec2"/>
    <w:rPr>
      <w:rFonts w:ascii="Arial" w:eastAsia="Times New Roman" w:hAnsi="Arial" w:cs="Arial"/>
      <w:bCs/>
      <w:iCs/>
      <w:color w:val="000000"/>
      <w:sz w:val="18"/>
      <w:szCs w:val="20"/>
      <w:lang w:val="cs-CZ" w:eastAsia="cs-CZ" w:bidi="ar-SA"/>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basedOn w:val="sOdstavec2Char"/>
    <w:link w:val="sOdstavec3"/>
    <w:rPr>
      <w:rFonts w:ascii="Arial" w:eastAsia="Times New Roman" w:hAnsi="Arial" w:cs="Arial"/>
      <w:bCs/>
      <w:iCs/>
      <w:color w:val="000000"/>
      <w:sz w:val="18"/>
      <w:szCs w:val="20"/>
      <w:lang w:val="cs-CZ" w:eastAsia="cs-CZ" w:bidi="ar-SA"/>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basedOn w:val="sOdstavecChar"/>
    <w:link w:val="sOdstavec4"/>
    <w:rPr>
      <w:rFonts w:ascii="Arial" w:eastAsia="Times New Roman" w:hAnsi="Arial" w:cs="Arial"/>
      <w:color w:val="000000"/>
      <w:sz w:val="18"/>
      <w:szCs w:val="18"/>
      <w:lang w:val="cs-CZ" w:eastAsia="cs-CZ" w:bidi="ar-SA"/>
    </w:rPr>
  </w:style>
  <w:style w:type="paragraph" w:customStyle="1" w:styleId="sTabbold">
    <w:name w:val="sTab_bold"/>
    <w:basedOn w:val="Normln"/>
    <w:link w:val="sTabboldChar"/>
    <w:pPr>
      <w:keepNext/>
      <w:keepLines/>
    </w:pPr>
    <w:rPr>
      <w:rFonts w:ascii="Arial" w:eastAsia="Calibri" w:hAnsi="Arial" w:cs="Arial"/>
      <w:b/>
      <w:color w:val="000000"/>
      <w:sz w:val="18"/>
    </w:rPr>
  </w:style>
  <w:style w:type="character" w:customStyle="1" w:styleId="sTabboldChar">
    <w:name w:val="sTab_bold Char"/>
    <w:basedOn w:val="sOdstavec1Char"/>
    <w:link w:val="sTabbold"/>
    <w:rPr>
      <w:rFonts w:ascii="Arial" w:eastAsia="Calibri" w:hAnsi="Arial" w:cs="Arial"/>
      <w:b/>
      <w:bCs w:val="0"/>
      <w:iCs w:val="0"/>
      <w:color w:val="000000"/>
      <w:sz w:val="18"/>
      <w:szCs w:val="20"/>
      <w:lang w:val="cs-CZ" w:eastAsia="cs-CZ" w:bidi="ar-SA"/>
    </w:rPr>
  </w:style>
  <w:style w:type="paragraph" w:customStyle="1" w:styleId="sTabnorm">
    <w:name w:val="sTab_norm"/>
    <w:basedOn w:val="Normln"/>
    <w:link w:val="sTabnormChar"/>
    <w:pPr>
      <w:jc w:val="both"/>
    </w:pPr>
    <w:rPr>
      <w:rFonts w:ascii="Arial" w:hAnsi="Arial" w:cs="Arial"/>
      <w:color w:val="000000"/>
      <w:sz w:val="18"/>
    </w:rPr>
  </w:style>
  <w:style w:type="character" w:customStyle="1" w:styleId="sTabnormChar">
    <w:name w:val="sTab_norm Char"/>
    <w:basedOn w:val="sOdstavec1Char"/>
    <w:link w:val="sTabnorm"/>
    <w:rPr>
      <w:rFonts w:ascii="Arial" w:eastAsia="Times New Roman" w:hAnsi="Arial" w:cs="Arial"/>
      <w:bCs w:val="0"/>
      <w:iCs w:val="0"/>
      <w:color w:val="000000"/>
      <w:sz w:val="18"/>
      <w:szCs w:val="20"/>
      <w:lang w:val="cs-CZ" w:eastAsia="cs-CZ" w:bidi="ar-SA"/>
    </w:rPr>
  </w:style>
  <w:style w:type="paragraph" w:customStyle="1" w:styleId="sTextbold">
    <w:name w:val="sText_bold"/>
    <w:basedOn w:val="Normln"/>
    <w:link w:val="sTextboldChar"/>
    <w:pPr>
      <w:jc w:val="both"/>
    </w:pPr>
    <w:rPr>
      <w:rFonts w:ascii="Arial" w:hAnsi="Arial"/>
      <w:b/>
      <w:sz w:val="18"/>
      <w:szCs w:val="18"/>
    </w:rPr>
  </w:style>
  <w:style w:type="character" w:customStyle="1" w:styleId="sTextboldChar">
    <w:name w:val="sText_bold Char"/>
    <w:link w:val="sTextbold"/>
    <w:rPr>
      <w:rFonts w:ascii="Arial" w:eastAsia="Times New Roman" w:hAnsi="Arial" w:cs="Times New Roman"/>
      <w:b/>
      <w:sz w:val="18"/>
      <w:szCs w:val="18"/>
      <w:lang w:val="cs-CZ" w:eastAsia="cs-CZ" w:bidi="ar-SA"/>
    </w:rPr>
  </w:style>
  <w:style w:type="paragraph" w:customStyle="1" w:styleId="sTextnorm">
    <w:name w:val="sText_norm"/>
    <w:basedOn w:val="Normln"/>
    <w:link w:val="sTextnormChar"/>
    <w:pPr>
      <w:spacing w:before="60" w:after="60"/>
      <w:jc w:val="both"/>
      <w:outlineLvl w:val="1"/>
    </w:pPr>
    <w:rPr>
      <w:rFonts w:ascii="Arial" w:hAnsi="Arial" w:cs="Arial"/>
      <w:bCs/>
      <w:iCs/>
      <w:color w:val="000000"/>
      <w:sz w:val="18"/>
      <w:szCs w:val="18"/>
    </w:rPr>
  </w:style>
  <w:style w:type="character" w:customStyle="1" w:styleId="sTextnormChar">
    <w:name w:val="sText_norm Char"/>
    <w:link w:val="sTextnorm"/>
    <w:rPr>
      <w:rFonts w:ascii="Arial" w:eastAsia="Times New Roman" w:hAnsi="Arial" w:cs="Arial"/>
      <w:bCs/>
      <w:iCs/>
      <w:color w:val="000000"/>
      <w:sz w:val="18"/>
      <w:szCs w:val="18"/>
      <w:lang w:val="cs-CZ" w:eastAsia="cs-CZ" w:bidi="ar-SA"/>
    </w:rPr>
  </w:style>
  <w:style w:type="paragraph" w:customStyle="1" w:styleId="sZapati">
    <w:name w:val="sZapati"/>
    <w:basedOn w:val="Zpat"/>
    <w:link w:val="sZapatiChar"/>
    <w:pPr>
      <w:tabs>
        <w:tab w:val="clear" w:pos="4536"/>
        <w:tab w:val="clear" w:pos="9072"/>
        <w:tab w:val="center" w:pos="4253"/>
        <w:tab w:val="right" w:pos="8647"/>
      </w:tabs>
      <w:jc w:val="center"/>
    </w:pPr>
    <w:rPr>
      <w:rFonts w:ascii="Arial" w:hAnsi="Arial" w:cs="Arial"/>
      <w:sz w:val="16"/>
      <w:szCs w:val="16"/>
      <w:lang w:val="en-GB"/>
    </w:rPr>
  </w:style>
  <w:style w:type="character" w:customStyle="1" w:styleId="sZapatiChar">
    <w:name w:val="sZapati Char"/>
    <w:link w:val="sZapati"/>
    <w:rPr>
      <w:rFonts w:ascii="Arial" w:eastAsia="Times New Roman" w:hAnsi="Arial" w:cs="Arial"/>
      <w:sz w:val="16"/>
      <w:szCs w:val="16"/>
      <w:lang w:val="en-GB" w:eastAsia="cs-CZ" w:bidi="ar-SA"/>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eastAsia="Times New Roman" w:hAnsi="Tahoma" w:cs="Tahoma"/>
      <w:sz w:val="16"/>
      <w:szCs w:val="16"/>
      <w:lang w:val="en-US" w:eastAsia="cs-CZ" w:bidi="ar-SA"/>
    </w:rPr>
  </w:style>
  <w:style w:type="paragraph" w:styleId="Zkladntext">
    <w:name w:val="Body Text"/>
    <w:basedOn w:val="Normln"/>
    <w:link w:val="ZkladntextChar"/>
    <w:rPr>
      <w:rFonts w:ascii="Arial" w:hAnsi="Arial"/>
      <w:sz w:val="22"/>
      <w:lang w:val="x-none" w:eastAsia="x-none"/>
    </w:rPr>
  </w:style>
  <w:style w:type="character" w:customStyle="1" w:styleId="ZkladntextChar">
    <w:name w:val="Základní text Char"/>
    <w:basedOn w:val="Standardnpsmoodstavce"/>
    <w:link w:val="Zkladntext"/>
    <w:rPr>
      <w:rFonts w:ascii="Arial" w:eastAsia="Times New Roman" w:hAnsi="Arial" w:cs="Times New Roman"/>
      <w:szCs w:val="20"/>
      <w:lang w:val="x-none" w:eastAsia="x-none" w:bidi="ar-SA"/>
    </w:rPr>
  </w:style>
  <w:style w:type="character" w:styleId="Odkaznakoment">
    <w:name w:val="annotation reference"/>
    <w:rPr>
      <w:sz w:val="16"/>
      <w:szCs w:val="16"/>
    </w:rPr>
  </w:style>
  <w:style w:type="paragraph" w:styleId="Textkomente">
    <w:name w:val="annotation text"/>
    <w:basedOn w:val="Normln"/>
    <w:link w:val="TextkomenteChar"/>
    <w:rPr>
      <w:lang w:eastAsia="x-none"/>
    </w:rPr>
  </w:style>
  <w:style w:type="character" w:customStyle="1" w:styleId="TextkomenteChar">
    <w:name w:val="Text komentáře Char"/>
    <w:basedOn w:val="Standardnpsmoodstavce"/>
    <w:link w:val="Textkomente"/>
    <w:rPr>
      <w:rFonts w:ascii="Times New Roman" w:eastAsia="Times New Roman" w:hAnsi="Times New Roman" w:cs="Times New Roman"/>
      <w:sz w:val="20"/>
      <w:szCs w:val="20"/>
      <w:lang w:val="en-US" w:eastAsia="x-none" w:bidi="ar-SA"/>
    </w:rPr>
  </w:style>
  <w:style w:type="paragraph" w:styleId="Pedmtkomente">
    <w:name w:val="annotation subject"/>
    <w:basedOn w:val="Textkomente"/>
    <w:link w:val="PedmtkomenteChar"/>
    <w:rPr>
      <w:b/>
      <w:bCs/>
    </w:rPr>
  </w:style>
  <w:style w:type="character" w:customStyle="1" w:styleId="PedmtkomenteChar">
    <w:name w:val="Předmět komentáře Char"/>
    <w:basedOn w:val="TextkomenteChar"/>
    <w:link w:val="Pedmtkomente"/>
    <w:rPr>
      <w:rFonts w:ascii="Times New Roman" w:eastAsia="Times New Roman" w:hAnsi="Times New Roman" w:cs="Times New Roman"/>
      <w:b/>
      <w:bCs/>
      <w:sz w:val="20"/>
      <w:szCs w:val="20"/>
      <w:lang w:val="en-US" w:eastAsia="x-none" w:bidi="ar-SA"/>
    </w:rPr>
  </w:style>
  <w:style w:type="paragraph" w:styleId="Revize">
    <w:name w:val="Revision"/>
    <w:pPr>
      <w:spacing w:after="0" w:line="240" w:lineRule="auto"/>
    </w:pPr>
    <w:rPr>
      <w:rFonts w:ascii="Times New Roman" w:eastAsia="Times New Roman" w:hAnsi="Times New Roman" w:cs="Times New Roman"/>
      <w:sz w:val="20"/>
      <w:szCs w:val="20"/>
      <w:lang w:val="en-US" w:eastAsia="cs-CZ"/>
    </w:rPr>
  </w:style>
  <w:style w:type="paragraph" w:styleId="Odstavecseseznamem">
    <w:name w:val="List Paragraph"/>
    <w:basedOn w:val="Normln"/>
    <w:pPr>
      <w:ind w:left="708"/>
    </w:pPr>
  </w:style>
  <w:style w:type="paragraph" w:customStyle="1" w:styleId="Vlastn4rove">
    <w:name w:val="Vlastní_4_úroveň"/>
    <w:basedOn w:val="Normln"/>
    <w:pPr>
      <w:keepNext/>
      <w:ind w:left="851" w:right="-483" w:hanging="851"/>
      <w:jc w:val="both"/>
    </w:pPr>
    <w:rPr>
      <w:rFonts w:ascii="Arial" w:eastAsia="Calibri" w:hAnsi="Arial" w:cs="Arial"/>
      <w:lang w:val="cs-CZ"/>
    </w:rPr>
  </w:style>
  <w:style w:type="paragraph" w:customStyle="1" w:styleId="odstavec2">
    <w:name w:val="odstavec 2"/>
    <w:basedOn w:val="Normln"/>
    <w:link w:val="odstavec2CharChar"/>
    <w:pPr>
      <w:tabs>
        <w:tab w:val="num" w:pos="858"/>
      </w:tabs>
      <w:ind w:left="858" w:hanging="432"/>
    </w:pPr>
    <w:rPr>
      <w:rFonts w:ascii="Arial" w:hAnsi="Arial"/>
      <w:lang w:val="x-none" w:eastAsia="x-none"/>
    </w:rPr>
  </w:style>
  <w:style w:type="character" w:customStyle="1" w:styleId="odstavec2CharChar">
    <w:name w:val="odstavec 2 Char Char"/>
    <w:link w:val="odstavec2"/>
    <w:rPr>
      <w:rFonts w:ascii="Arial" w:eastAsia="Times New Roman" w:hAnsi="Arial" w:cs="Times New Roman"/>
      <w:sz w:val="20"/>
      <w:szCs w:val="20"/>
      <w:lang w:val="x-none" w:eastAsia="x-none" w:bidi="ar-SA"/>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0"/>
      <w:szCs w:val="20"/>
      <w:lang w:val="en-US" w:eastAsia="cs-CZ" w:bidi="ar-SA"/>
    </w:rPr>
  </w:style>
  <w:style w:type="character" w:styleId="Hypertextovodkaz">
    <w:name w:val="Hyperlink"/>
    <w:rPr>
      <w:color w:val="0000FF"/>
      <w:u w:val="single"/>
    </w:rPr>
  </w:style>
  <w:style w:type="character" w:styleId="Zstupntext">
    <w:name w:val="Placeholder Text"/>
    <w:basedOn w:val="Standardnpsmoodstavce"/>
    <w:rPr>
      <w:color w:val="808080"/>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link w:val="Nadpis1Char"/>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Nadpis">
    <w:name w:val="sNadpis"/>
    <w:basedOn w:val="Nzev"/>
    <w:link w:val="sNadpisChar"/>
    <w:pPr>
      <w:contextualSpacing w:val="0"/>
      <w:jc w:val="center"/>
      <w:outlineLvl w:val="0"/>
    </w:pPr>
    <w:rPr>
      <w:rFonts w:ascii="Arial" w:eastAsia="Times New Roman" w:hAnsi="Arial" w:cs="Arial"/>
      <w:b/>
      <w:caps/>
      <w:spacing w:val="5"/>
      <w:sz w:val="20"/>
      <w:szCs w:val="24"/>
    </w:rPr>
  </w:style>
  <w:style w:type="character" w:customStyle="1" w:styleId="sNadpisChar">
    <w:name w:val="sNadpis Char"/>
    <w:link w:val="sNadpis"/>
    <w:rPr>
      <w:rFonts w:ascii="Arial" w:eastAsia="Times New Roman" w:hAnsi="Arial" w:cs="Arial"/>
      <w:b/>
      <w:caps/>
      <w:spacing w:val="5"/>
      <w:kern w:val="28"/>
      <w:sz w:val="20"/>
      <w:szCs w:val="24"/>
      <w:lang w:val="cs-CZ" w:eastAsia="cs-CZ" w:bidi="ar-SA"/>
    </w:rPr>
  </w:style>
  <w:style w:type="paragraph" w:styleId="Nzev">
    <w:name w:val="Title"/>
    <w:basedOn w:val="Normln"/>
    <w:link w:val="NzevChar"/>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rPr>
  </w:style>
  <w:style w:type="paragraph" w:customStyle="1" w:styleId="sNadpis1">
    <w:name w:val="sNadpis1"/>
    <w:basedOn w:val="Normln"/>
    <w:link w:val="sNadpis1Char"/>
    <w:pPr>
      <w:spacing w:after="480"/>
      <w:jc w:val="center"/>
    </w:pPr>
    <w:rPr>
      <w:rFonts w:ascii="Arial" w:hAnsi="Arial" w:cs="Arial"/>
      <w:sz w:val="18"/>
    </w:rPr>
  </w:style>
  <w:style w:type="character" w:customStyle="1" w:styleId="sNadpis1Char">
    <w:name w:val="sNadpis1 Char"/>
    <w:link w:val="sNadpis1"/>
    <w:rPr>
      <w:rFonts w:ascii="Arial" w:eastAsia="Times New Roman" w:hAnsi="Arial" w:cs="Arial"/>
      <w:sz w:val="18"/>
      <w:szCs w:val="20"/>
      <w:lang w:val="cs-CZ" w:eastAsia="cs-CZ" w:bidi="ar-SA"/>
    </w:rPr>
  </w:style>
  <w:style w:type="paragraph" w:customStyle="1" w:styleId="sNadpis2">
    <w:name w:val="sNadpis2"/>
    <w:basedOn w:val="Nadpis1"/>
    <w:link w:val="sNadpis2Char"/>
    <w:pPr>
      <w:keepLines w:val="0"/>
      <w:numPr>
        <w:numId w:val="1"/>
      </w:numPr>
      <w:spacing w:before="0" w:after="240"/>
      <w:jc w:val="center"/>
    </w:pPr>
    <w:rPr>
      <w:rFonts w:ascii="Arial" w:eastAsia="Times New Roman" w:hAnsi="Arial" w:cs="Arial"/>
      <w:b/>
      <w:bCs/>
      <w:iCs/>
      <w:color w:val="auto"/>
      <w:sz w:val="20"/>
      <w:szCs w:val="20"/>
      <w:lang w:val="cs-CZ"/>
    </w:rPr>
  </w:style>
  <w:style w:type="character" w:customStyle="1" w:styleId="sNadpis2Char">
    <w:name w:val="sNadpis2 Char"/>
    <w:link w:val="sNadpis2"/>
    <w:rPr>
      <w:rFonts w:ascii="Arial" w:eastAsia="Times New Roman" w:hAnsi="Arial" w:cs="Arial"/>
      <w:b/>
      <w:bCs/>
      <w:iCs/>
      <w:sz w:val="20"/>
      <w:szCs w:val="20"/>
      <w:lang w:val="cs-CZ" w:eastAsia="cs-CZ" w:bidi="ar-SA"/>
    </w:rPr>
  </w:style>
  <w:style w:type="character" w:customStyle="1" w:styleId="Nadpis1Char">
    <w:name w:val="Nadpis 1 Char"/>
    <w:basedOn w:val="Standardnpsmoodstavce"/>
    <w:link w:val="Nadpis1"/>
    <w:rPr>
      <w:rFonts w:asciiTheme="majorHAnsi" w:eastAsiaTheme="majorEastAsia" w:hAnsiTheme="majorHAnsi" w:cstheme="majorBidi"/>
      <w:color w:val="2E74B5" w:themeColor="accent1" w:themeShade="BF"/>
      <w:sz w:val="32"/>
      <w:szCs w:val="32"/>
    </w:rPr>
  </w:style>
  <w:style w:type="paragraph" w:customStyle="1" w:styleId="sOdstavec">
    <w:name w:val="sOdstavec"/>
    <w:basedOn w:val="Normln"/>
    <w:link w:val="sOdstavecChar"/>
    <w:pPr>
      <w:numPr>
        <w:ilvl w:val="1"/>
        <w:numId w:val="1"/>
      </w:numPr>
      <w:spacing w:after="240"/>
      <w:jc w:val="both"/>
      <w:outlineLvl w:val="1"/>
    </w:pPr>
    <w:rPr>
      <w:rFonts w:ascii="Arial" w:hAnsi="Arial" w:cs="Arial"/>
      <w:color w:val="000000"/>
      <w:sz w:val="18"/>
      <w:szCs w:val="18"/>
    </w:rPr>
  </w:style>
  <w:style w:type="character" w:customStyle="1" w:styleId="sOdstavecChar">
    <w:name w:val="sOdstavec Char"/>
    <w:link w:val="sOdstavec"/>
    <w:rPr>
      <w:rFonts w:ascii="Arial" w:eastAsia="Times New Roman" w:hAnsi="Arial" w:cs="Arial"/>
      <w:color w:val="000000"/>
      <w:sz w:val="18"/>
      <w:szCs w:val="18"/>
      <w:lang w:val="cs-CZ" w:eastAsia="cs-CZ" w:bidi="ar-SA"/>
    </w:rPr>
  </w:style>
  <w:style w:type="paragraph" w:customStyle="1" w:styleId="sOdstavec1">
    <w:name w:val="sOdstavec1"/>
    <w:basedOn w:val="Normln"/>
    <w:link w:val="sOdstavec1Char"/>
    <w:pPr>
      <w:spacing w:after="240"/>
      <w:ind w:left="567"/>
      <w:jc w:val="both"/>
      <w:outlineLvl w:val="1"/>
    </w:pPr>
    <w:rPr>
      <w:rFonts w:ascii="Arial" w:hAnsi="Arial" w:cs="Arial"/>
      <w:bCs/>
      <w:iCs/>
      <w:color w:val="000000"/>
      <w:sz w:val="18"/>
      <w:szCs w:val="18"/>
    </w:rPr>
  </w:style>
  <w:style w:type="character" w:customStyle="1" w:styleId="sOdstavec1Char">
    <w:name w:val="sOdstavec1 Char"/>
    <w:basedOn w:val="Standardnpsmoodstavce"/>
    <w:link w:val="sOdstavec1"/>
    <w:rPr>
      <w:rFonts w:ascii="Arial" w:eastAsia="Times New Roman" w:hAnsi="Arial" w:cs="Arial"/>
      <w:bCs/>
      <w:iCs/>
      <w:color w:val="000000"/>
      <w:sz w:val="18"/>
      <w:szCs w:val="18"/>
      <w:lang w:val="cs-CZ" w:eastAsia="cs-CZ" w:bidi="ar-SA"/>
    </w:rPr>
  </w:style>
  <w:style w:type="paragraph" w:customStyle="1" w:styleId="sOdstavec2">
    <w:name w:val="sOdstavec2"/>
    <w:basedOn w:val="Normln"/>
    <w:link w:val="sOdstavec2Char"/>
    <w:pPr>
      <w:keepNext/>
      <w:numPr>
        <w:ilvl w:val="2"/>
        <w:numId w:val="1"/>
      </w:numPr>
      <w:spacing w:after="240"/>
      <w:outlineLvl w:val="1"/>
    </w:pPr>
    <w:rPr>
      <w:rFonts w:ascii="Arial" w:hAnsi="Arial" w:cs="Arial"/>
      <w:bCs/>
      <w:iCs/>
      <w:color w:val="000000"/>
      <w:sz w:val="18"/>
    </w:rPr>
  </w:style>
  <w:style w:type="character" w:customStyle="1" w:styleId="sOdstavec2Char">
    <w:name w:val="sOdstavec2 Char"/>
    <w:link w:val="sOdstavec2"/>
    <w:rPr>
      <w:rFonts w:ascii="Arial" w:eastAsia="Times New Roman" w:hAnsi="Arial" w:cs="Arial"/>
      <w:bCs/>
      <w:iCs/>
      <w:color w:val="000000"/>
      <w:sz w:val="18"/>
      <w:szCs w:val="20"/>
      <w:lang w:val="cs-CZ" w:eastAsia="cs-CZ" w:bidi="ar-SA"/>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basedOn w:val="sOdstavec2Char"/>
    <w:link w:val="sOdstavec3"/>
    <w:rPr>
      <w:rFonts w:ascii="Arial" w:eastAsia="Times New Roman" w:hAnsi="Arial" w:cs="Arial"/>
      <w:bCs/>
      <w:iCs/>
      <w:color w:val="000000"/>
      <w:sz w:val="18"/>
      <w:szCs w:val="20"/>
      <w:lang w:val="cs-CZ" w:eastAsia="cs-CZ" w:bidi="ar-SA"/>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basedOn w:val="sOdstavecChar"/>
    <w:link w:val="sOdstavec4"/>
    <w:rPr>
      <w:rFonts w:ascii="Arial" w:eastAsia="Times New Roman" w:hAnsi="Arial" w:cs="Arial"/>
      <w:color w:val="000000"/>
      <w:sz w:val="18"/>
      <w:szCs w:val="18"/>
      <w:lang w:val="cs-CZ" w:eastAsia="cs-CZ" w:bidi="ar-SA"/>
    </w:rPr>
  </w:style>
  <w:style w:type="paragraph" w:customStyle="1" w:styleId="sTabbold">
    <w:name w:val="sTab_bold"/>
    <w:basedOn w:val="Normln"/>
    <w:link w:val="sTabboldChar"/>
    <w:pPr>
      <w:keepNext/>
      <w:keepLines/>
    </w:pPr>
    <w:rPr>
      <w:rFonts w:ascii="Arial" w:eastAsia="Calibri" w:hAnsi="Arial" w:cs="Arial"/>
      <w:b/>
      <w:color w:val="000000"/>
      <w:sz w:val="18"/>
    </w:rPr>
  </w:style>
  <w:style w:type="character" w:customStyle="1" w:styleId="sTabboldChar">
    <w:name w:val="sTab_bold Char"/>
    <w:basedOn w:val="sOdstavec1Char"/>
    <w:link w:val="sTabbold"/>
    <w:rPr>
      <w:rFonts w:ascii="Arial" w:eastAsia="Calibri" w:hAnsi="Arial" w:cs="Arial"/>
      <w:b/>
      <w:bCs w:val="0"/>
      <w:iCs w:val="0"/>
      <w:color w:val="000000"/>
      <w:sz w:val="18"/>
      <w:szCs w:val="20"/>
      <w:lang w:val="cs-CZ" w:eastAsia="cs-CZ" w:bidi="ar-SA"/>
    </w:rPr>
  </w:style>
  <w:style w:type="paragraph" w:customStyle="1" w:styleId="sTabnorm">
    <w:name w:val="sTab_norm"/>
    <w:basedOn w:val="Normln"/>
    <w:link w:val="sTabnormChar"/>
    <w:pPr>
      <w:jc w:val="both"/>
    </w:pPr>
    <w:rPr>
      <w:rFonts w:ascii="Arial" w:hAnsi="Arial" w:cs="Arial"/>
      <w:color w:val="000000"/>
      <w:sz w:val="18"/>
    </w:rPr>
  </w:style>
  <w:style w:type="character" w:customStyle="1" w:styleId="sTabnormChar">
    <w:name w:val="sTab_norm Char"/>
    <w:basedOn w:val="sOdstavec1Char"/>
    <w:link w:val="sTabnorm"/>
    <w:rPr>
      <w:rFonts w:ascii="Arial" w:eastAsia="Times New Roman" w:hAnsi="Arial" w:cs="Arial"/>
      <w:bCs w:val="0"/>
      <w:iCs w:val="0"/>
      <w:color w:val="000000"/>
      <w:sz w:val="18"/>
      <w:szCs w:val="20"/>
      <w:lang w:val="cs-CZ" w:eastAsia="cs-CZ" w:bidi="ar-SA"/>
    </w:rPr>
  </w:style>
  <w:style w:type="paragraph" w:customStyle="1" w:styleId="sTextbold">
    <w:name w:val="sText_bold"/>
    <w:basedOn w:val="Normln"/>
    <w:link w:val="sTextboldChar"/>
    <w:pPr>
      <w:jc w:val="both"/>
    </w:pPr>
    <w:rPr>
      <w:rFonts w:ascii="Arial" w:hAnsi="Arial"/>
      <w:b/>
      <w:sz w:val="18"/>
      <w:szCs w:val="18"/>
    </w:rPr>
  </w:style>
  <w:style w:type="character" w:customStyle="1" w:styleId="sTextboldChar">
    <w:name w:val="sText_bold Char"/>
    <w:link w:val="sTextbold"/>
    <w:rPr>
      <w:rFonts w:ascii="Arial" w:eastAsia="Times New Roman" w:hAnsi="Arial" w:cs="Times New Roman"/>
      <w:b/>
      <w:sz w:val="18"/>
      <w:szCs w:val="18"/>
      <w:lang w:val="cs-CZ" w:eastAsia="cs-CZ" w:bidi="ar-SA"/>
    </w:rPr>
  </w:style>
  <w:style w:type="paragraph" w:customStyle="1" w:styleId="sTextnorm">
    <w:name w:val="sText_norm"/>
    <w:basedOn w:val="Normln"/>
    <w:link w:val="sTextnormChar"/>
    <w:pPr>
      <w:spacing w:before="60" w:after="60"/>
      <w:jc w:val="both"/>
      <w:outlineLvl w:val="1"/>
    </w:pPr>
    <w:rPr>
      <w:rFonts w:ascii="Arial" w:hAnsi="Arial" w:cs="Arial"/>
      <w:bCs/>
      <w:iCs/>
      <w:color w:val="000000"/>
      <w:sz w:val="18"/>
      <w:szCs w:val="18"/>
    </w:rPr>
  </w:style>
  <w:style w:type="character" w:customStyle="1" w:styleId="sTextnormChar">
    <w:name w:val="sText_norm Char"/>
    <w:link w:val="sTextnorm"/>
    <w:rPr>
      <w:rFonts w:ascii="Arial" w:eastAsia="Times New Roman" w:hAnsi="Arial" w:cs="Arial"/>
      <w:bCs/>
      <w:iCs/>
      <w:color w:val="000000"/>
      <w:sz w:val="18"/>
      <w:szCs w:val="18"/>
      <w:lang w:val="cs-CZ" w:eastAsia="cs-CZ" w:bidi="ar-SA"/>
    </w:rPr>
  </w:style>
  <w:style w:type="paragraph" w:customStyle="1" w:styleId="sZapati">
    <w:name w:val="sZapati"/>
    <w:basedOn w:val="Zpat"/>
    <w:link w:val="sZapatiChar"/>
    <w:pPr>
      <w:tabs>
        <w:tab w:val="clear" w:pos="4536"/>
        <w:tab w:val="clear" w:pos="9072"/>
        <w:tab w:val="center" w:pos="4253"/>
        <w:tab w:val="right" w:pos="8647"/>
      </w:tabs>
      <w:jc w:val="center"/>
    </w:pPr>
    <w:rPr>
      <w:rFonts w:ascii="Arial" w:hAnsi="Arial" w:cs="Arial"/>
      <w:sz w:val="16"/>
      <w:szCs w:val="16"/>
      <w:lang w:val="en-GB"/>
    </w:rPr>
  </w:style>
  <w:style w:type="character" w:customStyle="1" w:styleId="sZapatiChar">
    <w:name w:val="sZapati Char"/>
    <w:link w:val="sZapati"/>
    <w:rPr>
      <w:rFonts w:ascii="Arial" w:eastAsia="Times New Roman" w:hAnsi="Arial" w:cs="Arial"/>
      <w:sz w:val="16"/>
      <w:szCs w:val="16"/>
      <w:lang w:val="en-GB" w:eastAsia="cs-CZ" w:bidi="ar-SA"/>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eastAsia="Times New Roman" w:hAnsi="Tahoma" w:cs="Tahoma"/>
      <w:sz w:val="16"/>
      <w:szCs w:val="16"/>
      <w:lang w:val="en-US" w:eastAsia="cs-CZ" w:bidi="ar-SA"/>
    </w:rPr>
  </w:style>
  <w:style w:type="paragraph" w:styleId="Zkladntext">
    <w:name w:val="Body Text"/>
    <w:basedOn w:val="Normln"/>
    <w:link w:val="ZkladntextChar"/>
    <w:rPr>
      <w:rFonts w:ascii="Arial" w:hAnsi="Arial"/>
      <w:sz w:val="22"/>
      <w:lang w:val="x-none" w:eastAsia="x-none"/>
    </w:rPr>
  </w:style>
  <w:style w:type="character" w:customStyle="1" w:styleId="ZkladntextChar">
    <w:name w:val="Základní text Char"/>
    <w:basedOn w:val="Standardnpsmoodstavce"/>
    <w:link w:val="Zkladntext"/>
    <w:rPr>
      <w:rFonts w:ascii="Arial" w:eastAsia="Times New Roman" w:hAnsi="Arial" w:cs="Times New Roman"/>
      <w:szCs w:val="20"/>
      <w:lang w:val="x-none" w:eastAsia="x-none" w:bidi="ar-SA"/>
    </w:rPr>
  </w:style>
  <w:style w:type="character" w:styleId="Odkaznakoment">
    <w:name w:val="annotation reference"/>
    <w:rPr>
      <w:sz w:val="16"/>
      <w:szCs w:val="16"/>
    </w:rPr>
  </w:style>
  <w:style w:type="paragraph" w:styleId="Textkomente">
    <w:name w:val="annotation text"/>
    <w:basedOn w:val="Normln"/>
    <w:link w:val="TextkomenteChar"/>
    <w:rPr>
      <w:lang w:eastAsia="x-none"/>
    </w:rPr>
  </w:style>
  <w:style w:type="character" w:customStyle="1" w:styleId="TextkomenteChar">
    <w:name w:val="Text komentáře Char"/>
    <w:basedOn w:val="Standardnpsmoodstavce"/>
    <w:link w:val="Textkomente"/>
    <w:rPr>
      <w:rFonts w:ascii="Times New Roman" w:eastAsia="Times New Roman" w:hAnsi="Times New Roman" w:cs="Times New Roman"/>
      <w:sz w:val="20"/>
      <w:szCs w:val="20"/>
      <w:lang w:val="en-US" w:eastAsia="x-none" w:bidi="ar-SA"/>
    </w:rPr>
  </w:style>
  <w:style w:type="paragraph" w:styleId="Pedmtkomente">
    <w:name w:val="annotation subject"/>
    <w:basedOn w:val="Textkomente"/>
    <w:link w:val="PedmtkomenteChar"/>
    <w:rPr>
      <w:b/>
      <w:bCs/>
    </w:rPr>
  </w:style>
  <w:style w:type="character" w:customStyle="1" w:styleId="PedmtkomenteChar">
    <w:name w:val="Předmět komentáře Char"/>
    <w:basedOn w:val="TextkomenteChar"/>
    <w:link w:val="Pedmtkomente"/>
    <w:rPr>
      <w:rFonts w:ascii="Times New Roman" w:eastAsia="Times New Roman" w:hAnsi="Times New Roman" w:cs="Times New Roman"/>
      <w:b/>
      <w:bCs/>
      <w:sz w:val="20"/>
      <w:szCs w:val="20"/>
      <w:lang w:val="en-US" w:eastAsia="x-none" w:bidi="ar-SA"/>
    </w:rPr>
  </w:style>
  <w:style w:type="paragraph" w:styleId="Revize">
    <w:name w:val="Revision"/>
    <w:pPr>
      <w:spacing w:after="0" w:line="240" w:lineRule="auto"/>
    </w:pPr>
    <w:rPr>
      <w:rFonts w:ascii="Times New Roman" w:eastAsia="Times New Roman" w:hAnsi="Times New Roman" w:cs="Times New Roman"/>
      <w:sz w:val="20"/>
      <w:szCs w:val="20"/>
      <w:lang w:val="en-US" w:eastAsia="cs-CZ"/>
    </w:rPr>
  </w:style>
  <w:style w:type="paragraph" w:styleId="Odstavecseseznamem">
    <w:name w:val="List Paragraph"/>
    <w:basedOn w:val="Normln"/>
    <w:pPr>
      <w:ind w:left="708"/>
    </w:pPr>
  </w:style>
  <w:style w:type="paragraph" w:customStyle="1" w:styleId="Vlastn4rove">
    <w:name w:val="Vlastní_4_úroveň"/>
    <w:basedOn w:val="Normln"/>
    <w:pPr>
      <w:keepNext/>
      <w:ind w:left="851" w:right="-483" w:hanging="851"/>
      <w:jc w:val="both"/>
    </w:pPr>
    <w:rPr>
      <w:rFonts w:ascii="Arial" w:eastAsia="Calibri" w:hAnsi="Arial" w:cs="Arial"/>
      <w:lang w:val="cs-CZ"/>
    </w:rPr>
  </w:style>
  <w:style w:type="paragraph" w:customStyle="1" w:styleId="odstavec2">
    <w:name w:val="odstavec 2"/>
    <w:basedOn w:val="Normln"/>
    <w:link w:val="odstavec2CharChar"/>
    <w:pPr>
      <w:tabs>
        <w:tab w:val="num" w:pos="858"/>
      </w:tabs>
      <w:ind w:left="858" w:hanging="432"/>
    </w:pPr>
    <w:rPr>
      <w:rFonts w:ascii="Arial" w:hAnsi="Arial"/>
      <w:lang w:val="x-none" w:eastAsia="x-none"/>
    </w:rPr>
  </w:style>
  <w:style w:type="character" w:customStyle="1" w:styleId="odstavec2CharChar">
    <w:name w:val="odstavec 2 Char Char"/>
    <w:link w:val="odstavec2"/>
    <w:rPr>
      <w:rFonts w:ascii="Arial" w:eastAsia="Times New Roman" w:hAnsi="Arial" w:cs="Times New Roman"/>
      <w:sz w:val="20"/>
      <w:szCs w:val="20"/>
      <w:lang w:val="x-none" w:eastAsia="x-none" w:bidi="ar-SA"/>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0"/>
      <w:szCs w:val="20"/>
      <w:lang w:val="en-US" w:eastAsia="cs-CZ" w:bidi="ar-SA"/>
    </w:rPr>
  </w:style>
  <w:style w:type="character" w:styleId="Hypertextovodkaz">
    <w:name w:val="Hyperlink"/>
    <w:rPr>
      <w:color w:val="0000FF"/>
      <w:u w:val="single"/>
    </w:rPr>
  </w:style>
  <w:style w:type="character" w:styleId="Zstupntext">
    <w:name w:val="Placeholder Text"/>
    <w:basedOn w:val="Standardnpsmoodstavce"/>
    <w:rPr>
      <w:color w:val="808080"/>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7609</Words>
  <Characters>44895</Characters>
  <Application>Microsoft Office Word</Application>
  <DocSecurity>0</DocSecurity>
  <Lines>374</Lines>
  <Paragraphs>104</Paragraphs>
  <ScaleCrop>false</ScaleCrop>
  <Company>Unicorn-SG Equipment Finance</Company>
  <LinksUpToDate>false</LinksUpToDate>
  <CharactersWithSpaces>52400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Reichelt Tomáš, Ing</cp:lastModifiedBy>
  <cp:revision>5</cp:revision>
  <dcterms:created xsi:type="dcterms:W3CDTF">2018-09-05T08:20:00Z</dcterms:created>
  <dcterms:modified xsi:type="dcterms:W3CDTF">2018-09-05T08:02:00Z</dcterms:modified>
</cp:coreProperties>
</file>