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Níže uvedeného dne, měsíce, roku uzavřeli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Statutární město Teplice</w:t>
      </w:r>
    </w:p>
    <w:p w:rsidR="0052781C" w:rsidRPr="00AE7071" w:rsidRDefault="00B06FF9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cs-CZ"/>
        </w:rPr>
        <w:t>n</w:t>
      </w:r>
      <w:r w:rsidR="002A54B1"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áměstí Svobody 2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415 95 Teplice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IČ 00266621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DIČ: CZ00266621</w:t>
      </w:r>
    </w:p>
    <w:p w:rsidR="0052781C" w:rsidRPr="00AE7071" w:rsidRDefault="002A54B1">
      <w:pPr>
        <w:spacing w:line="100" w:lineRule="atLeast"/>
        <w:ind w:left="570" w:right="420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zastoupené Bc. Hynkem Hanzou, 1. náměstkem primátora</w:t>
      </w:r>
    </w:p>
    <w:p w:rsidR="0052781C" w:rsidRPr="00AE7071" w:rsidRDefault="002A54B1">
      <w:pPr>
        <w:spacing w:line="100" w:lineRule="atLeast"/>
        <w:ind w:left="570" w:right="420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(dále </w:t>
      </w: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pronajímatel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)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a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ARRIVA CITY s.r.o.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U Stavoservisu 692/1b</w:t>
      </w:r>
    </w:p>
    <w:p w:rsidR="0052781C" w:rsidRPr="00AE7071" w:rsidRDefault="002A54B1">
      <w:pPr>
        <w:spacing w:line="100" w:lineRule="atLeast"/>
        <w:ind w:left="570" w:right="420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108 00 Praha 10 – Malešice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IČ: 26730448</w:t>
      </w:r>
    </w:p>
    <w:p w:rsidR="0052781C" w:rsidRPr="00AE7071" w:rsidRDefault="002A54B1">
      <w:pPr>
        <w:spacing w:line="100" w:lineRule="atLeast"/>
        <w:ind w:left="570" w:right="42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DIČ: CZ699001947</w:t>
      </w:r>
    </w:p>
    <w:p w:rsidR="0052781C" w:rsidRPr="00AE7071" w:rsidRDefault="00B06FF9">
      <w:pPr>
        <w:spacing w:line="100" w:lineRule="atLeast"/>
        <w:ind w:left="570" w:right="420"/>
        <w:jc w:val="both"/>
        <w:rPr>
          <w:lang w:val="cs-CZ"/>
        </w:rPr>
      </w:pPr>
      <w:r>
        <w:rPr>
          <w:rFonts w:ascii="Times New Roman" w:eastAsia="Times New Roman" w:hAnsi="Times New Roman" w:cs="Times New Roman"/>
          <w:color w:val="00000A"/>
          <w:sz w:val="24"/>
          <w:lang w:val="cs-CZ"/>
        </w:rPr>
        <w:t>z</w:t>
      </w:r>
      <w:r w:rsidR="002A54B1"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a</w:t>
      </w:r>
      <w:r w:rsidR="005C4A7C"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s</w:t>
      </w:r>
      <w:r w:rsidR="002A54B1"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toupená Mgr. Petrem Čihákem, jednatelem společnosti</w:t>
      </w:r>
    </w:p>
    <w:p w:rsidR="0052781C" w:rsidRPr="00AE7071" w:rsidRDefault="002A54B1">
      <w:pPr>
        <w:spacing w:line="100" w:lineRule="atLeast"/>
        <w:ind w:left="570" w:right="420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(dále </w:t>
      </w: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nájemce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)</w:t>
      </w:r>
    </w:p>
    <w:p w:rsidR="0052781C" w:rsidRPr="00AE7071" w:rsidRDefault="002A54B1">
      <w:pPr>
        <w:tabs>
          <w:tab w:val="left" w:pos="8364"/>
        </w:tabs>
        <w:spacing w:line="100" w:lineRule="atLeast"/>
        <w:ind w:left="284" w:right="420"/>
        <w:jc w:val="center"/>
        <w:rPr>
          <w:b/>
          <w:sz w:val="28"/>
          <w:szCs w:val="28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  <w:t>Tento dodatek č. 2 nájemní smlouvy - přílohy č. 7 ke Smlouvě o veřejných službách č. 376/OD/2018 ze dne 29.</w:t>
      </w:r>
      <w:r w:rsidR="00B06FF9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  <w:t>6.</w:t>
      </w:r>
      <w:r w:rsidR="00B06FF9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  <w:t>2018</w:t>
      </w:r>
    </w:p>
    <w:p w:rsidR="0052781C" w:rsidRPr="00AE7071" w:rsidRDefault="002A54B1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 xml:space="preserve">jejímž předmětem jsou věci nemovité i movité, včetně jejich vybavení, součástí a příslušenství, které slouží ve svém souhrnu i jednotlivě k provozování městské hromadné dopravy ve Statutárním městě Teplice, dále jen Nájemní smlouvy. </w:t>
      </w:r>
    </w:p>
    <w:p w:rsidR="0052781C" w:rsidRPr="00AE7071" w:rsidRDefault="002A54B1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I.</w:t>
      </w:r>
    </w:p>
    <w:p w:rsidR="0052781C" w:rsidRPr="00D11F1C" w:rsidRDefault="002A54B1" w:rsidP="00D23BF7">
      <w:pPr>
        <w:pStyle w:val="Odstavecseseznamem"/>
        <w:numPr>
          <w:ilvl w:val="0"/>
          <w:numId w:val="5"/>
        </w:numPr>
        <w:spacing w:line="100" w:lineRule="atLeast"/>
        <w:ind w:left="709" w:right="420" w:hanging="709"/>
        <w:jc w:val="both"/>
        <w:rPr>
          <w:lang w:val="cs-CZ"/>
        </w:rPr>
      </w:pPr>
      <w:r w:rsidRPr="00D11F1C">
        <w:rPr>
          <w:rFonts w:ascii="Times New Roman" w:hAnsi="Times New Roman" w:cs="Times New Roman"/>
          <w:sz w:val="24"/>
          <w:lang w:val="cs-CZ"/>
        </w:rPr>
        <w:t xml:space="preserve">V souladu s čl. </w:t>
      </w:r>
      <w:proofErr w:type="spellStart"/>
      <w:r w:rsidRPr="00D11F1C">
        <w:rPr>
          <w:rFonts w:ascii="Times New Roman" w:hAnsi="Times New Roman" w:cs="Times New Roman"/>
          <w:sz w:val="24"/>
          <w:lang w:val="cs-CZ"/>
        </w:rPr>
        <w:t>IV.b</w:t>
      </w:r>
      <w:proofErr w:type="spellEnd"/>
      <w:r w:rsidRPr="00D11F1C">
        <w:rPr>
          <w:rFonts w:ascii="Times New Roman" w:hAnsi="Times New Roman" w:cs="Times New Roman"/>
          <w:sz w:val="24"/>
          <w:lang w:val="cs-CZ"/>
        </w:rPr>
        <w:t xml:space="preserve">. odst. 9. Nájemní smlouvy pronajímatel souhlasí s použitím pronajatých nemovitostí i pro jiná vozidla než pro vozidla zajišťující MHD </w:t>
      </w:r>
      <w:r w:rsidRPr="00D11F1C">
        <w:rPr>
          <w:rFonts w:ascii="Times New Roman" w:hAnsi="Times New Roman" w:cs="Times New Roman"/>
          <w:sz w:val="24"/>
          <w:lang w:val="cs-CZ"/>
        </w:rPr>
        <w:br/>
        <w:t>v Teplicích</w:t>
      </w:r>
      <w:r w:rsidR="005C4A7C" w:rsidRPr="00D11F1C">
        <w:rPr>
          <w:rFonts w:ascii="Times New Roman" w:hAnsi="Times New Roman" w:cs="Times New Roman"/>
          <w:sz w:val="24"/>
          <w:lang w:val="cs-CZ"/>
        </w:rPr>
        <w:t>, s podnájmem pronajatých nemovitostí společnosti Arriva Services a.s. za účelem provozování oprav a servisu vozidel nájemce</w:t>
      </w:r>
      <w:r w:rsidRPr="00D11F1C">
        <w:rPr>
          <w:rFonts w:ascii="Times New Roman" w:hAnsi="Times New Roman" w:cs="Times New Roman"/>
          <w:sz w:val="24"/>
          <w:lang w:val="cs-CZ"/>
        </w:rPr>
        <w:t xml:space="preserve"> a </w:t>
      </w:r>
      <w:r w:rsidR="005C4A7C" w:rsidRPr="00D11F1C">
        <w:rPr>
          <w:rFonts w:ascii="Times New Roman" w:hAnsi="Times New Roman" w:cs="Times New Roman"/>
          <w:sz w:val="24"/>
          <w:lang w:val="cs-CZ"/>
        </w:rPr>
        <w:t xml:space="preserve">dále </w:t>
      </w:r>
      <w:r w:rsidRPr="00D11F1C">
        <w:rPr>
          <w:rFonts w:ascii="Times New Roman" w:hAnsi="Times New Roman" w:cs="Times New Roman"/>
          <w:sz w:val="24"/>
          <w:lang w:val="cs-CZ"/>
        </w:rPr>
        <w:t>za účelem možnosti využití areálu ke kome</w:t>
      </w:r>
      <w:r w:rsidR="005C4A7C" w:rsidRPr="00D11F1C">
        <w:rPr>
          <w:rFonts w:ascii="Times New Roman" w:hAnsi="Times New Roman" w:cs="Times New Roman"/>
          <w:sz w:val="24"/>
          <w:lang w:val="cs-CZ"/>
        </w:rPr>
        <w:t>r</w:t>
      </w:r>
      <w:r w:rsidRPr="00D11F1C">
        <w:rPr>
          <w:rFonts w:ascii="Times New Roman" w:hAnsi="Times New Roman" w:cs="Times New Roman"/>
          <w:sz w:val="24"/>
          <w:lang w:val="cs-CZ"/>
        </w:rPr>
        <w:t xml:space="preserve">čním účelům, konkrétně prodeje pohonných hmot na </w:t>
      </w:r>
      <w:r w:rsidRPr="00D11F1C">
        <w:rPr>
          <w:rFonts w:ascii="Times New Roman" w:hAnsi="Times New Roman" w:cs="Times New Roman"/>
          <w:b/>
          <w:sz w:val="24"/>
          <w:lang w:val="cs-CZ"/>
        </w:rPr>
        <w:t xml:space="preserve">čerpací stanici, kterou bude provozovat společnost Arriva </w:t>
      </w:r>
      <w:r w:rsidR="005C4A7C" w:rsidRPr="00D11F1C">
        <w:rPr>
          <w:rFonts w:ascii="Times New Roman" w:hAnsi="Times New Roman" w:cs="Times New Roman"/>
          <w:b/>
          <w:sz w:val="24"/>
          <w:lang w:val="cs-CZ"/>
        </w:rPr>
        <w:t>S</w:t>
      </w:r>
      <w:r w:rsidRPr="00D11F1C">
        <w:rPr>
          <w:rFonts w:ascii="Times New Roman" w:hAnsi="Times New Roman" w:cs="Times New Roman"/>
          <w:b/>
          <w:sz w:val="24"/>
          <w:lang w:val="cs-CZ"/>
        </w:rPr>
        <w:t>ervices a.s.</w:t>
      </w:r>
    </w:p>
    <w:p w:rsidR="0052781C" w:rsidRPr="00AE7071" w:rsidRDefault="002A54B1" w:rsidP="00D23BF7">
      <w:pPr>
        <w:numPr>
          <w:ilvl w:val="0"/>
          <w:numId w:val="5"/>
        </w:numPr>
        <w:spacing w:line="100" w:lineRule="atLeast"/>
        <w:ind w:left="709" w:right="420" w:hanging="709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 xml:space="preserve">V souladu s čl. VII. Bod 5. nájemní smlouvy dále pronajímatel souhlasí s využitím mycí linky, umístěné v areálu, jež je předmětem nájmu, i pro jiná vozidla než pro vozidla zajišťující MHD v Teplicích a to pro komerční účely. Pronajímatel uděluje souhlas s provozováním mycí linky společností Arriva </w:t>
      </w:r>
      <w:r w:rsidR="005C4A7C">
        <w:rPr>
          <w:rFonts w:ascii="Times New Roman" w:hAnsi="Times New Roman" w:cs="Times New Roman"/>
          <w:sz w:val="24"/>
          <w:lang w:val="cs-CZ"/>
        </w:rPr>
        <w:t>S</w:t>
      </w:r>
      <w:r w:rsidRPr="00AE7071">
        <w:rPr>
          <w:rFonts w:ascii="Times New Roman" w:hAnsi="Times New Roman" w:cs="Times New Roman"/>
          <w:sz w:val="24"/>
          <w:lang w:val="cs-CZ"/>
        </w:rPr>
        <w:t>ervices a.s.</w:t>
      </w:r>
    </w:p>
    <w:p w:rsidR="005C4A7C" w:rsidRDefault="005C4A7C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  <w:lang w:val="cs-CZ"/>
        </w:rPr>
      </w:pPr>
    </w:p>
    <w:p w:rsidR="005C4A7C" w:rsidRDefault="005C4A7C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  <w:lang w:val="cs-CZ"/>
        </w:rPr>
      </w:pPr>
    </w:p>
    <w:p w:rsidR="0052781C" w:rsidRPr="00AE7071" w:rsidRDefault="002A54B1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E7071">
        <w:rPr>
          <w:rFonts w:ascii="Times New Roman" w:hAnsi="Times New Roman" w:cs="Times New Roman"/>
          <w:b/>
          <w:sz w:val="24"/>
          <w:lang w:val="cs-CZ"/>
        </w:rPr>
        <w:lastRenderedPageBreak/>
        <w:t>II.</w:t>
      </w:r>
    </w:p>
    <w:p w:rsidR="00D11F1C" w:rsidRDefault="002A54B1" w:rsidP="00D11F1C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  <w:lang w:val="cs-CZ"/>
        </w:rPr>
      </w:pPr>
      <w:r w:rsidRPr="00AE7071">
        <w:rPr>
          <w:rFonts w:ascii="Times New Roman" w:hAnsi="Times New Roman" w:cs="Times New Roman"/>
          <w:b/>
          <w:sz w:val="24"/>
          <w:lang w:val="cs-CZ"/>
        </w:rPr>
        <w:t>Poplatek</w:t>
      </w:r>
    </w:p>
    <w:p w:rsidR="0052781C" w:rsidRPr="00D11F1C" w:rsidRDefault="002A54B1" w:rsidP="00D11F1C">
      <w:pPr>
        <w:pStyle w:val="Odstavecseseznamem"/>
        <w:numPr>
          <w:ilvl w:val="1"/>
          <w:numId w:val="5"/>
        </w:numPr>
        <w:tabs>
          <w:tab w:val="clear" w:pos="1080"/>
        </w:tabs>
        <w:spacing w:line="100" w:lineRule="atLeast"/>
        <w:ind w:left="709" w:right="420" w:hanging="709"/>
        <w:rPr>
          <w:rFonts w:ascii="Times New Roman" w:hAnsi="Times New Roman" w:cs="Times New Roman"/>
          <w:b/>
          <w:sz w:val="24"/>
          <w:lang w:val="cs-CZ"/>
        </w:rPr>
      </w:pPr>
      <w:r w:rsidRPr="00D11F1C">
        <w:rPr>
          <w:rFonts w:ascii="Times New Roman" w:hAnsi="Times New Roman" w:cs="Times New Roman"/>
          <w:b/>
          <w:sz w:val="24"/>
          <w:lang w:val="cs-CZ"/>
        </w:rPr>
        <w:t>Pronajímatel a nájemce se dohodli na následujících pravidlech a výši poplatku:</w:t>
      </w:r>
    </w:p>
    <w:p w:rsidR="0052781C" w:rsidRPr="00D11F1C" w:rsidRDefault="002A54B1" w:rsidP="00D11F1C">
      <w:pPr>
        <w:pStyle w:val="Odstavecseseznamem"/>
        <w:numPr>
          <w:ilvl w:val="0"/>
          <w:numId w:val="9"/>
        </w:numPr>
        <w:spacing w:line="100" w:lineRule="atLeast"/>
        <w:ind w:left="1276" w:right="420" w:hanging="567"/>
        <w:jc w:val="both"/>
        <w:rPr>
          <w:lang w:val="cs-CZ"/>
        </w:rPr>
      </w:pPr>
      <w:r w:rsidRPr="00D11F1C">
        <w:rPr>
          <w:rFonts w:ascii="Times New Roman" w:hAnsi="Times New Roman" w:cs="Times New Roman"/>
          <w:b/>
          <w:sz w:val="24"/>
          <w:lang w:val="cs-CZ"/>
        </w:rPr>
        <w:t xml:space="preserve">Za provozování komerční činnosti na čerpací stanici bude nájemce hradit pronajímateli paušální poplatek ve výši 117 000,- Kč za rok, tj. 9 750,- Kč za měsíc.  </w:t>
      </w:r>
    </w:p>
    <w:p w:rsidR="0052781C" w:rsidRPr="00D11F1C" w:rsidRDefault="002A54B1" w:rsidP="00D11F1C">
      <w:pPr>
        <w:pStyle w:val="Odstavecseseznamem"/>
        <w:numPr>
          <w:ilvl w:val="0"/>
          <w:numId w:val="9"/>
        </w:numPr>
        <w:spacing w:line="100" w:lineRule="atLeast"/>
        <w:ind w:left="1276" w:right="420" w:hanging="567"/>
        <w:jc w:val="both"/>
        <w:rPr>
          <w:lang w:val="cs-CZ"/>
        </w:rPr>
      </w:pPr>
      <w:r w:rsidRPr="00D11F1C">
        <w:rPr>
          <w:rFonts w:ascii="Times New Roman" w:hAnsi="Times New Roman" w:cs="Times New Roman"/>
          <w:b/>
          <w:sz w:val="24"/>
          <w:lang w:val="cs-CZ"/>
        </w:rPr>
        <w:t xml:space="preserve">Za provozování komerční činnosti na mycí lince bude nájemce hradit pronajímateli paušální poplatek ve výši 285 000,- Kč za rok, tj. 23 750,-Kč za měsíc. </w:t>
      </w:r>
    </w:p>
    <w:p w:rsidR="0052781C" w:rsidRPr="00AE7071" w:rsidRDefault="002A54B1" w:rsidP="00D11F1C">
      <w:pPr>
        <w:pStyle w:val="Odstavecseseznamem"/>
        <w:numPr>
          <w:ilvl w:val="0"/>
          <w:numId w:val="8"/>
        </w:numPr>
        <w:spacing w:line="100" w:lineRule="atLeast"/>
        <w:ind w:right="420" w:hanging="786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Využitím předmětu nájmu pro komerční účely i pro jiná vozidla než pro vozidla používaná</w:t>
      </w:r>
      <w:r w:rsidR="005A5950">
        <w:rPr>
          <w:rFonts w:ascii="Times New Roman" w:hAnsi="Times New Roman" w:cs="Times New Roman"/>
          <w:sz w:val="24"/>
          <w:lang w:val="cs-CZ"/>
        </w:rPr>
        <w:t xml:space="preserve"> v</w:t>
      </w:r>
      <w:r w:rsidRPr="00AE7071">
        <w:rPr>
          <w:rFonts w:ascii="Times New Roman" w:hAnsi="Times New Roman" w:cs="Times New Roman"/>
          <w:sz w:val="24"/>
          <w:lang w:val="cs-CZ"/>
        </w:rPr>
        <w:t xml:space="preserve"> systému MHD Teplice nebude nijak omezeno využívání movitých a nemovitých věcí pro vozidla používaná výlučně v systému MHD v Teplicích. Za případné škody na uvedených věcech způsobené třetími osobami odpovídá pronajímateli nájemce tak, jako kdyby škodu způsobil sám, nebude-li v konkrétním případě sjednáno jinak. </w:t>
      </w:r>
    </w:p>
    <w:p w:rsidR="0052781C" w:rsidRPr="00AE7071" w:rsidRDefault="002A54B1" w:rsidP="00D11F1C">
      <w:pPr>
        <w:pStyle w:val="Odstavecseseznamem"/>
        <w:numPr>
          <w:ilvl w:val="0"/>
          <w:numId w:val="8"/>
        </w:numPr>
        <w:spacing w:line="100" w:lineRule="atLeast"/>
        <w:ind w:right="420" w:hanging="786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Za každý jednotlivý případ porušení výše uvedených pravidel, sjednaných v tomto Dodatku se sjednává smluvní pokuta ve výši 10 000,- Kč. Pokuta je splatná do 15 dnů po doručení výzvy k zaplacení. Právo na náhradu škody není zaplacením smluvní pokuty dotčeno.</w:t>
      </w:r>
    </w:p>
    <w:p w:rsidR="0052781C" w:rsidRPr="00AE7071" w:rsidRDefault="002A54B1" w:rsidP="00D11F1C">
      <w:pPr>
        <w:pStyle w:val="Odstavecseseznamem"/>
        <w:numPr>
          <w:ilvl w:val="0"/>
          <w:numId w:val="8"/>
        </w:numPr>
        <w:spacing w:line="100" w:lineRule="atLeast"/>
        <w:ind w:right="420" w:hanging="786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Opakované porušení pravidel sjednaných v tomto Dodatku je důvodem pro výpověď tohoto dodatku ve zkrácené tříměsíční lhůtě.</w:t>
      </w:r>
    </w:p>
    <w:p w:rsidR="0052781C" w:rsidRPr="00AE7071" w:rsidRDefault="002A54B1" w:rsidP="00D11F1C">
      <w:pPr>
        <w:pStyle w:val="Odstavecseseznamem"/>
        <w:numPr>
          <w:ilvl w:val="0"/>
          <w:numId w:val="8"/>
        </w:numPr>
        <w:spacing w:line="100" w:lineRule="atLeast"/>
        <w:ind w:right="420" w:hanging="786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 xml:space="preserve">Pronajímatel je oprávněn vypovědět tento Dodatek samostatně bez ohledu na účinnost a platnost Nájemní smlouvy s šestiměsíční výpovědní lhůtou s uvedením konkrétního důvodu, pokud po Pronajímateli nelze dále spravedlivě požadovat, aby byl tímto Dodatkem vázán. </w:t>
      </w:r>
    </w:p>
    <w:p w:rsidR="0052781C" w:rsidRPr="00AE7071" w:rsidRDefault="002A54B1" w:rsidP="00D11F1C">
      <w:pPr>
        <w:pStyle w:val="Odstavecseseznamem"/>
        <w:numPr>
          <w:ilvl w:val="0"/>
          <w:numId w:val="8"/>
        </w:numPr>
        <w:spacing w:line="100" w:lineRule="atLeast"/>
        <w:ind w:right="420" w:hanging="720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 xml:space="preserve">Nájemce je oprávněn vypovědět tento Dodatek samostatně bez ohledu na účinnost a platnost Nájemní smlouvy s šestiměsíční výpovědní lhůtou s uvedením konkrétního důvodu, pokud po nájemci nelze dále spravedlivě požadovat, aby byl tímto Dodatkem vázán. </w:t>
      </w:r>
    </w:p>
    <w:p w:rsidR="0052781C" w:rsidRPr="00AE7071" w:rsidRDefault="002A54B1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III.</w:t>
      </w:r>
    </w:p>
    <w:p w:rsidR="0052781C" w:rsidRPr="00AE7071" w:rsidRDefault="002A54B1">
      <w:pPr>
        <w:spacing w:line="100" w:lineRule="atLeast"/>
        <w:ind w:left="570" w:right="420"/>
        <w:jc w:val="center"/>
        <w:rPr>
          <w:rFonts w:ascii="Times New Roman" w:hAnsi="Times New Roman" w:cs="Times New Roman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b/>
          <w:color w:val="00000A"/>
          <w:sz w:val="24"/>
          <w:lang w:val="cs-CZ"/>
        </w:rPr>
        <w:t>Způsob úhrady poplatku</w:t>
      </w:r>
    </w:p>
    <w:p w:rsidR="0052781C" w:rsidRPr="00AE7071" w:rsidRDefault="002A54B1">
      <w:pPr>
        <w:numPr>
          <w:ilvl w:val="0"/>
          <w:numId w:val="4"/>
        </w:numPr>
        <w:spacing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Poplatek za užívání předmětu nájmu dle tohoto dodatku se stanoví samostatně dle bodu II. tohoto dodatku. K poplatku bude přičtena DPH ve výši platné ke dni uskutečnění zdanitelného plnění. </w:t>
      </w:r>
    </w:p>
    <w:p w:rsidR="0052781C" w:rsidRPr="00AE7071" w:rsidRDefault="002A54B1">
      <w:pPr>
        <w:numPr>
          <w:ilvl w:val="0"/>
          <w:numId w:val="4"/>
        </w:numPr>
        <w:spacing w:line="100" w:lineRule="atLeast"/>
        <w:ind w:left="709" w:hanging="709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V poplatku nejsou zahrnuty úhrady za služby spojené s užíváním předmětu nájmu, zejména náklady za spotřebovanou elektrickou energii, plyn, vodu teplou a studenou, otop, stočné, úklid společných prostor, odvoz TDO, telekomunikační služby, provozní náklady, spotřebované pohonné hmoty, apod.  Veškeré takové služby a dodávky si sjednává nájemce sám vlastními smlouvami s jejich dodavateli (poskytovateli) a nese je ze svého.</w:t>
      </w:r>
    </w:p>
    <w:p w:rsidR="0052781C" w:rsidRPr="00AE7071" w:rsidRDefault="002A54B1">
      <w:pPr>
        <w:numPr>
          <w:ilvl w:val="0"/>
          <w:numId w:val="4"/>
        </w:numPr>
        <w:tabs>
          <w:tab w:val="left" w:pos="709"/>
        </w:tabs>
        <w:spacing w:line="100" w:lineRule="atLeast"/>
        <w:ind w:left="709" w:hanging="709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Poplatek bude hrazen vždy v pravidelných měsíčních splátkách, a to tak, že splatnost se sjednává nejpozději k 25. dni kalendářního měsíce, za který je hrazeno, ne však dříve, než 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lastRenderedPageBreak/>
        <w:t>sedm dnů ode dne, kdy obdržel nájemce fakturu pronajímatele.</w:t>
      </w:r>
      <w:r w:rsidRPr="00AE7071">
        <w:rPr>
          <w:rFonts w:ascii="Times New Roman" w:eastAsia="Times New Roman" w:hAnsi="Times New Roman" w:cs="Times New Roman"/>
          <w:color w:val="00000A"/>
          <w:sz w:val="24"/>
          <w:vertAlign w:val="superscript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Pronajímatel vždy vystaví fakturu (daňový doklad). Poplatek bude nájemce hradit pronajímateli bezhotovostně převodem na účet pronajímatele, uvedený ve faktuře. Faktura musí být doručena nájemci nejméně 7</w:t>
      </w:r>
      <w:r w:rsidR="005C4A7C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(slovy sedm) dnů přede dnem její splatnosti. </w:t>
      </w:r>
    </w:p>
    <w:p w:rsidR="0052781C" w:rsidRPr="00AE7071" w:rsidRDefault="002A54B1">
      <w:pPr>
        <w:numPr>
          <w:ilvl w:val="0"/>
          <w:numId w:val="4"/>
        </w:numPr>
        <w:tabs>
          <w:tab w:val="left" w:pos="709"/>
        </w:tabs>
        <w:spacing w:line="100" w:lineRule="atLeast"/>
        <w:ind w:left="709" w:hanging="709"/>
        <w:jc w:val="both"/>
        <w:rPr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Pro případ prodlení nájemce s úhradou poplatku se sjednává ve prospěch pronajímatele smluvní pokuta ve výši 0,2 % z dlužné částky, a to za každý den prodlení až do zaplacení.</w:t>
      </w:r>
    </w:p>
    <w:p w:rsidR="0052781C" w:rsidRPr="00AE7071" w:rsidRDefault="002A54B1">
      <w:pPr>
        <w:numPr>
          <w:ilvl w:val="0"/>
          <w:numId w:val="4"/>
        </w:numPr>
        <w:spacing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Pokud bude faktura obsahovat vadné či chybné údaje nebo nebude některé údaje obsahovat vůbec, je povinen nájemce fakturu pronajímateli vrátit ve lhůtě splatnosti s vyznačením vady faktury. Po vystavení nové bezvadné faktury počíná běžet nová lhůta splatnosti, která činí 7 (slovy sedm) dnů ode dne jejího doručení.</w:t>
      </w:r>
    </w:p>
    <w:p w:rsidR="0052781C" w:rsidRPr="00AE7071" w:rsidRDefault="002A54B1">
      <w:pPr>
        <w:numPr>
          <w:ilvl w:val="0"/>
          <w:numId w:val="4"/>
        </w:numPr>
        <w:spacing w:line="100" w:lineRule="atLeast"/>
        <w:ind w:left="680" w:hanging="680"/>
        <w:jc w:val="both"/>
        <w:rPr>
          <w:rFonts w:ascii="Times New Roman" w:eastAsia="Times New Roman" w:hAnsi="Times New Roman" w:cs="Times New Roman"/>
          <w:color w:val="00000A"/>
          <w:sz w:val="24"/>
          <w:lang w:val="cs-CZ"/>
        </w:rPr>
      </w:pP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Pronajímatel je oprávněn ke kontrole plnění povinností Nájemce z tohoto Dodatku a Nájemce se zavazuje při takové kontrole poskytnout potřebnou součinnost.</w:t>
      </w:r>
    </w:p>
    <w:p w:rsidR="0052781C" w:rsidRPr="00AE7071" w:rsidRDefault="002A54B1" w:rsidP="00817D60">
      <w:pPr>
        <w:jc w:val="center"/>
        <w:rPr>
          <w:rFonts w:ascii="Times New Roman" w:hAnsi="Times New Roman" w:cs="Times New Roman"/>
          <w:b/>
          <w:bCs/>
          <w:color w:val="FF0000"/>
          <w:sz w:val="24"/>
          <w:lang w:val="cs-CZ"/>
        </w:rPr>
      </w:pPr>
      <w:r w:rsidRPr="00AE7071">
        <w:rPr>
          <w:rFonts w:ascii="Times New Roman" w:hAnsi="Times New Roman" w:cs="Times New Roman"/>
          <w:b/>
          <w:bCs/>
          <w:sz w:val="24"/>
          <w:lang w:val="cs-CZ"/>
        </w:rPr>
        <w:t>IV. Závěrečná ustanovení</w:t>
      </w:r>
    </w:p>
    <w:p w:rsidR="0052781C" w:rsidRPr="00AE7071" w:rsidRDefault="002A54B1" w:rsidP="00817D60">
      <w:pPr>
        <w:numPr>
          <w:ilvl w:val="0"/>
          <w:numId w:val="3"/>
        </w:numPr>
        <w:tabs>
          <w:tab w:val="clear" w:pos="720"/>
        </w:tabs>
        <w:ind w:hanging="720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Pronajímatel a nájemce se dohodli, že nájemce odpovídá za veškeré škody na majetku pronajímatele a na majetku třetích osob, jež budou mít svůj původ v činnosti, provozované jako komerční činnost dle tohoto Dodatku.</w:t>
      </w:r>
    </w:p>
    <w:p w:rsidR="0052781C" w:rsidRPr="00AE7071" w:rsidRDefault="002A54B1" w:rsidP="00817D60">
      <w:pPr>
        <w:numPr>
          <w:ilvl w:val="0"/>
          <w:numId w:val="3"/>
        </w:numPr>
        <w:ind w:hanging="720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Účastníci prohlašují, že si dodatek před jeho podpisem přečetli, že jeho obsahu porozuměli a že dodatek vyjadřuje jejich pravou skutečnou vůli, což stvrzují svými podpisy.</w:t>
      </w:r>
    </w:p>
    <w:p w:rsidR="0052781C" w:rsidRPr="00AE7071" w:rsidRDefault="002A54B1" w:rsidP="00817D60">
      <w:pPr>
        <w:numPr>
          <w:ilvl w:val="0"/>
          <w:numId w:val="3"/>
        </w:numPr>
        <w:ind w:hanging="720"/>
        <w:jc w:val="both"/>
        <w:rPr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 xml:space="preserve">Ostatní ustanovení nájemní smlouvy – přílohy č. 7 ke Smlouvě o veřejných službách </w:t>
      </w:r>
      <w:r w:rsidRPr="00AE7071">
        <w:rPr>
          <w:rFonts w:ascii="Times New Roman" w:hAnsi="Times New Roman" w:cs="Times New Roman"/>
          <w:sz w:val="24"/>
          <w:lang w:val="cs-CZ"/>
        </w:rPr>
        <w:br/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č. 376/OD/2018 ze dne 29.</w:t>
      </w:r>
      <w:r w:rsidR="001128B0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6.</w:t>
      </w:r>
      <w:r w:rsidR="001128B0">
        <w:rPr>
          <w:rFonts w:ascii="Times New Roman" w:eastAsia="Times New Roman" w:hAnsi="Times New Roman" w:cs="Times New Roman"/>
          <w:color w:val="00000A"/>
          <w:sz w:val="24"/>
          <w:lang w:val="cs-CZ"/>
        </w:rPr>
        <w:t xml:space="preserve"> </w:t>
      </w:r>
      <w:r w:rsidRPr="00AE7071">
        <w:rPr>
          <w:rFonts w:ascii="Times New Roman" w:eastAsia="Times New Roman" w:hAnsi="Times New Roman" w:cs="Times New Roman"/>
          <w:color w:val="00000A"/>
          <w:sz w:val="24"/>
          <w:lang w:val="cs-CZ"/>
        </w:rPr>
        <w:t>2018</w:t>
      </w:r>
      <w:r w:rsidRPr="00AE7071">
        <w:rPr>
          <w:rFonts w:ascii="Times New Roman" w:hAnsi="Times New Roman" w:cs="Times New Roman"/>
          <w:sz w:val="24"/>
          <w:lang w:val="cs-CZ"/>
        </w:rPr>
        <w:t xml:space="preserve"> a dodatku č. 1</w:t>
      </w:r>
      <w:r w:rsidR="0090561D">
        <w:rPr>
          <w:rFonts w:ascii="Times New Roman" w:hAnsi="Times New Roman" w:cs="Times New Roman"/>
          <w:sz w:val="24"/>
          <w:lang w:val="cs-CZ"/>
        </w:rPr>
        <w:t xml:space="preserve"> </w:t>
      </w:r>
      <w:r w:rsidRPr="00AE7071">
        <w:rPr>
          <w:rFonts w:ascii="Times New Roman" w:hAnsi="Times New Roman" w:cs="Times New Roman"/>
          <w:sz w:val="24"/>
          <w:lang w:val="cs-CZ"/>
        </w:rPr>
        <w:t xml:space="preserve">zůstávají </w:t>
      </w:r>
      <w:r w:rsidR="0090561D">
        <w:rPr>
          <w:rFonts w:ascii="Times New Roman" w:hAnsi="Times New Roman" w:cs="Times New Roman"/>
          <w:sz w:val="24"/>
          <w:lang w:val="cs-CZ"/>
        </w:rPr>
        <w:t xml:space="preserve">v platnosti </w:t>
      </w:r>
      <w:r w:rsidRPr="00AE7071">
        <w:rPr>
          <w:rFonts w:ascii="Times New Roman" w:hAnsi="Times New Roman" w:cs="Times New Roman"/>
          <w:sz w:val="24"/>
          <w:lang w:val="cs-CZ"/>
        </w:rPr>
        <w:t>beze změny.</w:t>
      </w:r>
    </w:p>
    <w:p w:rsidR="0052781C" w:rsidRPr="00AE7071" w:rsidRDefault="002A54B1" w:rsidP="00817D60">
      <w:pPr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Tento dodatek je vyhotoven ve čtyřech stejnopisech, každý s platností originálu, z nichž dva výtisky obdrží každá ze smluvních stran. Všechny informace uvedené v Dodatku jsou považovány za veřejné a podléhají zveřejnění dle obecně závazných předpisů, stejně tak jako Dodatek samotný.</w:t>
      </w:r>
    </w:p>
    <w:p w:rsidR="00D11F1C" w:rsidRDefault="002A54B1" w:rsidP="00817D60">
      <w:pPr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lang w:val="cs-CZ"/>
        </w:rPr>
      </w:pPr>
      <w:r w:rsidRPr="00AE7071">
        <w:rPr>
          <w:rFonts w:ascii="Times New Roman" w:hAnsi="Times New Roman" w:cs="Times New Roman"/>
          <w:sz w:val="24"/>
          <w:lang w:val="cs-CZ"/>
        </w:rPr>
        <w:t>Tento dodatek nabývá platnosti a účinnosti dnem podpisu obou smluvních stran pokud k jeho účinnosti není zapotřebí zveřejnění v registru smluv podle zvláštního zákona.</w:t>
      </w:r>
    </w:p>
    <w:p w:rsidR="0052781C" w:rsidRPr="00D11F1C" w:rsidRDefault="002A54B1" w:rsidP="00817D60">
      <w:pPr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lang w:val="cs-CZ"/>
        </w:rPr>
      </w:pPr>
      <w:r w:rsidRPr="00D11F1C">
        <w:rPr>
          <w:rFonts w:ascii="Times New Roman" w:hAnsi="Times New Roman" w:cs="Times New Roman"/>
          <w:sz w:val="24"/>
          <w:lang w:val="cs-CZ"/>
        </w:rPr>
        <w:t xml:space="preserve">Uzavření </w:t>
      </w:r>
      <w:r w:rsidR="00FD041B" w:rsidRPr="00D11F1C">
        <w:rPr>
          <w:rFonts w:ascii="Times New Roman" w:hAnsi="Times New Roman" w:cs="Times New Roman"/>
          <w:sz w:val="24"/>
          <w:lang w:val="cs-CZ"/>
        </w:rPr>
        <w:t xml:space="preserve">dodatku </w:t>
      </w:r>
      <w:r w:rsidRPr="00D11F1C">
        <w:rPr>
          <w:rFonts w:ascii="Times New Roman" w:hAnsi="Times New Roman" w:cs="Times New Roman"/>
          <w:sz w:val="24"/>
          <w:lang w:val="cs-CZ"/>
        </w:rPr>
        <w:t>smlouvy bylo schváleno radou města Teplice</w:t>
      </w:r>
      <w:r w:rsidR="00817D60">
        <w:rPr>
          <w:rFonts w:ascii="Times New Roman" w:hAnsi="Times New Roman" w:cs="Times New Roman"/>
          <w:sz w:val="24"/>
          <w:lang w:val="cs-CZ"/>
        </w:rPr>
        <w:t xml:space="preserve"> dne 24. 8. 2018 </w:t>
      </w:r>
      <w:r w:rsidRPr="00D11F1C">
        <w:rPr>
          <w:rFonts w:ascii="Times New Roman" w:hAnsi="Times New Roman" w:cs="Times New Roman"/>
          <w:sz w:val="24"/>
          <w:lang w:val="cs-CZ"/>
        </w:rPr>
        <w:t xml:space="preserve">pod číslem </w:t>
      </w:r>
      <w:r w:rsidR="0090561D">
        <w:rPr>
          <w:rFonts w:ascii="Times New Roman" w:hAnsi="Times New Roman" w:cs="Times New Roman"/>
          <w:sz w:val="24"/>
          <w:lang w:val="cs-CZ"/>
        </w:rPr>
        <w:t>usnesení 0711/18.</w:t>
      </w:r>
    </w:p>
    <w:p w:rsidR="0052781C" w:rsidRPr="001128B0" w:rsidRDefault="002A54B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  <w:r w:rsidRPr="001128B0">
        <w:rPr>
          <w:rFonts w:ascii="Times New Roman" w:hAnsi="Times New Roman" w:cs="Times New Roman"/>
          <w:sz w:val="24"/>
          <w:lang w:val="cs-CZ"/>
        </w:rPr>
        <w:t>V</w:t>
      </w:r>
      <w:r w:rsidR="00D07D03">
        <w:rPr>
          <w:rFonts w:ascii="Times New Roman" w:hAnsi="Times New Roman" w:cs="Times New Roman"/>
          <w:sz w:val="24"/>
          <w:lang w:val="cs-CZ"/>
        </w:rPr>
        <w:t> </w:t>
      </w:r>
      <w:r w:rsidRPr="001128B0">
        <w:rPr>
          <w:rFonts w:ascii="Times New Roman" w:hAnsi="Times New Roman" w:cs="Times New Roman"/>
          <w:sz w:val="24"/>
          <w:lang w:val="cs-CZ"/>
        </w:rPr>
        <w:t>Teplicích</w:t>
      </w:r>
      <w:r w:rsidR="00D07D03">
        <w:rPr>
          <w:rFonts w:ascii="Times New Roman" w:hAnsi="Times New Roman" w:cs="Times New Roman"/>
          <w:sz w:val="24"/>
          <w:lang w:val="cs-CZ"/>
        </w:rPr>
        <w:t xml:space="preserve"> dne</w:t>
      </w:r>
      <w:r w:rsidRPr="001128B0">
        <w:rPr>
          <w:rFonts w:ascii="Times New Roman" w:hAnsi="Times New Roman" w:cs="Times New Roman"/>
          <w:sz w:val="24"/>
          <w:lang w:val="cs-CZ"/>
        </w:rPr>
        <w:t xml:space="preserve"> </w:t>
      </w:r>
      <w:r w:rsidR="000B5333">
        <w:rPr>
          <w:rFonts w:ascii="Times New Roman" w:hAnsi="Times New Roman" w:cs="Times New Roman"/>
          <w:sz w:val="24"/>
          <w:lang w:val="cs-CZ"/>
        </w:rPr>
        <w:t>30. 8. 2018</w:t>
      </w:r>
      <w:bookmarkStart w:id="0" w:name="_GoBack"/>
      <w:bookmarkEnd w:id="0"/>
      <w:r w:rsidRPr="001128B0">
        <w:rPr>
          <w:rFonts w:ascii="Times New Roman" w:hAnsi="Times New Roman" w:cs="Times New Roman"/>
          <w:sz w:val="24"/>
          <w:lang w:val="cs-CZ"/>
        </w:rPr>
        <w:t xml:space="preserve">                      </w:t>
      </w:r>
      <w:r w:rsidRPr="001128B0">
        <w:rPr>
          <w:rFonts w:ascii="Times New Roman" w:hAnsi="Times New Roman" w:cs="Times New Roman"/>
          <w:sz w:val="24"/>
          <w:lang w:val="cs-CZ"/>
        </w:rPr>
        <w:tab/>
        <w:t>V</w:t>
      </w:r>
      <w:r w:rsidR="00D07D03">
        <w:rPr>
          <w:rFonts w:ascii="Times New Roman" w:hAnsi="Times New Roman" w:cs="Times New Roman"/>
          <w:sz w:val="24"/>
          <w:lang w:val="cs-CZ"/>
        </w:rPr>
        <w:t> </w:t>
      </w:r>
      <w:r w:rsidRPr="001128B0">
        <w:rPr>
          <w:rFonts w:ascii="Times New Roman" w:hAnsi="Times New Roman" w:cs="Times New Roman"/>
          <w:sz w:val="24"/>
          <w:lang w:val="cs-CZ"/>
        </w:rPr>
        <w:t>Teplicích</w:t>
      </w:r>
      <w:r w:rsidR="00D07D03">
        <w:rPr>
          <w:rFonts w:ascii="Times New Roman" w:hAnsi="Times New Roman" w:cs="Times New Roman"/>
          <w:sz w:val="24"/>
          <w:lang w:val="cs-CZ"/>
        </w:rPr>
        <w:t xml:space="preserve"> dne</w:t>
      </w:r>
      <w:r w:rsidRPr="001128B0">
        <w:rPr>
          <w:rFonts w:ascii="Times New Roman" w:hAnsi="Times New Roman" w:cs="Times New Roman"/>
          <w:sz w:val="24"/>
          <w:lang w:val="cs-CZ"/>
        </w:rPr>
        <w:t xml:space="preserve"> </w:t>
      </w:r>
      <w:r w:rsidR="000B5333">
        <w:rPr>
          <w:rFonts w:ascii="Times New Roman" w:hAnsi="Times New Roman" w:cs="Times New Roman"/>
          <w:sz w:val="24"/>
          <w:lang w:val="cs-CZ"/>
        </w:rPr>
        <w:t>29. 8. 2018</w:t>
      </w:r>
      <w:r w:rsidRPr="001128B0">
        <w:rPr>
          <w:rFonts w:ascii="Times New Roman" w:hAnsi="Times New Roman" w:cs="Times New Roman"/>
          <w:sz w:val="24"/>
          <w:lang w:val="cs-CZ"/>
        </w:rPr>
        <w:t xml:space="preserve">                                       </w:t>
      </w:r>
    </w:p>
    <w:p w:rsidR="0052781C" w:rsidRPr="001128B0" w:rsidRDefault="002A54B1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  <w:r w:rsidRPr="001128B0">
        <w:rPr>
          <w:rFonts w:ascii="Times New Roman" w:hAnsi="Times New Roman" w:cs="Times New Roman"/>
          <w:sz w:val="24"/>
          <w:lang w:val="cs-CZ"/>
        </w:rPr>
        <w:t>Za pronajímatele:</w:t>
      </w:r>
      <w:r w:rsidRPr="001128B0">
        <w:rPr>
          <w:rFonts w:ascii="Times New Roman" w:hAnsi="Times New Roman" w:cs="Times New Roman"/>
          <w:sz w:val="24"/>
          <w:lang w:val="cs-CZ"/>
        </w:rPr>
        <w:tab/>
        <w:t>Za nájemce:</w:t>
      </w:r>
    </w:p>
    <w:p w:rsidR="0052781C" w:rsidRPr="001128B0" w:rsidRDefault="0052781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</w:p>
    <w:p w:rsidR="0052781C" w:rsidRDefault="0052781C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</w:p>
    <w:p w:rsidR="001128B0" w:rsidRPr="001128B0" w:rsidRDefault="001128B0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</w:p>
    <w:p w:rsidR="0052781C" w:rsidRPr="001128B0" w:rsidRDefault="00D944EF">
      <w:pPr>
        <w:tabs>
          <w:tab w:val="left" w:pos="5400"/>
        </w:tabs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Bc. Hynek Hanza</w:t>
      </w:r>
      <w:r>
        <w:rPr>
          <w:rFonts w:ascii="Times New Roman" w:hAnsi="Times New Roman" w:cs="Times New Roman"/>
          <w:sz w:val="24"/>
          <w:lang w:val="cs-CZ"/>
        </w:rPr>
        <w:tab/>
      </w:r>
      <w:r w:rsidR="002A54B1" w:rsidRPr="001128B0">
        <w:rPr>
          <w:rFonts w:ascii="Times New Roman" w:hAnsi="Times New Roman" w:cs="Times New Roman"/>
          <w:sz w:val="24"/>
          <w:lang w:val="cs-CZ"/>
        </w:rPr>
        <w:t>Mgr. Petr Čihák</w:t>
      </w:r>
    </w:p>
    <w:p w:rsidR="0052781C" w:rsidRPr="001128B0" w:rsidRDefault="002A54B1" w:rsidP="001128B0">
      <w:pPr>
        <w:numPr>
          <w:ilvl w:val="1"/>
          <w:numId w:val="3"/>
        </w:numPr>
        <w:tabs>
          <w:tab w:val="left" w:pos="284"/>
          <w:tab w:val="left" w:pos="5400"/>
        </w:tabs>
        <w:ind w:hanging="1080"/>
        <w:jc w:val="both"/>
        <w:rPr>
          <w:rFonts w:ascii="Times New Roman" w:hAnsi="Times New Roman" w:cs="Times New Roman"/>
          <w:sz w:val="24"/>
          <w:lang w:val="cs-CZ"/>
        </w:rPr>
      </w:pPr>
      <w:r w:rsidRPr="001128B0">
        <w:rPr>
          <w:rFonts w:ascii="Times New Roman" w:hAnsi="Times New Roman" w:cs="Times New Roman"/>
          <w:sz w:val="24"/>
          <w:lang w:val="cs-CZ"/>
        </w:rPr>
        <w:t>náměstek primátora</w:t>
      </w:r>
      <w:r w:rsidRPr="001128B0">
        <w:rPr>
          <w:rFonts w:ascii="Times New Roman" w:hAnsi="Times New Roman" w:cs="Times New Roman"/>
          <w:sz w:val="24"/>
          <w:lang w:val="cs-CZ"/>
        </w:rPr>
        <w:tab/>
      </w:r>
      <w:r w:rsidRPr="001128B0">
        <w:rPr>
          <w:rFonts w:ascii="Times New Roman" w:eastAsia="Times New Roman" w:hAnsi="Times New Roman" w:cs="Times New Roman"/>
          <w:color w:val="00000A"/>
          <w:sz w:val="24"/>
          <w:lang w:val="cs-CZ"/>
        </w:rPr>
        <w:t>jednatel společnosti</w:t>
      </w:r>
      <w:r w:rsidRPr="00AE7071">
        <w:rPr>
          <w:lang w:val="cs-CZ"/>
        </w:rPr>
        <w:t xml:space="preserve"> </w:t>
      </w:r>
      <w:r w:rsidRPr="00AE7071">
        <w:rPr>
          <w:rFonts w:ascii="Verdana" w:hAnsi="Verdana" w:cs="Verdana"/>
          <w:lang w:val="cs-CZ"/>
        </w:rPr>
        <w:tab/>
      </w:r>
    </w:p>
    <w:sectPr w:rsidR="0052781C" w:rsidRPr="001128B0">
      <w:headerReference w:type="default" r:id="rId9"/>
      <w:footerReference w:type="default" r:id="rId10"/>
      <w:pgSz w:w="11906" w:h="16838"/>
      <w:pgMar w:top="1134" w:right="1134" w:bottom="1134" w:left="1134" w:header="708" w:footer="371" w:gutter="0"/>
      <w:cols w:space="708"/>
      <w:formProt w:val="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E5" w:rsidRDefault="00C62CE5">
      <w:pPr>
        <w:spacing w:after="0" w:line="240" w:lineRule="auto"/>
      </w:pPr>
      <w:r>
        <w:separator/>
      </w:r>
    </w:p>
  </w:endnote>
  <w:endnote w:type="continuationSeparator" w:id="0">
    <w:p w:rsidR="00C62CE5" w:rsidRDefault="00C6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MS Mincho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1C" w:rsidRDefault="002A54B1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0B5333">
      <w:rPr>
        <w:noProof/>
      </w:rPr>
      <w:t>3</w:t>
    </w:r>
    <w:r>
      <w:fldChar w:fldCharType="end"/>
    </w:r>
  </w:p>
  <w:p w:rsidR="0052781C" w:rsidRDefault="005278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E5" w:rsidRDefault="00C62CE5">
      <w:pPr>
        <w:spacing w:after="0" w:line="240" w:lineRule="auto"/>
      </w:pPr>
      <w:r>
        <w:separator/>
      </w:r>
    </w:p>
  </w:footnote>
  <w:footnote w:type="continuationSeparator" w:id="0">
    <w:p w:rsidR="00C62CE5" w:rsidRDefault="00C6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81C" w:rsidRDefault="00982AEB">
    <w:pPr>
      <w:pStyle w:val="Zhlav"/>
      <w:jc w:val="right"/>
    </w:pPr>
    <w:r>
      <w:rPr>
        <w:lang w:val="cs-CZ"/>
      </w:rPr>
      <w:t>Dodatek č. 2 p</w:t>
    </w:r>
    <w:r w:rsidR="002A54B1">
      <w:rPr>
        <w:lang w:val="cs-CZ"/>
      </w:rPr>
      <w:t xml:space="preserve">řílohy č. 7 ke smlouvě o veřejných službách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3E22"/>
    <w:multiLevelType w:val="multilevel"/>
    <w:tmpl w:val="E34EDC8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BE24B8D"/>
    <w:multiLevelType w:val="hybridMultilevel"/>
    <w:tmpl w:val="A63274D2"/>
    <w:lvl w:ilvl="0" w:tplc="ADB0E1BC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095AB4"/>
    <w:multiLevelType w:val="hybridMultilevel"/>
    <w:tmpl w:val="EBBE74AA"/>
    <w:lvl w:ilvl="0" w:tplc="19BEFB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F5BF3"/>
    <w:multiLevelType w:val="multilevel"/>
    <w:tmpl w:val="78E66D86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9C67BFD"/>
    <w:multiLevelType w:val="multilevel"/>
    <w:tmpl w:val="E25C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</w:rPr>
    </w:lvl>
  </w:abstractNum>
  <w:abstractNum w:abstractNumId="5">
    <w:nsid w:val="54C721EE"/>
    <w:multiLevelType w:val="multilevel"/>
    <w:tmpl w:val="D5B6595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730"/>
        </w:tabs>
        <w:ind w:left="273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90"/>
        </w:tabs>
        <w:ind w:left="309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10"/>
        </w:tabs>
        <w:ind w:left="3810" w:hanging="360"/>
      </w:pPr>
      <w:rPr>
        <w:rFonts w:eastAsia="Times New Roman" w:cs="Times New Roman"/>
        <w:b/>
        <w:bCs/>
        <w:color w:val="00000A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70"/>
        </w:tabs>
        <w:ind w:left="4170" w:hanging="360"/>
      </w:pPr>
      <w:rPr>
        <w:rFonts w:eastAsia="Times New Roman" w:cs="Times New Roman"/>
        <w:b/>
        <w:bCs/>
        <w:color w:val="00000A"/>
        <w:sz w:val="24"/>
        <w:szCs w:val="24"/>
      </w:rPr>
    </w:lvl>
  </w:abstractNum>
  <w:abstractNum w:abstractNumId="6">
    <w:nsid w:val="61FB2714"/>
    <w:multiLevelType w:val="multilevel"/>
    <w:tmpl w:val="765AF398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Segoe UI" w:hAnsi="Times New Roman" w:cs="Times New Roman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2A73FBB"/>
    <w:multiLevelType w:val="multilevel"/>
    <w:tmpl w:val="C4A2F076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8">
    <w:nsid w:val="76A43A2A"/>
    <w:multiLevelType w:val="hybridMultilevel"/>
    <w:tmpl w:val="30D4A5E6"/>
    <w:lvl w:ilvl="0" w:tplc="13DEA1FC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Pospíšil - ARRIVA TRANSPORT ČESKÁ REPUBLIKA a.s.">
    <w15:presenceInfo w15:providerId="AD" w15:userId="S-1-5-21-830393949-3442988341-1471108308-14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781C"/>
    <w:rsid w:val="000B5333"/>
    <w:rsid w:val="001128B0"/>
    <w:rsid w:val="002A54B1"/>
    <w:rsid w:val="002C7767"/>
    <w:rsid w:val="00302828"/>
    <w:rsid w:val="003957A5"/>
    <w:rsid w:val="0052781C"/>
    <w:rsid w:val="00566BEA"/>
    <w:rsid w:val="005A5950"/>
    <w:rsid w:val="005C4A7C"/>
    <w:rsid w:val="00817D60"/>
    <w:rsid w:val="0090561D"/>
    <w:rsid w:val="00982AEB"/>
    <w:rsid w:val="00985251"/>
    <w:rsid w:val="00AE7071"/>
    <w:rsid w:val="00B06FF9"/>
    <w:rsid w:val="00C62CE5"/>
    <w:rsid w:val="00D07D03"/>
    <w:rsid w:val="00D11F1C"/>
    <w:rsid w:val="00D23BF7"/>
    <w:rsid w:val="00D50FCC"/>
    <w:rsid w:val="00D944EF"/>
    <w:rsid w:val="00FD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styleId="Nadpis1">
    <w:name w:val="heading 1"/>
    <w:basedOn w:val="Normln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spacing w:before="120" w:after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adpis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4"/>
      <w:lang w:val="cs-CZ"/>
    </w:rPr>
  </w:style>
  <w:style w:type="character" w:customStyle="1" w:styleId="WW8Num4z1">
    <w:name w:val="WW8Num4z1"/>
    <w:qFormat/>
    <w:rPr>
      <w:rFonts w:ascii="OpenSymbol;MS Mincho" w:hAnsi="OpenSymbol;MS Mincho" w:cs="OpenSymbol;MS Mincho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7z0">
    <w:name w:val="WW8Num7z0"/>
    <w:qFormat/>
    <w:rPr>
      <w:rFonts w:ascii="Times New Roman" w:hAnsi="Times New Roman" w:cs="Times New Roman"/>
      <w:b/>
      <w:bCs/>
      <w:color w:val="FF000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;MS Mincho"/>
      <w:sz w:val="24"/>
    </w:rPr>
  </w:style>
  <w:style w:type="character" w:customStyle="1" w:styleId="WW8Num9z1">
    <w:name w:val="WW8Num9z1"/>
    <w:qFormat/>
    <w:rPr>
      <w:rFonts w:ascii="OpenSymbol;MS Mincho" w:hAnsi="OpenSymbol;MS Mincho" w:cs="OpenSymbol;MS Mincho"/>
      <w:sz w:val="20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WW8Num14z0">
    <w:name w:val="WW8Num14z0"/>
    <w:qFormat/>
    <w:rPr>
      <w:rFonts w:ascii="Times New Roman" w:hAnsi="Times New Roman" w:cs="Times New Roman"/>
      <w:b/>
      <w:bCs/>
      <w:sz w:val="24"/>
      <w:szCs w:val="24"/>
      <w:lang w:val="cs-CZ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  <w:sz w:val="24"/>
      <w:szCs w:val="24"/>
      <w:shd w:val="clear" w:color="auto" w:fill="FFFF00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19z0">
    <w:name w:val="WW8Num19z0"/>
    <w:qFormat/>
    <w:rPr>
      <w:rFonts w:ascii="Times New Roman" w:hAnsi="Times New Roman" w:cs="Times New Roman"/>
      <w:b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eastAsia="Segoe UI" w:hAnsi="Calibri" w:cs="Tahoma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  <w:b/>
      <w:sz w:val="24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8z1">
    <w:name w:val="WW8Num8z1"/>
    <w:qFormat/>
    <w:rPr>
      <w:rFonts w:ascii="OpenSymbol;MS Mincho" w:hAnsi="OpenSymbol;MS Mincho" w:cs="OpenSymbol;MS Mincho"/>
      <w:sz w:val="20"/>
    </w:rPr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Standardnpsmoodstavce1">
    <w:name w:val="Standardní písmo odstavce1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8Num4zfalse">
    <w:name w:val="WW8Num4zfalse"/>
    <w:qFormat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4ztrue">
    <w:name w:val="WW8Num4ztrue"/>
    <w:qFormat/>
    <w:rPr>
      <w:rFonts w:cs="Arial"/>
    </w:rPr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false">
    <w:name w:val="WW8Num8zfalse"/>
    <w:qFormat/>
  </w:style>
  <w:style w:type="character" w:customStyle="1" w:styleId="WW8Num8ztrue">
    <w:name w:val="WW8Num8ztrue"/>
    <w:qFormat/>
  </w:style>
  <w:style w:type="character" w:customStyle="1" w:styleId="WW8Num6z1">
    <w:name w:val="WW8Num6z1"/>
    <w:qFormat/>
    <w:rPr>
      <w:rFonts w:cs="Arial"/>
      <w:b w:val="0"/>
      <w:i w:val="0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  <w:rPr>
      <w:rFonts w:cs="Arial"/>
    </w:rPr>
  </w:style>
  <w:style w:type="character" w:customStyle="1" w:styleId="WW8Num9zfalse">
    <w:name w:val="WW8Num9zfalse"/>
    <w:qFormat/>
  </w:style>
  <w:style w:type="character" w:customStyle="1" w:styleId="WW8Num9ztrue">
    <w:name w:val="WW8Num9ztrue"/>
    <w:qFormat/>
  </w:style>
  <w:style w:type="character" w:customStyle="1" w:styleId="WW8Num7zfalse">
    <w:name w:val="WW8Num7zfalse"/>
    <w:qFormat/>
    <w:rPr>
      <w:rFonts w:cs="Arial"/>
    </w:rPr>
  </w:style>
  <w:style w:type="character" w:customStyle="1" w:styleId="WW8Num7ztrue">
    <w:name w:val="WW8Num7ztrue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Odrky">
    <w:name w:val="Odrážky"/>
    <w:qFormat/>
    <w:rPr>
      <w:rFonts w:ascii="OpenSymbol;MS Mincho" w:eastAsia="OpenSymbol;MS Mincho" w:hAnsi="OpenSymbol;MS Mincho" w:cs="OpenSymbol;MS Mincho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MS Mincho"/>
    </w:rPr>
  </w:style>
  <w:style w:type="character" w:customStyle="1" w:styleId="TextkomenteChar">
    <w:name w:val="Text komentáře Char"/>
    <w:qFormat/>
    <w:rPr>
      <w:rFonts w:ascii="Calibri" w:eastAsia="Segoe UI" w:hAnsi="Calibri" w:cs="Tahoma"/>
      <w:color w:val="000000"/>
      <w:sz w:val="20"/>
      <w:szCs w:val="20"/>
      <w:lang w:val="en-US" w:bidi="en-US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bublinyChar">
    <w:name w:val="Text bubliny Char"/>
    <w:qFormat/>
    <w:rPr>
      <w:rFonts w:ascii="Tahoma" w:eastAsia="Segoe UI" w:hAnsi="Tahoma" w:cs="Tahoma"/>
      <w:color w:val="000000"/>
      <w:sz w:val="16"/>
      <w:szCs w:val="16"/>
      <w:lang w:val="en-US" w:bidi="en-U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;MS Mincho"/>
    </w:rPr>
  </w:style>
  <w:style w:type="character" w:customStyle="1" w:styleId="Symbolyproslovn">
    <w:name w:val="Symboly pro číslování"/>
    <w:qFormat/>
    <w:rPr>
      <w:rFonts w:ascii="Times New Roman" w:hAnsi="Times New Roman" w:cs="Times New Roman"/>
      <w:sz w:val="24"/>
      <w:szCs w:val="24"/>
    </w:rPr>
  </w:style>
  <w:style w:type="character" w:customStyle="1" w:styleId="TextbublinyChar1">
    <w:name w:val="Text bubliny Char1"/>
    <w:qFormat/>
    <w:rPr>
      <w:rFonts w:ascii="Tahoma" w:eastAsia="Segoe UI" w:hAnsi="Tahoma" w:cs="Tahoma"/>
      <w:color w:val="000000"/>
      <w:kern w:val="2"/>
      <w:sz w:val="16"/>
      <w:szCs w:val="16"/>
      <w:lang w:val="en-US" w:bidi="en-U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Calibri" w:eastAsia="Segoe UI" w:hAnsi="Calibri" w:cs="Tahoma"/>
      <w:color w:val="000000"/>
      <w:kern w:val="2"/>
      <w:lang w:val="en-US" w:bidi="en-US"/>
    </w:rPr>
  </w:style>
  <w:style w:type="character" w:customStyle="1" w:styleId="PedmtkomenteChar">
    <w:name w:val="Předmět komentáře Char"/>
    <w:qFormat/>
    <w:rPr>
      <w:rFonts w:ascii="Calibri" w:eastAsia="Segoe UI" w:hAnsi="Calibri" w:cs="Tahoma"/>
      <w:b/>
      <w:bCs/>
      <w:color w:val="000000"/>
      <w:kern w:val="2"/>
      <w:lang w:val="en-US" w:bidi="en-US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2">
    <w:name w:val="Text komentáře Char2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rFonts w:ascii="Calibri" w:eastAsia="Segoe UI" w:hAnsi="Calibri" w:cs="Tahoma"/>
      <w:color w:val="000000"/>
      <w:kern w:val="2"/>
      <w:sz w:val="22"/>
      <w:szCs w:val="24"/>
      <w:lang w:val="en-US" w:eastAsia="zh-CN" w:bidi="en-US"/>
    </w:rPr>
  </w:style>
  <w:style w:type="character" w:customStyle="1" w:styleId="odkaznakoment20">
    <w:name w:val="odkaznakoment2"/>
    <w:qFormat/>
  </w:style>
  <w:style w:type="character" w:customStyle="1" w:styleId="TextkomenteChar3">
    <w:name w:val="Text komentáře Char3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ZpatChar">
    <w:name w:val="Zápatí Char"/>
    <w:qFormat/>
    <w:rPr>
      <w:rFonts w:ascii="Calibri" w:eastAsia="Segoe UI" w:hAnsi="Calibri" w:cs="Tahoma"/>
      <w:color w:val="000000"/>
      <w:kern w:val="2"/>
      <w:sz w:val="22"/>
      <w:szCs w:val="24"/>
      <w:lang w:val="cs-CZ" w:eastAsia="zh-CN" w:bidi="en-US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</w:rPr>
  </w:style>
  <w:style w:type="character" w:customStyle="1" w:styleId="ListLabel9">
    <w:name w:val="ListLabel 9"/>
    <w:qFormat/>
    <w:rPr>
      <w:rFonts w:ascii="Times New Roman" w:hAnsi="Times New Roman" w:cs="Times New Roman"/>
      <w:sz w:val="24"/>
      <w:szCs w:val="24"/>
    </w:rPr>
  </w:style>
  <w:style w:type="character" w:customStyle="1" w:styleId="ListLabel10">
    <w:name w:val="ListLabel 10"/>
    <w:qFormat/>
    <w:rPr>
      <w:rFonts w:cs="Times New Roman"/>
      <w:sz w:val="24"/>
      <w:szCs w:val="24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sz w:val="24"/>
      <w:szCs w:val="24"/>
    </w:rPr>
  </w:style>
  <w:style w:type="character" w:customStyle="1" w:styleId="ListLabel14">
    <w:name w:val="ListLabel 14"/>
    <w:qFormat/>
    <w:rPr>
      <w:rFonts w:cs="Times New Roman"/>
      <w:sz w:val="24"/>
      <w:szCs w:val="24"/>
    </w:rPr>
  </w:style>
  <w:style w:type="character" w:customStyle="1" w:styleId="ListLabel15">
    <w:name w:val="ListLabel 15"/>
    <w:qFormat/>
    <w:rPr>
      <w:rFonts w:cs="Times New Roman"/>
      <w:sz w:val="24"/>
      <w:szCs w:val="24"/>
    </w:rPr>
  </w:style>
  <w:style w:type="character" w:customStyle="1" w:styleId="ListLabel16">
    <w:name w:val="ListLabel 16"/>
    <w:qFormat/>
    <w:rPr>
      <w:rFonts w:cs="Times New Roman"/>
      <w:sz w:val="24"/>
      <w:szCs w:val="24"/>
    </w:rPr>
  </w:style>
  <w:style w:type="character" w:customStyle="1" w:styleId="ListLabel17">
    <w:name w:val="ListLabel 17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ListLabel18">
    <w:name w:val="ListLabel 18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19">
    <w:name w:val="ListLabel 19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0">
    <w:name w:val="ListLabel 2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1">
    <w:name w:val="ListLabel 21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2">
    <w:name w:val="ListLabel 22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3">
    <w:name w:val="ListLabel 23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4">
    <w:name w:val="ListLabel 24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5">
    <w:name w:val="ListLabel 25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26">
    <w:name w:val="ListLabel 26"/>
    <w:qFormat/>
    <w:rPr>
      <w:rFonts w:cs="Times New Roman"/>
      <w:b/>
      <w:sz w:val="24"/>
    </w:rPr>
  </w:style>
  <w:style w:type="character" w:customStyle="1" w:styleId="ListLabel27">
    <w:name w:val="ListLabel 27"/>
    <w:qFormat/>
    <w:rPr>
      <w:rFonts w:cs="Times New Roman"/>
      <w:b/>
      <w:sz w:val="24"/>
    </w:rPr>
  </w:style>
  <w:style w:type="character" w:customStyle="1" w:styleId="ListLabel28">
    <w:name w:val="ListLabel 28"/>
    <w:qFormat/>
    <w:rPr>
      <w:rFonts w:ascii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Pr>
      <w:rFonts w:ascii="Times New Roman" w:hAnsi="Times New Roman" w:cs="Times New Roman"/>
      <w:sz w:val="24"/>
      <w:szCs w:val="24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cs="Times New Roman"/>
      <w:sz w:val="24"/>
      <w:szCs w:val="24"/>
    </w:rPr>
  </w:style>
  <w:style w:type="character" w:customStyle="1" w:styleId="ListLabel32">
    <w:name w:val="ListLabel 32"/>
    <w:qFormat/>
    <w:rPr>
      <w:rFonts w:cs="Times New Roman"/>
      <w:sz w:val="24"/>
      <w:szCs w:val="24"/>
    </w:rPr>
  </w:style>
  <w:style w:type="character" w:customStyle="1" w:styleId="ListLabel33">
    <w:name w:val="ListLabel 33"/>
    <w:qFormat/>
    <w:rPr>
      <w:rFonts w:cs="Times New Roman"/>
      <w:sz w:val="24"/>
      <w:szCs w:val="24"/>
    </w:rPr>
  </w:style>
  <w:style w:type="character" w:customStyle="1" w:styleId="ListLabel34">
    <w:name w:val="ListLabel 34"/>
    <w:qFormat/>
    <w:rPr>
      <w:rFonts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rFonts w:cs="Times New Roman"/>
      <w:sz w:val="24"/>
      <w:szCs w:val="24"/>
    </w:rPr>
  </w:style>
  <w:style w:type="character" w:customStyle="1" w:styleId="ListLabel37">
    <w:name w:val="ListLabel 37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ListLabel38">
    <w:name w:val="ListLabel 38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39">
    <w:name w:val="ListLabel 39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0">
    <w:name w:val="ListLabel 40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1">
    <w:name w:val="ListLabel 41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2">
    <w:name w:val="ListLabel 42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3">
    <w:name w:val="ListLabel 43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4">
    <w:name w:val="ListLabel 44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5">
    <w:name w:val="ListLabel 45"/>
    <w:qFormat/>
    <w:rPr>
      <w:rFonts w:eastAsia="Times New Roman" w:cs="Times New Roman"/>
      <w:b/>
      <w:bCs/>
      <w:color w:val="00000A"/>
      <w:sz w:val="24"/>
      <w:szCs w:val="24"/>
    </w:rPr>
  </w:style>
  <w:style w:type="character" w:customStyle="1" w:styleId="ListLabel46">
    <w:name w:val="ListLabel 46"/>
    <w:qFormat/>
    <w:rPr>
      <w:rFonts w:cs="Times New Roman"/>
      <w:b/>
      <w:sz w:val="24"/>
    </w:rPr>
  </w:style>
  <w:style w:type="character" w:customStyle="1" w:styleId="ListLabel47">
    <w:name w:val="ListLabel 47"/>
    <w:qFormat/>
    <w:rPr>
      <w:rFonts w:cs="Times New Roman"/>
      <w:b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Mangal"/>
      <w:sz w:val="28"/>
      <w:szCs w:val="28"/>
    </w:rPr>
  </w:style>
  <w:style w:type="paragraph" w:styleId="Zkladntext">
    <w:name w:val="Body Text"/>
    <w:basedOn w:val="Normln"/>
    <w:pPr>
      <w:spacing w:before="120" w:after="0"/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">
    <w:name w:val="Body Text 2"/>
    <w:basedOn w:val="Normln"/>
    <w:qFormat/>
    <w:pPr>
      <w:spacing w:before="120" w:after="0"/>
      <w:jc w:val="both"/>
    </w:pPr>
    <w:rPr>
      <w:rFonts w:ascii="Arial" w:hAnsi="Arial" w:cs="Arial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cs-CZ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qFormat/>
    <w:rPr>
      <w:rFonts w:ascii="Calibri" w:eastAsia="Segoe UI" w:hAnsi="Calibri" w:cs="Tahoma"/>
      <w:color w:val="000000"/>
      <w:kern w:val="2"/>
      <w:sz w:val="22"/>
      <w:lang w:val="en-US" w:bidi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6AD6-F70E-4B80-A16D-9970852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918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MgTP_x005f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Sehnal Libor</dc:creator>
  <cp:lastModifiedBy>Číže Jakub</cp:lastModifiedBy>
  <cp:revision>21</cp:revision>
  <cp:lastPrinted>2018-08-06T09:03:00Z</cp:lastPrinted>
  <dcterms:created xsi:type="dcterms:W3CDTF">2018-08-03T12:00:00Z</dcterms:created>
  <dcterms:modified xsi:type="dcterms:W3CDTF">2018-09-04T07:31:00Z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