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5" w:rsidRPr="00DC1711" w:rsidRDefault="007A26C5" w:rsidP="007A26C5">
      <w:pPr>
        <w:pStyle w:val="Nadpis1"/>
        <w:jc w:val="center"/>
        <w:rPr>
          <w:rFonts w:asciiTheme="minorHAnsi" w:eastAsia="Times New Roman" w:hAnsiTheme="minorHAnsi" w:cs="Times New Roman"/>
          <w:color w:val="000000" w:themeColor="text1"/>
        </w:rPr>
      </w:pPr>
      <w:bookmarkStart w:id="0" w:name="_Toc460231482"/>
      <w:bookmarkStart w:id="1" w:name="_GoBack"/>
      <w:bookmarkEnd w:id="1"/>
      <w:r w:rsidRPr="00DC1711">
        <w:rPr>
          <w:rFonts w:asciiTheme="minorHAnsi" w:eastAsia="Times New Roman" w:hAnsiTheme="minorHAnsi" w:cs="Times New Roman"/>
          <w:color w:val="000000" w:themeColor="text1"/>
        </w:rPr>
        <w:t>Kupní smlouv</w:t>
      </w:r>
      <w:bookmarkEnd w:id="0"/>
      <w:r w:rsidRPr="00DC1711">
        <w:rPr>
          <w:rFonts w:asciiTheme="minorHAnsi" w:eastAsia="Times New Roman" w:hAnsiTheme="minorHAnsi" w:cs="Times New Roman"/>
          <w:color w:val="000000" w:themeColor="text1"/>
        </w:rPr>
        <w:t>a</w:t>
      </w:r>
    </w:p>
    <w:p w:rsidR="007A26C5" w:rsidRPr="007A26C5" w:rsidRDefault="007A26C5" w:rsidP="007A26C5">
      <w:pPr>
        <w:pStyle w:val="Vchoz"/>
        <w:jc w:val="center"/>
        <w:rPr>
          <w:rFonts w:asciiTheme="minorHAnsi" w:hAnsiTheme="minorHAnsi"/>
        </w:rPr>
      </w:pPr>
      <w:r w:rsidRPr="007A26C5">
        <w:rPr>
          <w:rFonts w:asciiTheme="minorHAnsi" w:hAnsiTheme="minorHAnsi"/>
          <w:i/>
          <w:sz w:val="22"/>
        </w:rPr>
        <w:t>Níže uvedeného dne, měsíce a roku k právním úkonům způsobilí</w:t>
      </w:r>
    </w:p>
    <w:p w:rsidR="007A26C5" w:rsidRPr="007A26C5" w:rsidRDefault="007A26C5" w:rsidP="007A26C5">
      <w:pPr>
        <w:pStyle w:val="Tlotextu"/>
        <w:rPr>
          <w:rFonts w:asciiTheme="minorHAnsi" w:hAnsiTheme="minorHAnsi"/>
        </w:rPr>
      </w:pPr>
    </w:p>
    <w:p w:rsidR="009A5180" w:rsidRPr="009A5180" w:rsidRDefault="009A5180" w:rsidP="009A5180">
      <w:pPr>
        <w:pStyle w:val="Tlotextu"/>
        <w:numPr>
          <w:ilvl w:val="0"/>
          <w:numId w:val="3"/>
        </w:numPr>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 xml:space="preserve">Zdravotnická záchranná služba Plzeňského kraje, </w:t>
      </w:r>
      <w:r w:rsidR="00792123">
        <w:rPr>
          <w:rFonts w:asciiTheme="minorHAnsi" w:hAnsiTheme="minorHAnsi"/>
          <w:b w:val="0"/>
          <w:color w:val="000000" w:themeColor="text1"/>
          <w:sz w:val="24"/>
          <w:u w:val="none"/>
        </w:rPr>
        <w:t>příspěvková organizace</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t>Klatovská třída 2960/200i, Jižní předměstí, 301 00 Plzeň</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zastoupen</w:t>
      </w:r>
      <w:r w:rsidR="00514EDA">
        <w:rPr>
          <w:rFonts w:asciiTheme="minorHAnsi" w:hAnsiTheme="minorHAnsi"/>
          <w:b w:val="0"/>
          <w:color w:val="000000" w:themeColor="text1"/>
          <w:sz w:val="24"/>
          <w:u w:val="none"/>
        </w:rPr>
        <w:t>a</w:t>
      </w:r>
      <w:r w:rsidRPr="009A5180">
        <w:rPr>
          <w:rFonts w:asciiTheme="minorHAnsi" w:hAnsiTheme="minorHAnsi"/>
          <w:b w:val="0"/>
          <w:color w:val="000000" w:themeColor="text1"/>
          <w:sz w:val="24"/>
          <w:u w:val="none"/>
        </w:rPr>
        <w:t>:</w:t>
      </w:r>
      <w:r w:rsidRPr="009A5180">
        <w:rPr>
          <w:rFonts w:asciiTheme="minorHAnsi" w:hAnsiTheme="minorHAnsi"/>
          <w:b w:val="0"/>
          <w:color w:val="000000" w:themeColor="text1"/>
          <w:sz w:val="24"/>
          <w:u w:val="none"/>
        </w:rPr>
        <w:tab/>
        <w:t xml:space="preserve">MUDr. </w:t>
      </w:r>
      <w:r w:rsidR="00792123">
        <w:rPr>
          <w:rFonts w:asciiTheme="minorHAnsi" w:hAnsiTheme="minorHAnsi"/>
          <w:b w:val="0"/>
          <w:color w:val="000000" w:themeColor="text1"/>
          <w:sz w:val="24"/>
          <w:u w:val="none"/>
        </w:rPr>
        <w:t xml:space="preserve">Bc. </w:t>
      </w:r>
      <w:r w:rsidRPr="009A5180">
        <w:rPr>
          <w:rFonts w:asciiTheme="minorHAnsi" w:hAnsiTheme="minorHAnsi"/>
          <w:b w:val="0"/>
          <w:color w:val="000000" w:themeColor="text1"/>
          <w:sz w:val="24"/>
          <w:u w:val="none"/>
        </w:rPr>
        <w:t>Pavel Hrdlička, ředitel</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IČ:</w:t>
      </w:r>
      <w:r w:rsidRPr="009A5180">
        <w:rPr>
          <w:rFonts w:asciiTheme="minorHAnsi" w:hAnsiTheme="minorHAnsi"/>
          <w:b w:val="0"/>
          <w:color w:val="000000" w:themeColor="text1"/>
          <w:sz w:val="24"/>
          <w:u w:val="none"/>
        </w:rPr>
        <w:tab/>
        <w:t>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DIČ:</w:t>
      </w:r>
      <w:r w:rsidRPr="009A5180">
        <w:rPr>
          <w:rFonts w:asciiTheme="minorHAnsi" w:hAnsiTheme="minorHAnsi"/>
          <w:b w:val="0"/>
          <w:color w:val="000000" w:themeColor="text1"/>
          <w:sz w:val="24"/>
          <w:u w:val="none"/>
        </w:rPr>
        <w:tab/>
        <w:t>CZ45333009</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číslo účtu:</w:t>
      </w:r>
      <w:r w:rsidRPr="009A5180">
        <w:rPr>
          <w:rFonts w:asciiTheme="minorHAnsi" w:hAnsiTheme="minorHAnsi"/>
          <w:b w:val="0"/>
          <w:color w:val="000000" w:themeColor="text1"/>
          <w:sz w:val="24"/>
          <w:u w:val="none"/>
        </w:rPr>
        <w:tab/>
        <w:t>772 559 293 / 0300</w:t>
      </w:r>
    </w:p>
    <w:p w:rsidR="009A5180" w:rsidRPr="009A5180" w:rsidRDefault="009A5180" w:rsidP="009A5180">
      <w:pPr>
        <w:pStyle w:val="Tlotextu"/>
        <w:ind w:left="360"/>
        <w:jc w:val="left"/>
        <w:rPr>
          <w:rFonts w:asciiTheme="minorHAnsi" w:hAnsiTheme="minorHAnsi"/>
          <w:b w:val="0"/>
          <w:color w:val="000000" w:themeColor="text1"/>
          <w:sz w:val="24"/>
          <w:u w:val="none"/>
        </w:rPr>
      </w:pPr>
      <w:r>
        <w:rPr>
          <w:rFonts w:asciiTheme="minorHAnsi" w:hAnsiTheme="minorHAnsi"/>
          <w:b w:val="0"/>
          <w:color w:val="000000" w:themeColor="text1"/>
          <w:sz w:val="24"/>
          <w:u w:val="none"/>
        </w:rPr>
        <w:tab/>
      </w:r>
      <w:r w:rsidRPr="009A5180">
        <w:rPr>
          <w:rFonts w:asciiTheme="minorHAnsi" w:hAnsiTheme="minorHAnsi"/>
          <w:b w:val="0"/>
          <w:color w:val="000000" w:themeColor="text1"/>
          <w:sz w:val="24"/>
          <w:u w:val="none"/>
        </w:rPr>
        <w:t>bankovní spojení:</w:t>
      </w:r>
      <w:r w:rsidRPr="009A5180">
        <w:rPr>
          <w:rFonts w:asciiTheme="minorHAnsi" w:hAnsiTheme="minorHAnsi"/>
          <w:b w:val="0"/>
          <w:color w:val="000000" w:themeColor="text1"/>
          <w:sz w:val="24"/>
          <w:u w:val="none"/>
        </w:rPr>
        <w:tab/>
        <w:t>Československá obchodní banka, a.s.</w:t>
      </w:r>
    </w:p>
    <w:p w:rsidR="007A26C5" w:rsidRDefault="007A26C5" w:rsidP="009A5180">
      <w:pPr>
        <w:pStyle w:val="Tlotextu"/>
        <w:ind w:left="36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a</w:t>
      </w:r>
    </w:p>
    <w:p w:rsidR="009A5180" w:rsidRPr="009A5180" w:rsidRDefault="009A5180" w:rsidP="009A5180">
      <w:pPr>
        <w:pStyle w:val="Tlotextu"/>
        <w:ind w:left="360"/>
        <w:jc w:val="left"/>
        <w:rPr>
          <w:rFonts w:asciiTheme="minorHAnsi" w:hAnsiTheme="minorHAnsi"/>
          <w:b w:val="0"/>
          <w:color w:val="000000" w:themeColor="text1"/>
          <w:sz w:val="24"/>
          <w:u w:val="none"/>
        </w:rPr>
      </w:pPr>
    </w:p>
    <w:p w:rsidR="007A26C5" w:rsidRPr="000C6670" w:rsidRDefault="008D3EBD" w:rsidP="009A5180">
      <w:pPr>
        <w:pStyle w:val="Vchoz"/>
        <w:numPr>
          <w:ilvl w:val="0"/>
          <w:numId w:val="3"/>
        </w:numPr>
        <w:rPr>
          <w:rFonts w:asciiTheme="minorHAnsi" w:hAnsiTheme="minorHAnsi"/>
          <w:color w:val="auto"/>
        </w:rPr>
      </w:pPr>
      <w:r>
        <w:rPr>
          <w:rFonts w:asciiTheme="minorHAnsi" w:hAnsiTheme="minorHAnsi"/>
          <w:color w:val="auto"/>
        </w:rPr>
        <w:t>RADIUM s.r.o.</w:t>
      </w:r>
    </w:p>
    <w:p w:rsidR="008D3EBD" w:rsidRPr="008D42F1" w:rsidRDefault="000C6670" w:rsidP="000C6670">
      <w:pPr>
        <w:pStyle w:val="Tlotextu"/>
        <w:ind w:left="720"/>
        <w:jc w:val="left"/>
        <w:rPr>
          <w:rFonts w:asciiTheme="minorHAnsi" w:hAnsiTheme="minorHAnsi"/>
          <w:b w:val="0"/>
          <w:color w:val="auto"/>
          <w:sz w:val="24"/>
          <w:u w:val="none"/>
        </w:rPr>
      </w:pPr>
      <w:r w:rsidRPr="009A5180">
        <w:rPr>
          <w:rFonts w:asciiTheme="minorHAnsi" w:hAnsiTheme="minorHAnsi"/>
          <w:b w:val="0"/>
          <w:color w:val="000000" w:themeColor="text1"/>
          <w:sz w:val="24"/>
          <w:u w:val="none"/>
        </w:rPr>
        <w:t>se sídlem:</w:t>
      </w:r>
      <w:r w:rsidRPr="009A5180">
        <w:rPr>
          <w:rFonts w:asciiTheme="minorHAnsi" w:hAnsiTheme="minorHAnsi"/>
          <w:b w:val="0"/>
          <w:color w:val="000000" w:themeColor="text1"/>
          <w:sz w:val="24"/>
          <w:u w:val="none"/>
        </w:rPr>
        <w:tab/>
      </w:r>
      <w:r w:rsidR="008D42F1" w:rsidRPr="008D42F1">
        <w:rPr>
          <w:rFonts w:asciiTheme="minorHAnsi" w:hAnsiTheme="minorHAnsi"/>
          <w:b w:val="0"/>
          <w:color w:val="auto"/>
          <w:sz w:val="24"/>
          <w:u w:val="none"/>
        </w:rPr>
        <w:t>nám. Chuchelských bojovníků 18/1, 159 00  Praha 5</w:t>
      </w:r>
    </w:p>
    <w:p w:rsidR="000C6670" w:rsidRPr="008D42F1" w:rsidRDefault="000C6670" w:rsidP="000C6670">
      <w:pPr>
        <w:pStyle w:val="Tlotextu"/>
        <w:ind w:left="720"/>
        <w:jc w:val="left"/>
        <w:rPr>
          <w:rFonts w:asciiTheme="minorHAnsi" w:hAnsiTheme="minorHAnsi"/>
          <w:b w:val="0"/>
          <w:color w:val="auto"/>
          <w:sz w:val="24"/>
          <w:u w:val="none"/>
        </w:rPr>
      </w:pPr>
      <w:r w:rsidRPr="008D42F1">
        <w:rPr>
          <w:rFonts w:asciiTheme="minorHAnsi" w:hAnsiTheme="minorHAnsi"/>
          <w:b w:val="0"/>
          <w:color w:val="auto"/>
          <w:sz w:val="24"/>
          <w:u w:val="none"/>
        </w:rPr>
        <w:t>zastoupen:</w:t>
      </w:r>
      <w:r w:rsidRPr="008D42F1">
        <w:rPr>
          <w:rFonts w:asciiTheme="minorHAnsi" w:hAnsiTheme="minorHAnsi"/>
          <w:b w:val="0"/>
          <w:color w:val="auto"/>
          <w:sz w:val="24"/>
          <w:u w:val="none"/>
        </w:rPr>
        <w:tab/>
        <w:t xml:space="preserve"> </w:t>
      </w:r>
      <w:r w:rsidR="008D42F1" w:rsidRPr="008D42F1">
        <w:rPr>
          <w:rFonts w:asciiTheme="minorHAnsi" w:hAnsiTheme="minorHAnsi"/>
          <w:b w:val="0"/>
          <w:color w:val="auto"/>
          <w:sz w:val="24"/>
          <w:u w:val="none"/>
        </w:rPr>
        <w:t>Ing. Jiřím Kudrnou a Ing. Marošem Krnáčem, jednateli</w:t>
      </w:r>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IČ:</w:t>
      </w:r>
      <w:r w:rsidR="008D42F1">
        <w:rPr>
          <w:rFonts w:asciiTheme="minorHAnsi" w:hAnsiTheme="minorHAnsi"/>
          <w:b w:val="0"/>
          <w:color w:val="000000" w:themeColor="text1"/>
          <w:sz w:val="24"/>
          <w:u w:val="none"/>
        </w:rPr>
        <w:tab/>
        <w:t>61247685</w:t>
      </w:r>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DIČ:</w:t>
      </w:r>
      <w:r w:rsidR="008D42F1">
        <w:rPr>
          <w:rFonts w:asciiTheme="minorHAnsi" w:hAnsiTheme="minorHAnsi"/>
          <w:b w:val="0"/>
          <w:color w:val="000000" w:themeColor="text1"/>
          <w:sz w:val="24"/>
          <w:u w:val="none"/>
        </w:rPr>
        <w:tab/>
        <w:t>CZ61247685</w:t>
      </w:r>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číslo účtu:</w:t>
      </w:r>
      <w:r w:rsidR="008D42F1">
        <w:rPr>
          <w:rFonts w:asciiTheme="minorHAnsi" w:hAnsiTheme="minorHAnsi"/>
          <w:b w:val="0"/>
          <w:color w:val="000000" w:themeColor="text1"/>
          <w:sz w:val="24"/>
          <w:u w:val="none"/>
        </w:rPr>
        <w:tab/>
        <w:t>115-3537410257/0100</w:t>
      </w:r>
    </w:p>
    <w:p w:rsidR="000C6670" w:rsidRPr="009A5180" w:rsidRDefault="000C6670" w:rsidP="000C6670">
      <w:pPr>
        <w:pStyle w:val="Tlotextu"/>
        <w:ind w:left="720"/>
        <w:jc w:val="left"/>
        <w:rPr>
          <w:rFonts w:asciiTheme="minorHAnsi" w:hAnsiTheme="minorHAnsi"/>
          <w:b w:val="0"/>
          <w:color w:val="000000" w:themeColor="text1"/>
          <w:sz w:val="24"/>
          <w:u w:val="none"/>
        </w:rPr>
      </w:pPr>
      <w:r w:rsidRPr="009A5180">
        <w:rPr>
          <w:rFonts w:asciiTheme="minorHAnsi" w:hAnsiTheme="minorHAnsi"/>
          <w:b w:val="0"/>
          <w:color w:val="000000" w:themeColor="text1"/>
          <w:sz w:val="24"/>
          <w:u w:val="none"/>
        </w:rPr>
        <w:t>bankovní spojení:</w:t>
      </w:r>
      <w:r w:rsidR="008D42F1">
        <w:rPr>
          <w:rFonts w:asciiTheme="minorHAnsi" w:hAnsiTheme="minorHAnsi"/>
          <w:b w:val="0"/>
          <w:color w:val="000000" w:themeColor="text1"/>
          <w:sz w:val="24"/>
          <w:u w:val="none"/>
        </w:rPr>
        <w:tab/>
        <w:t>Komerční banka, a.s.</w:t>
      </w:r>
    </w:p>
    <w:p w:rsidR="000C6670" w:rsidRPr="009A5180" w:rsidRDefault="000C6670" w:rsidP="000C6670">
      <w:pPr>
        <w:pStyle w:val="Vchoz"/>
        <w:ind w:left="720"/>
        <w:rPr>
          <w:rFonts w:asciiTheme="minorHAnsi" w:hAnsiTheme="minorHAnsi"/>
          <w:color w:val="FF0000"/>
        </w:rPr>
      </w:pP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uzavřeli ve smyslu § 2079 a násl. zákona č. 89/2012 Sb., občanský zákoník</w:t>
      </w: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 xml:space="preserve">dnešního dne tuto </w:t>
      </w:r>
    </w:p>
    <w:p w:rsidR="007A26C5" w:rsidRPr="007A26C5" w:rsidRDefault="007A26C5" w:rsidP="007A26C5">
      <w:pPr>
        <w:pStyle w:val="Tlotextu"/>
        <w:rPr>
          <w:rFonts w:asciiTheme="minorHAnsi" w:hAnsiTheme="minorHAnsi"/>
        </w:rPr>
      </w:pPr>
    </w:p>
    <w:p w:rsidR="007A26C5" w:rsidRPr="007A26C5" w:rsidRDefault="007A26C5" w:rsidP="007A26C5">
      <w:pPr>
        <w:pStyle w:val="Vchoz"/>
        <w:jc w:val="center"/>
        <w:rPr>
          <w:rFonts w:asciiTheme="minorHAnsi" w:hAnsiTheme="minorHAnsi"/>
        </w:rPr>
      </w:pPr>
      <w:r w:rsidRPr="007A26C5">
        <w:rPr>
          <w:rFonts w:asciiTheme="minorHAnsi" w:hAnsiTheme="minorHAnsi"/>
          <w:b/>
          <w:i/>
          <w:sz w:val="22"/>
          <w:u w:val="single"/>
        </w:rPr>
        <w:t>kupní smlouvu</w:t>
      </w:r>
    </w:p>
    <w:p w:rsidR="007A26C5" w:rsidRPr="007A26C5" w:rsidRDefault="007A26C5" w:rsidP="007A26C5">
      <w:pPr>
        <w:pStyle w:val="Vchoz"/>
        <w:jc w:val="center"/>
        <w:rPr>
          <w:rFonts w:asciiTheme="minorHAnsi" w:hAnsiTheme="minorHAnsi"/>
        </w:rPr>
      </w:pPr>
    </w:p>
    <w:p w:rsidR="007A26C5" w:rsidRPr="007A26C5" w:rsidRDefault="007A26C5" w:rsidP="007A26C5">
      <w:pPr>
        <w:pStyle w:val="Nadpislnek"/>
        <w:spacing w:before="0" w:after="120" w:line="100" w:lineRule="atLeast"/>
        <w:rPr>
          <w:rFonts w:asciiTheme="minorHAnsi" w:hAnsiTheme="minorHAnsi"/>
          <w:szCs w:val="24"/>
        </w:rPr>
      </w:pPr>
      <w:r w:rsidRPr="007A26C5">
        <w:rPr>
          <w:rFonts w:asciiTheme="minorHAnsi" w:hAnsiTheme="minorHAnsi"/>
          <w:szCs w:val="24"/>
        </w:rPr>
        <w:t>Preambule</w:t>
      </w:r>
    </w:p>
    <w:p w:rsidR="007A26C5" w:rsidRPr="007A26C5" w:rsidRDefault="007A26C5" w:rsidP="007A26C5">
      <w:pPr>
        <w:pStyle w:val="Vchoz"/>
        <w:rPr>
          <w:rFonts w:asciiTheme="minorHAnsi" w:hAnsiTheme="minorHAnsi"/>
          <w:szCs w:val="24"/>
        </w:rPr>
      </w:pPr>
      <w:r w:rsidRPr="007A26C5">
        <w:rPr>
          <w:rFonts w:asciiTheme="minorHAnsi" w:hAnsiTheme="minorHAnsi"/>
          <w:szCs w:val="24"/>
        </w:rPr>
        <w:t xml:space="preserve">Tato smlouva se uzavírá na základě vyhodnocení zadávacího řízení (dále </w:t>
      </w:r>
      <w:r w:rsidRPr="007A26C5">
        <w:rPr>
          <w:rFonts w:asciiTheme="minorHAnsi" w:hAnsiTheme="minorHAnsi"/>
          <w:i/>
          <w:szCs w:val="24"/>
        </w:rPr>
        <w:t>zadávací řízení</w:t>
      </w:r>
      <w:r w:rsidRPr="007A26C5">
        <w:rPr>
          <w:rFonts w:asciiTheme="minorHAnsi" w:hAnsiTheme="minorHAnsi"/>
          <w:szCs w:val="24"/>
        </w:rPr>
        <w:t xml:space="preserve"> nebo </w:t>
      </w:r>
      <w:r w:rsidRPr="007A26C5">
        <w:rPr>
          <w:rFonts w:asciiTheme="minorHAnsi" w:hAnsiTheme="minorHAnsi"/>
          <w:i/>
          <w:szCs w:val="24"/>
        </w:rPr>
        <w:t>veřejná zakázka</w:t>
      </w:r>
      <w:r w:rsidRPr="007A26C5">
        <w:rPr>
          <w:rFonts w:asciiTheme="minorHAnsi" w:hAnsiTheme="minorHAnsi"/>
          <w:szCs w:val="24"/>
        </w:rPr>
        <w:t xml:space="preserve">), zadávané v rámci </w:t>
      </w:r>
      <w:r w:rsidR="009A5180">
        <w:rPr>
          <w:rFonts w:asciiTheme="minorHAnsi" w:hAnsiTheme="minorHAnsi"/>
          <w:szCs w:val="24"/>
        </w:rPr>
        <w:t xml:space="preserve">poptávkového řízení ze dne </w:t>
      </w:r>
      <w:r w:rsidR="008D3EBD">
        <w:rPr>
          <w:rFonts w:asciiTheme="minorHAnsi" w:hAnsiTheme="minorHAnsi"/>
          <w:szCs w:val="24"/>
        </w:rPr>
        <w:t>15</w:t>
      </w:r>
      <w:r w:rsidR="009A5180">
        <w:rPr>
          <w:rFonts w:asciiTheme="minorHAnsi" w:hAnsiTheme="minorHAnsi"/>
          <w:szCs w:val="24"/>
        </w:rPr>
        <w:t>.</w:t>
      </w:r>
      <w:r w:rsidR="008D3EBD">
        <w:rPr>
          <w:rFonts w:asciiTheme="minorHAnsi" w:hAnsiTheme="minorHAnsi"/>
          <w:szCs w:val="24"/>
        </w:rPr>
        <w:t>6</w:t>
      </w:r>
      <w:r w:rsidR="009A5180">
        <w:rPr>
          <w:rFonts w:asciiTheme="minorHAnsi" w:hAnsiTheme="minorHAnsi"/>
          <w:szCs w:val="24"/>
        </w:rPr>
        <w:t>.201</w:t>
      </w:r>
      <w:r w:rsidR="008D3EBD">
        <w:rPr>
          <w:rFonts w:asciiTheme="minorHAnsi" w:hAnsiTheme="minorHAnsi"/>
          <w:szCs w:val="24"/>
        </w:rPr>
        <w:t>8</w:t>
      </w:r>
      <w:r w:rsidR="009A5180">
        <w:rPr>
          <w:rFonts w:asciiTheme="minorHAnsi" w:hAnsiTheme="minorHAnsi"/>
          <w:szCs w:val="24"/>
        </w:rPr>
        <w:t>.</w:t>
      </w:r>
    </w:p>
    <w:p w:rsidR="007A26C5" w:rsidRPr="007A26C5" w:rsidRDefault="007A26C5" w:rsidP="007A26C5">
      <w:pPr>
        <w:pStyle w:val="Nadpislnek"/>
        <w:spacing w:before="0" w:after="0" w:line="100" w:lineRule="atLeast"/>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1</w:t>
      </w:r>
    </w:p>
    <w:p w:rsidR="007A26C5" w:rsidRPr="007A26C5" w:rsidRDefault="007A26C5" w:rsidP="007A26C5">
      <w:pPr>
        <w:pStyle w:val="Vchoz"/>
        <w:jc w:val="center"/>
        <w:rPr>
          <w:rFonts w:asciiTheme="minorHAnsi" w:hAnsiTheme="minorHAnsi"/>
          <w:b/>
        </w:rPr>
      </w:pPr>
      <w:r w:rsidRPr="007A26C5">
        <w:rPr>
          <w:rFonts w:asciiTheme="minorHAnsi" w:hAnsiTheme="minorHAnsi"/>
          <w:b/>
        </w:rPr>
        <w:t>Vlastnické vztahy</w:t>
      </w:r>
    </w:p>
    <w:p w:rsidR="007A26C5" w:rsidRDefault="007A26C5" w:rsidP="007A26C5">
      <w:pPr>
        <w:pStyle w:val="Vchoz"/>
        <w:numPr>
          <w:ilvl w:val="0"/>
          <w:numId w:val="4"/>
        </w:numPr>
        <w:rPr>
          <w:rFonts w:asciiTheme="minorHAnsi" w:hAnsiTheme="minorHAnsi"/>
        </w:rPr>
      </w:pPr>
      <w:r w:rsidRPr="007A26C5">
        <w:rPr>
          <w:rFonts w:asciiTheme="minorHAnsi" w:hAnsiTheme="minorHAnsi"/>
        </w:rPr>
        <w:t>Prodávající prohlašuje, že je výlučným vlastníkem hardware, který je předmětem výše uvedené veřejné zakázky.</w:t>
      </w:r>
    </w:p>
    <w:p w:rsidR="000C6670" w:rsidRPr="007A26C5" w:rsidRDefault="000C6670" w:rsidP="000C6670">
      <w:pPr>
        <w:pStyle w:val="Vchoz"/>
        <w:ind w:left="720"/>
        <w:rPr>
          <w:rFonts w:asciiTheme="minorHAnsi" w:hAnsiTheme="minorHAnsi"/>
        </w:rPr>
      </w:pPr>
    </w:p>
    <w:tbl>
      <w:tblPr>
        <w:tblW w:w="8363"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586"/>
        <w:gridCol w:w="924"/>
        <w:gridCol w:w="6853"/>
      </w:tblGrid>
      <w:tr w:rsidR="007A26C5" w:rsidRPr="007A26C5" w:rsidTr="009A5180">
        <w:trPr>
          <w:trHeight w:val="85"/>
        </w:trPr>
        <w:tc>
          <w:tcPr>
            <w:tcW w:w="1510" w:type="dxa"/>
            <w:gridSpan w:val="2"/>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lastRenderedPageBreak/>
              <w:t>Počet</w:t>
            </w:r>
          </w:p>
        </w:tc>
        <w:tc>
          <w:tcPr>
            <w:tcW w:w="6853" w:type="dxa"/>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Věc</w:t>
            </w:r>
          </w:p>
        </w:tc>
      </w:tr>
      <w:tr w:rsidR="007A26C5" w:rsidRPr="007A26C5" w:rsidTr="009A5180">
        <w:trPr>
          <w:trHeight w:val="85"/>
        </w:trPr>
        <w:tc>
          <w:tcPr>
            <w:tcW w:w="586"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8D3EBD" w:rsidP="009A5180">
            <w:pPr>
              <w:pStyle w:val="Vchoz"/>
              <w:rPr>
                <w:rFonts w:asciiTheme="minorHAnsi" w:hAnsiTheme="minorHAnsi"/>
                <w:b/>
              </w:rPr>
            </w:pPr>
            <w:r>
              <w:rPr>
                <w:rFonts w:asciiTheme="minorHAnsi" w:hAnsiTheme="minorHAnsi"/>
                <w:b/>
              </w:rPr>
              <w:t>15</w:t>
            </w:r>
          </w:p>
        </w:tc>
        <w:tc>
          <w:tcPr>
            <w:tcW w:w="924"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9A5180">
            <w:pPr>
              <w:pStyle w:val="Vchoz"/>
              <w:rPr>
                <w:rFonts w:asciiTheme="minorHAnsi" w:hAnsiTheme="minorHAnsi"/>
                <w:b/>
              </w:rPr>
            </w:pPr>
            <w:r w:rsidRPr="007A26C5">
              <w:rPr>
                <w:rFonts w:asciiTheme="minorHAnsi" w:hAnsiTheme="minorHAnsi"/>
                <w:b/>
              </w:rPr>
              <w:t>ks</w:t>
            </w:r>
          </w:p>
        </w:tc>
        <w:tc>
          <w:tcPr>
            <w:tcW w:w="6853"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8D3EBD" w:rsidP="009A5180">
            <w:pPr>
              <w:pStyle w:val="Vchoz"/>
              <w:rPr>
                <w:rFonts w:asciiTheme="minorHAnsi" w:hAnsiTheme="minorHAnsi"/>
                <w:b/>
              </w:rPr>
            </w:pPr>
            <w:r w:rsidRPr="00411AE5">
              <w:rPr>
                <w:rFonts w:ascii="Arial" w:hAnsi="Arial" w:cs="Arial"/>
                <w:sz w:val="22"/>
                <w:szCs w:val="22"/>
              </w:rPr>
              <w:t>Garmin DriveSmart 51S Lifetime Europe45</w:t>
            </w:r>
          </w:p>
        </w:tc>
      </w:tr>
    </w:tbl>
    <w:p w:rsidR="007A26C5" w:rsidRPr="007A26C5" w:rsidRDefault="007A26C5" w:rsidP="007A26C5">
      <w:pPr>
        <w:pStyle w:val="Vchoz"/>
        <w:rPr>
          <w:rFonts w:asciiTheme="minorHAnsi" w:hAnsiTheme="minorHAnsi"/>
        </w:rPr>
      </w:pPr>
    </w:p>
    <w:p w:rsidR="007A26C5" w:rsidRDefault="007A26C5" w:rsidP="007A26C5">
      <w:pPr>
        <w:pStyle w:val="Vchoz"/>
        <w:numPr>
          <w:ilvl w:val="0"/>
          <w:numId w:val="4"/>
        </w:numPr>
        <w:rPr>
          <w:rFonts w:asciiTheme="minorHAnsi" w:hAnsiTheme="minorHAnsi"/>
        </w:rPr>
      </w:pPr>
      <w:r w:rsidRPr="007A26C5">
        <w:rPr>
          <w:rFonts w:asciiTheme="minorHAnsi" w:hAnsiTheme="minorHAnsi"/>
        </w:rPr>
        <w:t xml:space="preserve">Detailní specifikace tohoto hardware je obsažena v nabídce prodávajícího, přičemž technická specifikace těchto věcí tvoří přílohu č. 1 této Smlouvy a je její integrální součástí. </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2</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Předmět</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prodává a kupující kupuje na základě podmínek stanovených touto Smlouvou věci uvedené v Článku 1 odst. 1)  za vzájemně dohodnutou cenu do vlastnictví kupujícího.</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prohlašuje, že věci uvedené v Článku 1 této smlouvy, které jsou předmětem koupě, jsou bez vad.</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3</w:t>
      </w:r>
    </w:p>
    <w:p w:rsidR="007A26C5" w:rsidRPr="007A26C5" w:rsidRDefault="007A26C5" w:rsidP="007A26C5">
      <w:pPr>
        <w:pStyle w:val="Vchoz"/>
        <w:jc w:val="center"/>
        <w:rPr>
          <w:rFonts w:asciiTheme="minorHAnsi" w:hAnsiTheme="minorHAnsi"/>
          <w:b/>
        </w:rPr>
      </w:pPr>
      <w:r w:rsidRPr="007A26C5">
        <w:rPr>
          <w:rFonts w:asciiTheme="minorHAnsi" w:hAnsiTheme="minorHAnsi"/>
          <w:b/>
        </w:rPr>
        <w:t>Cena a způsob platby</w:t>
      </w:r>
    </w:p>
    <w:p w:rsidR="007A26C5" w:rsidRPr="007A26C5" w:rsidRDefault="007A26C5" w:rsidP="007C243E">
      <w:pPr>
        <w:pStyle w:val="Vchoz"/>
        <w:numPr>
          <w:ilvl w:val="0"/>
          <w:numId w:val="5"/>
        </w:numPr>
        <w:rPr>
          <w:rFonts w:asciiTheme="minorHAnsi" w:hAnsiTheme="minorHAnsi"/>
        </w:rPr>
      </w:pPr>
      <w:r w:rsidRPr="007A26C5">
        <w:rPr>
          <w:rFonts w:asciiTheme="minorHAnsi" w:hAnsiTheme="minorHAnsi"/>
        </w:rPr>
        <w:t xml:space="preserve">Kupující se zavazuje zaplatit prodávajícímu za věc uvedenou v Čl. 1 odst. 1) této smlouvy kupní cenu ve výši </w:t>
      </w:r>
      <w:r w:rsidR="008D3EBD" w:rsidRPr="00411AE5">
        <w:rPr>
          <w:rFonts w:ascii="Arial" w:hAnsi="Arial" w:cs="Arial"/>
          <w:sz w:val="22"/>
          <w:szCs w:val="22"/>
        </w:rPr>
        <w:t xml:space="preserve">77.850,- Kč </w:t>
      </w:r>
      <w:r w:rsidRPr="007A26C5">
        <w:rPr>
          <w:rFonts w:asciiTheme="minorHAnsi" w:hAnsiTheme="minorHAnsi"/>
          <w:color w:val="000000" w:themeColor="text1"/>
        </w:rPr>
        <w:t>(slovy:</w:t>
      </w:r>
      <w:r w:rsidR="008D3EBD">
        <w:rPr>
          <w:rFonts w:asciiTheme="minorHAnsi" w:hAnsiTheme="minorHAnsi"/>
          <w:color w:val="000000" w:themeColor="text1"/>
        </w:rPr>
        <w:t xml:space="preserve"> sedmdesát sedm tisíc osm set padesát korun českých</w:t>
      </w:r>
      <w:r w:rsidRPr="007A26C5">
        <w:rPr>
          <w:rFonts w:asciiTheme="minorHAnsi" w:hAnsiTheme="minorHAnsi"/>
          <w:color w:val="000000" w:themeColor="text1"/>
        </w:rPr>
        <w:t>)</w:t>
      </w:r>
      <w:r w:rsidR="009A5180">
        <w:rPr>
          <w:rFonts w:asciiTheme="minorHAnsi" w:hAnsiTheme="minorHAnsi"/>
          <w:color w:val="000000" w:themeColor="text1"/>
        </w:rPr>
        <w:t xml:space="preserve"> </w:t>
      </w:r>
      <w:r w:rsidRPr="007A26C5">
        <w:rPr>
          <w:rFonts w:asciiTheme="minorHAnsi" w:hAnsiTheme="minorHAnsi"/>
          <w:color w:val="000000" w:themeColor="text1"/>
        </w:rPr>
        <w:t xml:space="preserve">bez DPH plus DPH ve výši </w:t>
      </w:r>
      <w:r w:rsidR="008D3EBD">
        <w:rPr>
          <w:rFonts w:asciiTheme="minorHAnsi" w:hAnsiTheme="minorHAnsi"/>
          <w:color w:val="000000" w:themeColor="text1"/>
        </w:rPr>
        <w:t>16.348,50</w:t>
      </w:r>
      <w:r w:rsidR="005F7CB2">
        <w:rPr>
          <w:rFonts w:asciiTheme="minorHAnsi" w:hAnsiTheme="minorHAnsi"/>
          <w:color w:val="000000" w:themeColor="text1"/>
        </w:rPr>
        <w:t>,</w:t>
      </w:r>
      <w:r w:rsidR="009A5180">
        <w:rPr>
          <w:rFonts w:asciiTheme="minorHAnsi" w:hAnsiTheme="minorHAnsi"/>
          <w:color w:val="000000" w:themeColor="text1"/>
        </w:rPr>
        <w:t xml:space="preserve">- </w:t>
      </w:r>
      <w:r w:rsidRPr="007A26C5">
        <w:rPr>
          <w:rFonts w:asciiTheme="minorHAnsi" w:hAnsiTheme="minorHAnsi"/>
          <w:color w:val="000000" w:themeColor="text1"/>
        </w:rPr>
        <w:t xml:space="preserve">Kč (slovy: </w:t>
      </w:r>
      <w:r w:rsidR="008D3EBD">
        <w:rPr>
          <w:rFonts w:asciiTheme="minorHAnsi" w:hAnsiTheme="minorHAnsi"/>
          <w:color w:val="000000" w:themeColor="text1"/>
        </w:rPr>
        <w:t xml:space="preserve">šestnáct tisíc tři sta čtyřicet osm korun českých, </w:t>
      </w:r>
      <w:r w:rsidR="005F7CB2">
        <w:rPr>
          <w:rFonts w:asciiTheme="minorHAnsi" w:hAnsiTheme="minorHAnsi"/>
          <w:color w:val="000000" w:themeColor="text1"/>
        </w:rPr>
        <w:t>padesát haléřů</w:t>
      </w:r>
      <w:r w:rsidR="009A5180">
        <w:rPr>
          <w:rFonts w:asciiTheme="minorHAnsi" w:hAnsiTheme="minorHAnsi"/>
          <w:color w:val="000000" w:themeColor="text1"/>
        </w:rPr>
        <w:t>)</w:t>
      </w:r>
      <w:r w:rsidRPr="007A26C5">
        <w:rPr>
          <w:rFonts w:asciiTheme="minorHAnsi" w:hAnsiTheme="minorHAnsi"/>
          <w:color w:val="000000" w:themeColor="text1"/>
        </w:rPr>
        <w:t xml:space="preserve">. Celkem tedy </w:t>
      </w:r>
      <w:r w:rsidR="008D3EBD" w:rsidRPr="00411AE5">
        <w:rPr>
          <w:rFonts w:ascii="Arial" w:hAnsi="Arial" w:cs="Arial"/>
          <w:sz w:val="22"/>
          <w:szCs w:val="22"/>
        </w:rPr>
        <w:t>94</w:t>
      </w:r>
      <w:r w:rsidR="008D3EBD">
        <w:rPr>
          <w:rFonts w:ascii="Arial" w:hAnsi="Arial" w:cs="Arial"/>
          <w:sz w:val="22"/>
          <w:szCs w:val="22"/>
        </w:rPr>
        <w:t>.</w:t>
      </w:r>
      <w:r w:rsidR="008D3EBD" w:rsidRPr="00411AE5">
        <w:rPr>
          <w:rFonts w:ascii="Arial" w:hAnsi="Arial" w:cs="Arial"/>
          <w:sz w:val="22"/>
          <w:szCs w:val="22"/>
        </w:rPr>
        <w:t>198,50</w:t>
      </w:r>
      <w:r w:rsidR="008D3EBD">
        <w:rPr>
          <w:rFonts w:asciiTheme="minorHAnsi" w:hAnsiTheme="minorHAnsi"/>
          <w:color w:val="000000" w:themeColor="text1"/>
        </w:rPr>
        <w:t xml:space="preserve">,- </w:t>
      </w:r>
      <w:r w:rsidR="008D3EBD" w:rsidRPr="007A26C5">
        <w:rPr>
          <w:rFonts w:asciiTheme="minorHAnsi" w:hAnsiTheme="minorHAnsi"/>
          <w:color w:val="000000" w:themeColor="text1"/>
        </w:rPr>
        <w:t xml:space="preserve">Kč </w:t>
      </w:r>
      <w:r w:rsidRPr="007A26C5">
        <w:rPr>
          <w:rFonts w:asciiTheme="minorHAnsi" w:hAnsiTheme="minorHAnsi"/>
          <w:color w:val="000000" w:themeColor="text1"/>
        </w:rPr>
        <w:t xml:space="preserve">(slovy: </w:t>
      </w:r>
      <w:r w:rsidR="008D3EBD">
        <w:rPr>
          <w:rFonts w:asciiTheme="minorHAnsi" w:hAnsiTheme="minorHAnsi"/>
          <w:color w:val="000000" w:themeColor="text1"/>
        </w:rPr>
        <w:t>devadesát čtyři tisíc, jedno sto devadesát osm korun českých, padesát haléřů</w:t>
      </w:r>
      <w:r w:rsidR="005F7CB2">
        <w:rPr>
          <w:rFonts w:asciiTheme="minorHAnsi" w:hAnsiTheme="minorHAnsi"/>
          <w:color w:val="000000" w:themeColor="text1"/>
        </w:rPr>
        <w:t>.</w:t>
      </w:r>
      <w:r w:rsidRPr="007A26C5">
        <w:rPr>
          <w:rFonts w:asciiTheme="minorHAnsi" w:hAnsiTheme="minorHAnsi"/>
          <w:color w:val="000000" w:themeColor="text1"/>
        </w:rPr>
        <w:t>).</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 xml:space="preserve">Kupní cenu </w:t>
      </w:r>
      <w:r w:rsidRPr="007A26C5">
        <w:rPr>
          <w:rFonts w:asciiTheme="minorHAnsi" w:hAnsiTheme="minorHAnsi"/>
          <w:color w:val="000000" w:themeColor="text1"/>
        </w:rPr>
        <w:t xml:space="preserve">zaplatí kupující prodávajícímu bankovním převodem na bankovní účet prodávajícího č. </w:t>
      </w:r>
      <w:r w:rsidR="00DD6607" w:rsidRPr="00DD6607">
        <w:rPr>
          <w:rFonts w:asciiTheme="minorHAnsi" w:hAnsiTheme="minorHAnsi"/>
          <w:color w:val="auto"/>
        </w:rPr>
        <w:t>115-3537410257/0100</w:t>
      </w:r>
      <w:r w:rsidR="008D3EBD" w:rsidRPr="00DD6607">
        <w:rPr>
          <w:rFonts w:asciiTheme="minorHAnsi" w:hAnsiTheme="minorHAnsi"/>
          <w:color w:val="auto"/>
        </w:rPr>
        <w:t xml:space="preserve"> </w:t>
      </w:r>
      <w:r w:rsidRPr="007A26C5">
        <w:rPr>
          <w:rFonts w:asciiTheme="minorHAnsi" w:hAnsiTheme="minorHAnsi"/>
          <w:color w:val="000000" w:themeColor="text1"/>
        </w:rPr>
        <w:t>na</w:t>
      </w:r>
      <w:r w:rsidRPr="007A26C5">
        <w:rPr>
          <w:rFonts w:asciiTheme="minorHAnsi" w:hAnsiTheme="minorHAnsi"/>
        </w:rPr>
        <w:t xml:space="preserve">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lastRenderedPageBreak/>
        <w:t>Nebude-li uhrazena kupní cena do 60 dnů ode dne splatnosti daňového dokladu prodávajícímu v důsledku zavinění kupujícího, sjednává si prodávající právo odstoupit od této Smlouvy.</w:t>
      </w:r>
    </w:p>
    <w:p w:rsidR="00E5212C" w:rsidRDefault="00E5212C"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4</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Přechod vlastnictví a nebezpečí škody</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 xml:space="preserve">Prodávající předá věc kupujícímu nejpozději do </w:t>
      </w:r>
      <w:r w:rsidR="008D3EBD" w:rsidRPr="00656E29">
        <w:rPr>
          <w:rFonts w:asciiTheme="minorHAnsi" w:hAnsiTheme="minorHAnsi"/>
          <w:color w:val="auto"/>
        </w:rPr>
        <w:t>3</w:t>
      </w:r>
      <w:r w:rsidR="00DD6607" w:rsidRPr="00656E29">
        <w:rPr>
          <w:rFonts w:asciiTheme="minorHAnsi" w:hAnsiTheme="minorHAnsi"/>
          <w:color w:val="auto"/>
        </w:rPr>
        <w:t>0</w:t>
      </w:r>
      <w:r w:rsidR="000C6670" w:rsidRPr="00656E29">
        <w:rPr>
          <w:rFonts w:asciiTheme="minorHAnsi" w:hAnsiTheme="minorHAnsi"/>
          <w:color w:val="auto"/>
        </w:rPr>
        <w:t xml:space="preserve">. </w:t>
      </w:r>
      <w:r w:rsidR="00DD6607" w:rsidRPr="00656E29">
        <w:rPr>
          <w:rFonts w:asciiTheme="minorHAnsi" w:hAnsiTheme="minorHAnsi"/>
          <w:color w:val="auto"/>
        </w:rPr>
        <w:t>9</w:t>
      </w:r>
      <w:r w:rsidRPr="00656E29">
        <w:rPr>
          <w:rFonts w:asciiTheme="minorHAnsi" w:hAnsiTheme="minorHAnsi"/>
          <w:color w:val="auto"/>
        </w:rPr>
        <w:t>.</w:t>
      </w:r>
      <w:r w:rsidR="000C6670" w:rsidRPr="00656E29">
        <w:rPr>
          <w:rFonts w:asciiTheme="minorHAnsi" w:hAnsiTheme="minorHAnsi"/>
          <w:color w:val="auto"/>
        </w:rPr>
        <w:t xml:space="preserve"> 2018. </w:t>
      </w:r>
      <w:r w:rsidRPr="007A26C5">
        <w:rPr>
          <w:rFonts w:asciiTheme="minorHAnsi" w:hAnsiTheme="minorHAnsi"/>
        </w:rPr>
        <w:t>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Náklady spojené s odevzdáním věci, zejména balení a dopravu, nese prodávající a náklady spojené s převzetím věci nese kupující.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O předání a převzetí věci a souvisejících dokladů bude sepsán protokol podepsaný oběma smluvními stranami.</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Pokud prodávající věci nedoručí vlastními prostředky, ale využije k tomu dopravce, považuje se za odevzdání věci kupujícímu až okamžik doručení věci. Ustanovení § 2090 a § 2091 občanského zákoníku se nepoužije.</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5</w:t>
      </w:r>
    </w:p>
    <w:p w:rsidR="007A26C5" w:rsidRPr="007A26C5" w:rsidRDefault="007A26C5" w:rsidP="007A26C5">
      <w:pPr>
        <w:pStyle w:val="Vchoz"/>
        <w:jc w:val="center"/>
        <w:rPr>
          <w:rFonts w:asciiTheme="minorHAnsi" w:hAnsiTheme="minorHAnsi"/>
        </w:rPr>
      </w:pPr>
      <w:r w:rsidRPr="007A26C5">
        <w:rPr>
          <w:rFonts w:asciiTheme="minorHAnsi" w:hAnsiTheme="minorHAnsi"/>
          <w:b/>
        </w:rPr>
        <w:t>Záruka za jakost</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Prodávající poskytuje na věci následující záruku</w:t>
      </w:r>
    </w:p>
    <w:p w:rsidR="007A26C5" w:rsidRPr="007A26C5" w:rsidRDefault="007A26C5" w:rsidP="007A26C5">
      <w:pPr>
        <w:pStyle w:val="Vchoz"/>
        <w:rPr>
          <w:rFonts w:asciiTheme="minorHAnsi" w:hAnsiTheme="minorHAnsi"/>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4536"/>
        <w:gridCol w:w="2126"/>
        <w:gridCol w:w="1583"/>
      </w:tblGrid>
      <w:tr w:rsidR="00AB7A22" w:rsidRPr="007A26C5" w:rsidTr="008D3EBD">
        <w:trPr>
          <w:trHeight w:val="85"/>
        </w:trPr>
        <w:tc>
          <w:tcPr>
            <w:tcW w:w="4536" w:type="dxa"/>
            <w:tcBorders>
              <w:top w:val="single" w:sz="4" w:space="0" w:color="808080"/>
              <w:left w:val="single" w:sz="4" w:space="0" w:color="808080"/>
              <w:bottom w:val="single" w:sz="18" w:space="0" w:color="808080"/>
              <w:right w:val="single" w:sz="4" w:space="0" w:color="808080"/>
            </w:tcBorders>
            <w:vAlign w:val="center"/>
          </w:tcPr>
          <w:p w:rsidR="00AB7A22" w:rsidRPr="007A26C5" w:rsidRDefault="00AB7A22" w:rsidP="00DC030A">
            <w:pPr>
              <w:pStyle w:val="Vchoz"/>
              <w:rPr>
                <w:rFonts w:asciiTheme="minorHAnsi" w:hAnsiTheme="minorHAnsi"/>
                <w:b/>
              </w:rPr>
            </w:pPr>
            <w:r w:rsidRPr="007A26C5">
              <w:rPr>
                <w:rFonts w:asciiTheme="minorHAnsi" w:hAnsiTheme="minorHAnsi"/>
                <w:b/>
              </w:rPr>
              <w:t>Věc</w:t>
            </w:r>
          </w:p>
        </w:tc>
        <w:tc>
          <w:tcPr>
            <w:tcW w:w="2126"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Délka záruční doby</w:t>
            </w:r>
          </w:p>
        </w:tc>
        <w:tc>
          <w:tcPr>
            <w:tcW w:w="1583" w:type="dxa"/>
            <w:tcBorders>
              <w:top w:val="single" w:sz="4" w:space="0" w:color="808080"/>
              <w:left w:val="single" w:sz="4" w:space="0" w:color="808080"/>
              <w:bottom w:val="single" w:sz="18" w:space="0" w:color="808080"/>
              <w:right w:val="single" w:sz="4" w:space="0" w:color="808080"/>
            </w:tcBorders>
          </w:tcPr>
          <w:p w:rsidR="00AB7A22" w:rsidRPr="007A26C5" w:rsidRDefault="00AB7A22" w:rsidP="00361505">
            <w:pPr>
              <w:pStyle w:val="Vchoz"/>
              <w:rPr>
                <w:rFonts w:asciiTheme="minorHAnsi" w:hAnsiTheme="minorHAnsi"/>
                <w:b/>
              </w:rPr>
            </w:pPr>
            <w:r w:rsidRPr="007A26C5">
              <w:rPr>
                <w:rFonts w:asciiTheme="minorHAnsi" w:hAnsiTheme="minorHAnsi"/>
                <w:b/>
              </w:rPr>
              <w:t>Typ záruky</w:t>
            </w:r>
          </w:p>
        </w:tc>
      </w:tr>
      <w:tr w:rsidR="00AB7A22" w:rsidRPr="007A26C5" w:rsidTr="008D3EBD">
        <w:trPr>
          <w:trHeight w:val="85"/>
        </w:trPr>
        <w:tc>
          <w:tcPr>
            <w:tcW w:w="4536" w:type="dxa"/>
            <w:tcBorders>
              <w:top w:val="single" w:sz="18" w:space="0" w:color="808080"/>
              <w:left w:val="single" w:sz="4" w:space="0" w:color="808080"/>
              <w:bottom w:val="single" w:sz="18" w:space="0" w:color="808080"/>
              <w:right w:val="single" w:sz="4" w:space="0" w:color="808080"/>
            </w:tcBorders>
            <w:vAlign w:val="center"/>
          </w:tcPr>
          <w:p w:rsidR="00AB7A22" w:rsidRPr="007A26C5" w:rsidRDefault="008D3EBD" w:rsidP="00DC030A">
            <w:pPr>
              <w:pStyle w:val="Vchoz"/>
              <w:rPr>
                <w:rFonts w:asciiTheme="minorHAnsi" w:hAnsiTheme="minorHAnsi"/>
                <w:b/>
              </w:rPr>
            </w:pPr>
            <w:r w:rsidRPr="00411AE5">
              <w:rPr>
                <w:rFonts w:ascii="Arial" w:hAnsi="Arial" w:cs="Arial"/>
                <w:sz w:val="22"/>
                <w:szCs w:val="22"/>
              </w:rPr>
              <w:t>Garmin DriveSmart 51S Lifetime Europe45</w:t>
            </w:r>
          </w:p>
        </w:tc>
        <w:tc>
          <w:tcPr>
            <w:tcW w:w="2126" w:type="dxa"/>
            <w:tcBorders>
              <w:top w:val="single" w:sz="18" w:space="0" w:color="808080"/>
              <w:left w:val="single" w:sz="4" w:space="0" w:color="808080"/>
              <w:bottom w:val="single" w:sz="18" w:space="0" w:color="808080"/>
              <w:right w:val="single" w:sz="4" w:space="0" w:color="808080"/>
            </w:tcBorders>
          </w:tcPr>
          <w:p w:rsidR="00AB7A22" w:rsidRPr="007A26C5" w:rsidRDefault="005F7CB2" w:rsidP="00AB7A22">
            <w:pPr>
              <w:pStyle w:val="Vchoz"/>
              <w:rPr>
                <w:rFonts w:asciiTheme="minorHAnsi" w:hAnsiTheme="minorHAnsi"/>
                <w:color w:val="000000" w:themeColor="text1"/>
              </w:rPr>
            </w:pPr>
            <w:r>
              <w:rPr>
                <w:rFonts w:asciiTheme="minorHAnsi" w:hAnsiTheme="minorHAnsi"/>
                <w:color w:val="000000" w:themeColor="text1"/>
              </w:rPr>
              <w:t>24</w:t>
            </w:r>
            <w:r w:rsidR="00AB7A22" w:rsidRPr="007A26C5">
              <w:rPr>
                <w:rFonts w:asciiTheme="minorHAnsi" w:hAnsiTheme="minorHAnsi"/>
                <w:color w:val="000000" w:themeColor="text1"/>
              </w:rPr>
              <w:t xml:space="preserve"> měsíců</w:t>
            </w:r>
          </w:p>
        </w:tc>
        <w:tc>
          <w:tcPr>
            <w:tcW w:w="1583" w:type="dxa"/>
            <w:tcBorders>
              <w:top w:val="single" w:sz="18" w:space="0" w:color="808080"/>
              <w:left w:val="single" w:sz="4" w:space="0" w:color="808080"/>
              <w:bottom w:val="single" w:sz="18" w:space="0" w:color="808080"/>
              <w:right w:val="single" w:sz="4" w:space="0" w:color="808080"/>
            </w:tcBorders>
          </w:tcPr>
          <w:p w:rsidR="00AB7A22" w:rsidRPr="007A26C5" w:rsidRDefault="00A01D4F" w:rsidP="00361505">
            <w:pPr>
              <w:pStyle w:val="Vchoz"/>
              <w:rPr>
                <w:rFonts w:asciiTheme="minorHAnsi" w:hAnsiTheme="minorHAnsi"/>
                <w:color w:val="000000" w:themeColor="text1"/>
              </w:rPr>
            </w:pPr>
            <w:r>
              <w:rPr>
                <w:rFonts w:asciiTheme="minorHAnsi" w:hAnsiTheme="minorHAnsi"/>
                <w:color w:val="000000" w:themeColor="text1"/>
              </w:rPr>
              <w:t>záruka</w:t>
            </w:r>
          </w:p>
        </w:tc>
      </w:tr>
    </w:tbl>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Záruka dle odst. 1) běží ode dne podpisu předávacího protokolu oběma smluvními stranami.</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Jestliže dodatečně vyjde najevo vada nebo vady, na které prodávající kupujícího neupozornil, má kupující právo na bezplatnou výměnu vadné věci provedenou nejpozději do 10 dnů ode dne oznámení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Kupující má právo na úhradu nutných nákladu, které mu vznikly v souvislosti s uplatněním práv z odpovědnosti za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 xml:space="preserve">Vady musí kupující uplatnit u prodávajícího bez zbytečného odkladu poté, co se o nich dozví. </w:t>
      </w:r>
    </w:p>
    <w:p w:rsidR="007A26C5" w:rsidRDefault="007A26C5" w:rsidP="007A26C5">
      <w:pPr>
        <w:pStyle w:val="Vchoz"/>
        <w:numPr>
          <w:ilvl w:val="0"/>
          <w:numId w:val="10"/>
        </w:numPr>
        <w:rPr>
          <w:rFonts w:asciiTheme="minorHAnsi" w:hAnsiTheme="minorHAnsi"/>
        </w:rPr>
      </w:pPr>
      <w:r w:rsidRPr="007A26C5">
        <w:rPr>
          <w:rFonts w:asciiTheme="minorHAnsi" w:hAnsiTheme="minorHAnsi"/>
        </w:rPr>
        <w:t>Uplatněním práv z odpovědnosti za vady není dotčeno právo na náhradu škody.</w:t>
      </w:r>
    </w:p>
    <w:p w:rsidR="007A26C5" w:rsidRPr="007A26C5" w:rsidRDefault="007A26C5" w:rsidP="007A26C5">
      <w:pPr>
        <w:pStyle w:val="Vchoz"/>
        <w:jc w:val="center"/>
        <w:rPr>
          <w:rFonts w:asciiTheme="minorHAnsi" w:hAnsiTheme="minorHAnsi"/>
          <w:b/>
        </w:rPr>
      </w:pPr>
      <w:r w:rsidRPr="007A26C5">
        <w:rPr>
          <w:rFonts w:asciiTheme="minorHAnsi" w:hAnsiTheme="minorHAnsi"/>
          <w:b/>
        </w:rPr>
        <w:lastRenderedPageBreak/>
        <w:t>Článek 6</w:t>
      </w:r>
    </w:p>
    <w:p w:rsidR="007A26C5" w:rsidRPr="007A26C5" w:rsidRDefault="007A26C5" w:rsidP="007A26C5">
      <w:pPr>
        <w:pStyle w:val="Vchoz"/>
        <w:jc w:val="center"/>
        <w:rPr>
          <w:rFonts w:asciiTheme="minorHAnsi" w:hAnsiTheme="minorHAnsi"/>
          <w:b/>
        </w:rPr>
      </w:pPr>
      <w:r w:rsidRPr="007A26C5">
        <w:rPr>
          <w:rFonts w:asciiTheme="minorHAnsi" w:hAnsiTheme="minorHAnsi"/>
          <w:b/>
        </w:rPr>
        <w:t>Smluvní pokuty</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prodávajícího s termínem dodávky věci je kupující oprávněn účtovat smluvní pokutu ve výši 0,05 % z celkové ceny plnění za každý byť i započatý den prodlení.</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kupujícího s úhradou ceny za dodávku věci, je prodávající oprávněn účtovat kupujícímu smluvní pokutu ve výši 0,05 % z dlužné částky za každý byť i započatý den prodlení.</w:t>
      </w:r>
    </w:p>
    <w:p w:rsidR="007A26C5" w:rsidRPr="007A26C5" w:rsidRDefault="007A26C5" w:rsidP="007A26C5">
      <w:pPr>
        <w:pStyle w:val="Vchoz"/>
        <w:jc w:val="center"/>
        <w:rPr>
          <w:rFonts w:asciiTheme="minorHAnsi" w:hAnsiTheme="minorHAnsi"/>
          <w:b/>
        </w:rPr>
      </w:pPr>
    </w:p>
    <w:p w:rsidR="007A26C5" w:rsidRPr="007A26C5" w:rsidRDefault="008D3EBD" w:rsidP="007A26C5">
      <w:pPr>
        <w:pStyle w:val="Vchoz"/>
        <w:jc w:val="center"/>
        <w:rPr>
          <w:rFonts w:asciiTheme="minorHAnsi" w:hAnsiTheme="minorHAnsi"/>
          <w:b/>
        </w:rPr>
      </w:pPr>
      <w:r>
        <w:rPr>
          <w:rFonts w:asciiTheme="minorHAnsi" w:hAnsiTheme="minorHAnsi"/>
          <w:b/>
        </w:rPr>
        <w:t>Článek 7</w:t>
      </w:r>
    </w:p>
    <w:p w:rsidR="007A26C5" w:rsidRPr="007A26C5" w:rsidRDefault="007A26C5" w:rsidP="007A26C5">
      <w:pPr>
        <w:pStyle w:val="Vchoz"/>
        <w:jc w:val="center"/>
        <w:rPr>
          <w:rFonts w:asciiTheme="minorHAnsi" w:hAnsiTheme="minorHAnsi"/>
          <w:b/>
        </w:rPr>
      </w:pPr>
      <w:r w:rsidRPr="007A26C5">
        <w:rPr>
          <w:rFonts w:asciiTheme="minorHAnsi" w:hAnsiTheme="minorHAnsi"/>
          <w:b/>
        </w:rPr>
        <w:t>Ukončení smlouvy odstoupením</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Smluvní strany výslovně sjednávají, že za podstatné porušení této smlouvy ve smyslu § 1977 a § 2106 zákona č. 89/2012 Sb., občanského zákoníku, se považuje:</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dodání zboží s nevyhovujícími technickými parametry požadovanými kupujícím dle čl. 1. odst. 2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termínem dodání delším než 15 dní</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nepravdivost prohlášení prodávajícího dle čl. 1. odst. 1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opakované prodlení s odstraněním vad dle čl. 5.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provedením výměny předmětu koupě delším než 10 dní ode dne oznámení neodstranitelné vady anebo vady, která se vyskytla na předmětu koupě opakovaně</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zahájení insolvenčního řízení u prodávajícího nebo kupujícího</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A26C5" w:rsidRDefault="007A26C5" w:rsidP="007A26C5">
      <w:pPr>
        <w:pStyle w:val="Vchoz"/>
        <w:rPr>
          <w:rFonts w:asciiTheme="minorHAnsi" w:hAnsiTheme="minorHAnsi"/>
        </w:rPr>
      </w:pPr>
    </w:p>
    <w:p w:rsidR="007A26C5" w:rsidRDefault="007A26C5" w:rsidP="007A26C5">
      <w:pPr>
        <w:pStyle w:val="Vchoz"/>
        <w:numPr>
          <w:ilvl w:val="0"/>
          <w:numId w:val="11"/>
        </w:numPr>
        <w:rPr>
          <w:rFonts w:asciiTheme="minorHAnsi" w:hAnsiTheme="minorHAnsi"/>
        </w:rPr>
      </w:pPr>
      <w:r w:rsidRPr="007A26C5">
        <w:rPr>
          <w:rFonts w:asciiTheme="minorHAnsi" w:hAnsiTheme="minorHAnsi"/>
        </w:rPr>
        <w:t>Odstoupením od smlouvy zanikají všechna práva a povinnosti stran ze smlouvy. Odstoupení od smlouvy se však nedotýká nároku na náhradu škody vzniklé porušením smlouvy.</w:t>
      </w: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Default="008D3EBD" w:rsidP="008D3EBD">
      <w:pPr>
        <w:pStyle w:val="Vchoz"/>
        <w:rPr>
          <w:rFonts w:asciiTheme="minorHAnsi" w:hAnsiTheme="minorHAnsi"/>
        </w:rPr>
      </w:pPr>
    </w:p>
    <w:p w:rsidR="008D3EBD" w:rsidRPr="007A26C5" w:rsidRDefault="008D3EBD" w:rsidP="008D3EBD">
      <w:pPr>
        <w:pStyle w:val="Vchoz"/>
        <w:rPr>
          <w:rFonts w:asciiTheme="minorHAnsi" w:hAnsiTheme="minorHAnsi"/>
        </w:rPr>
      </w:pPr>
    </w:p>
    <w:p w:rsidR="007A26C5" w:rsidRPr="007A26C5" w:rsidRDefault="008D3EBD" w:rsidP="007A26C5">
      <w:pPr>
        <w:pStyle w:val="Vchoz"/>
        <w:jc w:val="center"/>
        <w:rPr>
          <w:rFonts w:asciiTheme="minorHAnsi" w:hAnsiTheme="minorHAnsi"/>
          <w:b/>
        </w:rPr>
      </w:pPr>
      <w:r>
        <w:rPr>
          <w:rFonts w:asciiTheme="minorHAnsi" w:hAnsiTheme="minorHAnsi"/>
          <w:b/>
        </w:rPr>
        <w:t>Článek 8</w:t>
      </w:r>
    </w:p>
    <w:p w:rsidR="007A26C5" w:rsidRPr="007A26C5" w:rsidRDefault="007A26C5" w:rsidP="007A26C5">
      <w:pPr>
        <w:pStyle w:val="Vchoz"/>
        <w:jc w:val="center"/>
        <w:rPr>
          <w:rFonts w:asciiTheme="minorHAnsi" w:hAnsiTheme="minorHAnsi"/>
          <w:b/>
        </w:rPr>
      </w:pPr>
      <w:r w:rsidRPr="007A26C5">
        <w:rPr>
          <w:rFonts w:asciiTheme="minorHAnsi" w:hAnsiTheme="minorHAnsi"/>
          <w:b/>
        </w:rPr>
        <w:t>Závěrečná ustanovení</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Změny této smlouvy jsou možné pouze písemnými číslovanými dodatky podepsanými oprávněnými zástupci obou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Smlouva nabývá platnosti a účinnosti dnem podpisu poslední ze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se řídí právním řádem České republiky.</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D6FDB" w:rsidRDefault="007A26C5" w:rsidP="00AB7A22">
      <w:pPr>
        <w:pStyle w:val="Vchoz"/>
        <w:numPr>
          <w:ilvl w:val="0"/>
          <w:numId w:val="8"/>
        </w:numPr>
        <w:rPr>
          <w:rFonts w:asciiTheme="minorHAnsi" w:hAnsiTheme="minorHAnsi"/>
        </w:rPr>
      </w:pPr>
      <w:r w:rsidRPr="007D6FDB">
        <w:rPr>
          <w:rFonts w:asciiTheme="minorHAnsi" w:hAnsiTheme="minorHAnsi"/>
        </w:rPr>
        <w:t xml:space="preserve">Integrální součástí této smlouvy </w:t>
      </w:r>
      <w:r w:rsidR="007D6FDB">
        <w:rPr>
          <w:rFonts w:asciiTheme="minorHAnsi" w:hAnsiTheme="minorHAnsi"/>
        </w:rPr>
        <w:t>je t</w:t>
      </w:r>
      <w:r w:rsidRPr="007D6FDB">
        <w:rPr>
          <w:rFonts w:asciiTheme="minorHAnsi" w:hAnsiTheme="minorHAnsi"/>
        </w:rPr>
        <w:t xml:space="preserve">echnická specifikace dodávaného IT vybavení z nabídky prodávajícího, na základě které </w:t>
      </w:r>
      <w:r w:rsidR="00AB7A22" w:rsidRPr="007D6FDB">
        <w:rPr>
          <w:rFonts w:asciiTheme="minorHAnsi" w:hAnsiTheme="minorHAnsi"/>
        </w:rPr>
        <w:t xml:space="preserve">zvítězil </w:t>
      </w:r>
      <w:r w:rsidR="00AB7A22">
        <w:rPr>
          <w:rFonts w:asciiTheme="minorHAnsi" w:hAnsiTheme="minorHAnsi"/>
        </w:rPr>
        <w:t>v poptávkovém</w:t>
      </w:r>
      <w:r w:rsidR="007D6FDB">
        <w:rPr>
          <w:rFonts w:asciiTheme="minorHAnsi" w:hAnsiTheme="minorHAnsi"/>
        </w:rPr>
        <w:t xml:space="preserve"> řízení</w:t>
      </w:r>
      <w:r w:rsidRPr="007D6FDB">
        <w:rPr>
          <w:rFonts w:asciiTheme="minorHAnsi" w:hAnsiTheme="minorHAnsi"/>
        </w:rPr>
        <w:t>.</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odpovídá svobodným vůlím všech zúčastněných. Všichni zúčastnění konstatují, že jejímu textu rozumí a se vší vážností s ním souhlasí. Na důkaz toho připojují své podpisy.</w:t>
      </w:r>
    </w:p>
    <w:p w:rsidR="007A26C5" w:rsidRDefault="007A26C5" w:rsidP="007A26C5">
      <w:pPr>
        <w:pStyle w:val="Vchoz"/>
        <w:rPr>
          <w:rFonts w:asciiTheme="minorHAnsi" w:hAnsiTheme="minorHAnsi"/>
        </w:rPr>
      </w:pPr>
    </w:p>
    <w:p w:rsidR="007B581A" w:rsidRDefault="007B581A" w:rsidP="007A26C5">
      <w:pPr>
        <w:pStyle w:val="Vchoz"/>
        <w:rPr>
          <w:rFonts w:asciiTheme="minorHAnsi" w:hAnsiTheme="minorHAnsi"/>
        </w:rPr>
      </w:pPr>
      <w:r>
        <w:rPr>
          <w:rFonts w:asciiTheme="minorHAnsi" w:hAnsiTheme="minorHAnsi"/>
        </w:rPr>
        <w:t>Příloha č.1 – Technická specifikace předmětu smlouvy</w:t>
      </w:r>
    </w:p>
    <w:p w:rsidR="00E5212C" w:rsidRPr="007A26C5" w:rsidRDefault="00E5212C" w:rsidP="007A26C5">
      <w:pPr>
        <w:pStyle w:val="Vchoz"/>
        <w:rPr>
          <w:rFonts w:asciiTheme="minorHAnsi" w:hAnsiTheme="minorHAnsi"/>
        </w:rPr>
      </w:pPr>
    </w:p>
    <w:p w:rsidR="007A26C5" w:rsidRPr="007A26C5" w:rsidRDefault="007A26C5" w:rsidP="007A26C5">
      <w:pPr>
        <w:pStyle w:val="Vchoz"/>
        <w:rPr>
          <w:rFonts w:asciiTheme="minorHAnsi" w:hAnsiTheme="minorHAnsi"/>
          <w:color w:val="000000" w:themeColor="text1"/>
          <w:szCs w:val="24"/>
        </w:rPr>
      </w:pPr>
      <w:r w:rsidRPr="007A26C5">
        <w:rPr>
          <w:rFonts w:asciiTheme="minorHAnsi" w:hAnsiTheme="minorHAnsi"/>
          <w:color w:val="000000" w:themeColor="text1"/>
          <w:szCs w:val="24"/>
        </w:rPr>
        <w:t>V Plzni dne</w:t>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t xml:space="preserve">          V </w:t>
      </w:r>
      <w:r w:rsidR="008D3EBD">
        <w:rPr>
          <w:rFonts w:asciiTheme="minorHAnsi" w:hAnsiTheme="minorHAnsi"/>
          <w:color w:val="000000" w:themeColor="text1"/>
          <w:szCs w:val="24"/>
        </w:rPr>
        <w:t>Praze</w:t>
      </w:r>
      <w:r w:rsidRPr="007A26C5">
        <w:rPr>
          <w:rFonts w:asciiTheme="minorHAnsi" w:hAnsiTheme="minorHAnsi"/>
          <w:color w:val="000000" w:themeColor="text1"/>
          <w:szCs w:val="24"/>
        </w:rPr>
        <w:t xml:space="preserve"> dne </w:t>
      </w:r>
    </w:p>
    <w:p w:rsidR="007A26C5" w:rsidRDefault="007A26C5" w:rsidP="007A26C5">
      <w:pPr>
        <w:pStyle w:val="Vchoz"/>
        <w:rPr>
          <w:rFonts w:asciiTheme="minorHAnsi" w:hAnsiTheme="minorHAnsi"/>
          <w:color w:val="000000" w:themeColor="text1"/>
        </w:rPr>
      </w:pPr>
    </w:p>
    <w:p w:rsidR="00E5212C" w:rsidRPr="007A26C5" w:rsidRDefault="00E5212C"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sz w:val="22"/>
        </w:rPr>
        <w:t xml:space="preserve">      …………………………………</w:t>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00E5212C">
        <w:rPr>
          <w:rFonts w:asciiTheme="minorHAnsi" w:hAnsiTheme="minorHAnsi"/>
          <w:color w:val="000000" w:themeColor="text1"/>
          <w:sz w:val="22"/>
        </w:rPr>
        <w:tab/>
      </w:r>
      <w:r w:rsidRPr="007A26C5">
        <w:rPr>
          <w:rFonts w:asciiTheme="minorHAnsi" w:hAnsiTheme="minorHAnsi"/>
          <w:color w:val="000000" w:themeColor="text1"/>
          <w:sz w:val="22"/>
        </w:rPr>
        <w:t>…………………………………</w:t>
      </w:r>
      <w:r w:rsidR="00656E29">
        <w:rPr>
          <w:rFonts w:asciiTheme="minorHAnsi" w:hAnsiTheme="minorHAnsi"/>
          <w:color w:val="000000" w:themeColor="text1"/>
          <w:sz w:val="22"/>
        </w:rPr>
        <w:t>………………….</w:t>
      </w:r>
    </w:p>
    <w:p w:rsidR="007A26C5" w:rsidRPr="00656E29" w:rsidRDefault="007A26C5" w:rsidP="007A26C5">
      <w:pPr>
        <w:pStyle w:val="Vchoz"/>
        <w:rPr>
          <w:rFonts w:asciiTheme="minorHAnsi" w:hAnsiTheme="minorHAnsi"/>
          <w:b/>
          <w:color w:val="000000" w:themeColor="text1"/>
          <w:sz w:val="22"/>
          <w:szCs w:val="22"/>
        </w:rPr>
      </w:pPr>
      <w:r w:rsidRPr="007A26C5">
        <w:rPr>
          <w:rFonts w:asciiTheme="minorHAnsi" w:hAnsiTheme="minorHAnsi"/>
          <w:color w:val="000000" w:themeColor="text1"/>
        </w:rPr>
        <w:t xml:space="preserve">     </w:t>
      </w:r>
      <w:r w:rsidRPr="007A26C5">
        <w:rPr>
          <w:rFonts w:asciiTheme="minorHAnsi" w:hAnsiTheme="minorHAnsi"/>
          <w:b/>
          <w:color w:val="000000" w:themeColor="text1"/>
          <w:sz w:val="22"/>
          <w:szCs w:val="22"/>
        </w:rPr>
        <w:t xml:space="preserve">MUDr. </w:t>
      </w:r>
      <w:r w:rsidR="00514EDA">
        <w:rPr>
          <w:rFonts w:asciiTheme="minorHAnsi" w:hAnsiTheme="minorHAnsi"/>
          <w:b/>
          <w:color w:val="000000" w:themeColor="text1"/>
          <w:sz w:val="22"/>
          <w:szCs w:val="22"/>
        </w:rPr>
        <w:t xml:space="preserve">Bc. </w:t>
      </w:r>
      <w:r w:rsidRPr="007A26C5">
        <w:rPr>
          <w:rFonts w:asciiTheme="minorHAnsi" w:hAnsiTheme="minorHAnsi"/>
          <w:b/>
          <w:color w:val="000000" w:themeColor="text1"/>
          <w:sz w:val="22"/>
          <w:szCs w:val="22"/>
        </w:rPr>
        <w:t>Pavel Hrdlička</w:t>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656E29" w:rsidRPr="00656E29">
        <w:rPr>
          <w:rFonts w:asciiTheme="minorHAnsi" w:hAnsiTheme="minorHAnsi"/>
          <w:b/>
          <w:color w:val="000000" w:themeColor="text1"/>
          <w:sz w:val="22"/>
          <w:szCs w:val="22"/>
        </w:rPr>
        <w:t>Ing. Jiří Kudrna a Ing. Maroš  Krnáč</w:t>
      </w:r>
    </w:p>
    <w:p w:rsidR="000C6670" w:rsidRPr="00656E29" w:rsidRDefault="007A26C5" w:rsidP="008D3EBD">
      <w:pPr>
        <w:spacing w:line="276" w:lineRule="auto"/>
        <w:rPr>
          <w:rFonts w:asciiTheme="minorHAnsi" w:hAnsiTheme="minorHAnsi"/>
        </w:rPr>
      </w:pPr>
      <w:r w:rsidRPr="007A26C5">
        <w:rPr>
          <w:rFonts w:asciiTheme="minorHAnsi" w:hAnsiTheme="minorHAnsi"/>
          <w:color w:val="000000" w:themeColor="text1"/>
          <w:sz w:val="22"/>
          <w:szCs w:val="22"/>
        </w:rPr>
        <w:t xml:space="preserve">      ředitel  </w:t>
      </w:r>
      <w:r w:rsidR="00E5212C">
        <w:rPr>
          <w:rFonts w:asciiTheme="minorHAnsi" w:hAnsiTheme="minorHAnsi"/>
          <w:color w:val="000000" w:themeColor="text1"/>
          <w:sz w:val="22"/>
        </w:rPr>
        <w:t xml:space="preserve">             </w:t>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t xml:space="preserve"> </w:t>
      </w:r>
      <w:r w:rsidR="000C6670">
        <w:rPr>
          <w:rFonts w:asciiTheme="minorHAnsi" w:hAnsiTheme="minorHAnsi"/>
          <w:color w:val="000000" w:themeColor="text1"/>
          <w:sz w:val="22"/>
        </w:rPr>
        <w:tab/>
      </w:r>
      <w:r w:rsidR="00656E29">
        <w:rPr>
          <w:rFonts w:asciiTheme="minorHAnsi" w:hAnsiTheme="minorHAnsi"/>
          <w:sz w:val="22"/>
        </w:rPr>
        <w:t>jednatelé</w:t>
      </w:r>
    </w:p>
    <w:sectPr w:rsidR="000C6670" w:rsidRPr="00656E29" w:rsidSect="00AB7A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2">
    <w:nsid w:val="752857ED"/>
    <w:multiLevelType w:val="hybridMultilevel"/>
    <w:tmpl w:val="AC68B53C"/>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2"/>
    <w:rsid w:val="000C6670"/>
    <w:rsid w:val="00307CC5"/>
    <w:rsid w:val="00435324"/>
    <w:rsid w:val="00445D39"/>
    <w:rsid w:val="004B0D34"/>
    <w:rsid w:val="00514EDA"/>
    <w:rsid w:val="005F7CB2"/>
    <w:rsid w:val="00656E29"/>
    <w:rsid w:val="00792123"/>
    <w:rsid w:val="007A26C5"/>
    <w:rsid w:val="007B581A"/>
    <w:rsid w:val="007B60E2"/>
    <w:rsid w:val="007C243E"/>
    <w:rsid w:val="007D6FDB"/>
    <w:rsid w:val="00872294"/>
    <w:rsid w:val="00883D6C"/>
    <w:rsid w:val="008D3EBD"/>
    <w:rsid w:val="008D42F1"/>
    <w:rsid w:val="008F2954"/>
    <w:rsid w:val="00911E49"/>
    <w:rsid w:val="009A5180"/>
    <w:rsid w:val="009C090D"/>
    <w:rsid w:val="00A01D4F"/>
    <w:rsid w:val="00AB7A22"/>
    <w:rsid w:val="00AD1A31"/>
    <w:rsid w:val="00B02AF1"/>
    <w:rsid w:val="00D27EB6"/>
    <w:rsid w:val="00DC1711"/>
    <w:rsid w:val="00DD6607"/>
    <w:rsid w:val="00E52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294"/>
    <w:rPr>
      <w:rFonts w:ascii="Tahoma" w:hAnsi="Tahoma" w:cs="Tahoma"/>
      <w:sz w:val="16"/>
      <w:szCs w:val="16"/>
    </w:rPr>
  </w:style>
  <w:style w:type="character" w:customStyle="1" w:styleId="TextbublinyChar">
    <w:name w:val="Text bubliny Char"/>
    <w:basedOn w:val="Standardnpsmoodstavce"/>
    <w:link w:val="Textbubliny"/>
    <w:uiPriority w:val="99"/>
    <w:semiHidden/>
    <w:rsid w:val="0087229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 w:type="paragraph" w:styleId="Zkladntext">
    <w:name w:val="Body Text"/>
    <w:basedOn w:val="Normln"/>
    <w:link w:val="ZkladntextChar"/>
    <w:rsid w:val="009A5180"/>
    <w:pPr>
      <w:spacing w:after="120"/>
    </w:pPr>
    <w:rPr>
      <w:sz w:val="24"/>
      <w:szCs w:val="24"/>
    </w:rPr>
  </w:style>
  <w:style w:type="character" w:customStyle="1" w:styleId="ZkladntextChar">
    <w:name w:val="Základní text Char"/>
    <w:basedOn w:val="Standardnpsmoodstavce"/>
    <w:link w:val="Zkladntext"/>
    <w:rsid w:val="009A518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294"/>
    <w:rPr>
      <w:rFonts w:ascii="Tahoma" w:hAnsi="Tahoma" w:cs="Tahoma"/>
      <w:sz w:val="16"/>
      <w:szCs w:val="16"/>
    </w:rPr>
  </w:style>
  <w:style w:type="character" w:customStyle="1" w:styleId="TextbublinyChar">
    <w:name w:val="Text bubliny Char"/>
    <w:basedOn w:val="Standardnpsmoodstavce"/>
    <w:link w:val="Textbubliny"/>
    <w:uiPriority w:val="99"/>
    <w:semiHidden/>
    <w:rsid w:val="0087229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7480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Ivana Věková</cp:lastModifiedBy>
  <cp:revision>2</cp:revision>
  <cp:lastPrinted>2018-08-27T06:55:00Z</cp:lastPrinted>
  <dcterms:created xsi:type="dcterms:W3CDTF">2018-09-05T09:21:00Z</dcterms:created>
  <dcterms:modified xsi:type="dcterms:W3CDTF">2018-09-05T09:21:00Z</dcterms:modified>
</cp:coreProperties>
</file>