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Krnov-Horní 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539085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30.5.2002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64 512,50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5 140,08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4 608,98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7 093,94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12 371,88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10 174,02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31 472,95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1282172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153 556,80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Opavské 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49222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6 626,96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1331394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160 183,76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160 184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002 pachtovní smlouvy č. 553N02/26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