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48" w:rsidRDefault="006A0013">
      <w:pPr>
        <w:spacing w:after="201" w:line="259" w:lineRule="auto"/>
        <w:ind w:left="172" w:right="0" w:firstLine="0"/>
        <w:jc w:val="left"/>
      </w:pPr>
      <w:r>
        <w:rPr>
          <w:sz w:val="28"/>
        </w:rPr>
        <w:t xml:space="preserve"> ŘEDITELSTVÍ SILNIC A DÁLNIC CR</w:t>
      </w:r>
    </w:p>
    <w:p w:rsidR="007F1648" w:rsidRDefault="006A0013">
      <w:pPr>
        <w:pStyle w:val="Nadpis1"/>
        <w:ind w:left="0" w:right="704"/>
        <w:jc w:val="center"/>
      </w:pPr>
      <w:r>
        <w:rPr>
          <w:sz w:val="50"/>
        </w:rPr>
        <w:t>OBJEDNÁVKA</w:t>
      </w:r>
    </w:p>
    <w:p w:rsidR="007F1648" w:rsidRDefault="006A0013">
      <w:pPr>
        <w:spacing w:after="300" w:line="259" w:lineRule="auto"/>
        <w:ind w:left="0" w:firstLine="0"/>
        <w:jc w:val="center"/>
      </w:pPr>
      <w:r>
        <w:t>číslo objednávky: 29ZA-001918</w:t>
      </w:r>
    </w:p>
    <w:p w:rsidR="007F1648" w:rsidRDefault="006A0013">
      <w:pPr>
        <w:tabs>
          <w:tab w:val="center" w:pos="5156"/>
        </w:tabs>
        <w:spacing w:after="145" w:line="252" w:lineRule="auto"/>
        <w:ind w:left="0" w:right="0" w:firstLine="0"/>
        <w:jc w:val="left"/>
      </w:pPr>
      <w:r>
        <w:rPr>
          <w:sz w:val="24"/>
        </w:rPr>
        <w:t>Objednatel:</w:t>
      </w:r>
      <w:r>
        <w:rPr>
          <w:sz w:val="24"/>
        </w:rPr>
        <w:tab/>
        <w:t>Dodavatel:</w:t>
      </w:r>
    </w:p>
    <w:p w:rsidR="007F1648" w:rsidRDefault="006A0013">
      <w:pPr>
        <w:ind w:left="146" w:right="1322"/>
      </w:pPr>
      <w:r>
        <w:t xml:space="preserve">Ředitelství silnic a dálnic ČR Obchodní jméno: FORVIA CZ </w:t>
      </w:r>
      <w:proofErr w:type="spellStart"/>
      <w:r>
        <w:t>ssÚD</w:t>
      </w:r>
      <w:proofErr w:type="spellEnd"/>
      <w:r>
        <w:t xml:space="preserve"> 7, Bratislavská 867, 691 45 Podivín Adresa: Kolínská 1, 290 01 Poděbrady</w:t>
      </w:r>
    </w:p>
    <w:p w:rsidR="007F1648" w:rsidRDefault="006A0013">
      <w:pPr>
        <w:ind w:left="146" w:right="2903"/>
      </w:pPr>
      <w:r>
        <w:t xml:space="preserve">Bankovní spojení: ČNB IČO: 02992485 číslo účtu: </w:t>
      </w:r>
      <w:proofErr w:type="spellStart"/>
      <w:r w:rsidR="00CB7B6E" w:rsidRPr="00CB7B6E">
        <w:rPr>
          <w:highlight w:val="black"/>
        </w:rPr>
        <w:t>xxxxxxxxxxxxxxxxxxxxxx</w:t>
      </w:r>
      <w:proofErr w:type="spellEnd"/>
      <w:r>
        <w:t xml:space="preserve"> </w:t>
      </w:r>
      <w:r>
        <w:t>DIČ: CZ02992485</w:t>
      </w:r>
    </w:p>
    <w:p w:rsidR="007F1648" w:rsidRDefault="006A0013">
      <w:pPr>
        <w:tabs>
          <w:tab w:val="center" w:pos="6072"/>
        </w:tabs>
        <w:spacing w:after="48"/>
        <w:ind w:left="0" w:right="0" w:firstLine="0"/>
        <w:jc w:val="left"/>
      </w:pPr>
      <w:r>
        <w:t>IČO: 65993390</w:t>
      </w:r>
      <w:r>
        <w:tab/>
      </w:r>
      <w:r>
        <w:t xml:space="preserve">Kontaktní </w:t>
      </w:r>
      <w:proofErr w:type="spellStart"/>
      <w:r w:rsidRPr="00CB7B6E">
        <w:rPr>
          <w:highlight w:val="black"/>
        </w:rPr>
        <w:t>osoba</w:t>
      </w:r>
      <w:r w:rsidR="00CB7B6E" w:rsidRPr="00CB7B6E">
        <w:rPr>
          <w:highlight w:val="black"/>
        </w:rPr>
        <w:t>xxxxxxxxxxxxxxxxx</w:t>
      </w:r>
      <w:proofErr w:type="spellEnd"/>
    </w:p>
    <w:p w:rsidR="007F1648" w:rsidRDefault="006A0013">
      <w:pPr>
        <w:spacing w:after="567"/>
        <w:ind w:left="146" w:right="883"/>
      </w:pPr>
      <w:r>
        <w:t>DIČ: CZ65993390</w:t>
      </w:r>
    </w:p>
    <w:p w:rsidR="007F1648" w:rsidRDefault="006A0013">
      <w:pPr>
        <w:spacing w:after="145"/>
        <w:ind w:left="146" w:right="883"/>
      </w:pPr>
      <w:r>
        <w:t>Tato objednávka Objednatele zavazuje po jejím potvrzení Dodavatelem obě smluvní strany ke splnění stanovených</w:t>
      </w:r>
      <w:r>
        <w:t xml:space="preserve"> závazků a nahrazuje smlouvu. Dodavatel se zavazuje provést na svůj náklad a nebezpečí pro Objednatele služby specifikované níže. Objednatel se zavazuje zaplatit za služby poskytnuté v souladu s touto objednávkou cenu uvedenou níže.</w:t>
      </w:r>
    </w:p>
    <w:p w:rsidR="007F1648" w:rsidRDefault="006A0013">
      <w:pPr>
        <w:spacing w:after="158"/>
        <w:ind w:left="146" w:right="883"/>
      </w:pPr>
      <w:r>
        <w:t>Místo dodání: ŘSD ČR, S</w:t>
      </w:r>
      <w:r>
        <w:t>S</w:t>
      </w:r>
      <w:r>
        <w:rPr>
          <w:vertAlign w:val="superscript"/>
        </w:rPr>
        <w:t>V</w:t>
      </w:r>
      <w:r>
        <w:t>UD 7, Bratislavská 867, 691 45 Podivín</w:t>
      </w:r>
    </w:p>
    <w:p w:rsidR="007F1648" w:rsidRDefault="006A0013">
      <w:pPr>
        <w:spacing w:after="145" w:line="252" w:lineRule="auto"/>
        <w:ind w:left="147" w:right="668"/>
      </w:pPr>
      <w:r>
        <w:rPr>
          <w:noProof/>
        </w:rPr>
        <w:drawing>
          <wp:anchor distT="0" distB="0" distL="114300" distR="114300" simplePos="0" relativeHeight="251658240" behindDoc="0" locked="0" layoutInCell="1" allowOverlap="0">
            <wp:simplePos x="0" y="0"/>
            <wp:positionH relativeFrom="page">
              <wp:posOffset>793980</wp:posOffset>
            </wp:positionH>
            <wp:positionV relativeFrom="page">
              <wp:posOffset>6268230</wp:posOffset>
            </wp:positionV>
            <wp:extent cx="13689" cy="18248"/>
            <wp:effectExtent l="0" t="0" r="0" b="0"/>
            <wp:wrapSquare wrapText="bothSides"/>
            <wp:docPr id="1956" name="Picture 1956"/>
            <wp:cNvGraphicFramePr/>
            <a:graphic xmlns:a="http://schemas.openxmlformats.org/drawingml/2006/main">
              <a:graphicData uri="http://schemas.openxmlformats.org/drawingml/2006/picture">
                <pic:pic xmlns:pic="http://schemas.openxmlformats.org/drawingml/2006/picture">
                  <pic:nvPicPr>
                    <pic:cNvPr id="1956" name="Picture 1956"/>
                    <pic:cNvPicPr/>
                  </pic:nvPicPr>
                  <pic:blipFill>
                    <a:blip r:embed="rId7"/>
                    <a:stretch>
                      <a:fillRect/>
                    </a:stretch>
                  </pic:blipFill>
                  <pic:spPr>
                    <a:xfrm>
                      <a:off x="0" y="0"/>
                      <a:ext cx="13689" cy="18248"/>
                    </a:xfrm>
                    <a:prstGeom prst="rect">
                      <a:avLst/>
                    </a:prstGeom>
                  </pic:spPr>
                </pic:pic>
              </a:graphicData>
            </a:graphic>
          </wp:anchor>
        </w:drawing>
      </w:r>
      <w:r>
        <w:rPr>
          <w:sz w:val="24"/>
        </w:rPr>
        <w:t xml:space="preserve">Kontaktní osoba </w:t>
      </w:r>
      <w:proofErr w:type="spellStart"/>
      <w:r>
        <w:rPr>
          <w:sz w:val="24"/>
        </w:rPr>
        <w:t>Objednatele:</w:t>
      </w:r>
      <w:r w:rsidR="00CB7B6E" w:rsidRPr="00CB7B6E">
        <w:rPr>
          <w:sz w:val="24"/>
          <w:highlight w:val="black"/>
        </w:rPr>
        <w:t>xxxxxxxxxxxxxxxxxxx</w:t>
      </w:r>
      <w:proofErr w:type="spellEnd"/>
    </w:p>
    <w:p w:rsidR="007F1648" w:rsidRDefault="006A0013">
      <w:pPr>
        <w:spacing w:after="128"/>
        <w:ind w:left="146" w:right="883"/>
      </w:pPr>
      <w:r>
        <w:t>Fakturujte: Ředitelství silnic a dálnic ČR, SSŮD 7 Podivín, Na Pankráci 56, 140 00 Praha 4</w:t>
      </w:r>
    </w:p>
    <w:p w:rsidR="007F1648" w:rsidRDefault="006A0013">
      <w:pPr>
        <w:spacing w:after="546"/>
        <w:ind w:left="146" w:right="883"/>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w:t>
      </w:r>
      <w:r>
        <w:t>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w:t>
      </w:r>
      <w:r>
        <w:t>) této objednávky se Dodavatel zavazuje plnit veškeré povinnosti v této objednávce uvedené. Objednatel výslovně vylučuje akceptaci objednávky Dodavatelem s jakýmikoliv změnami jejího obsahu, k takovému právnímu jednání Dodavatele se nepřihlíží. Dodavatel p</w:t>
      </w:r>
      <w:r>
        <w:t xml:space="preserve">oskytuje souhlas s uveřejněním objednávky a jejího potvrzení v </w:t>
      </w:r>
      <w:proofErr w:type="spellStart"/>
      <w:r>
        <w:t>registlll</w:t>
      </w:r>
      <w:proofErr w:type="spellEnd"/>
      <w:r>
        <w:t xml:space="preserve"> smluv zřízeným </w:t>
      </w:r>
      <w:proofErr w:type="spellStart"/>
      <w:r>
        <w:t>Akonem</w:t>
      </w:r>
      <w:proofErr w:type="spellEnd"/>
      <w:r>
        <w:t xml:space="preserve"> č. 340/2015 Sb., o zvláštních podmínkách účinnosti některých smluv, uveřejňování těchto smluv a o registru smluv, ve znění pozdějších předpisů (dále jako „zákon </w:t>
      </w:r>
      <w:r>
        <w:t xml:space="preserve">o registru smluv”), Objednatelem. Objednávka je účinná okamžikem zveřejnění v registru smluv. / Objednávka je na základě výjimky stanovené v 6 odst. 2 zákona č. 340/2015 Sb., o </w:t>
      </w:r>
      <w:proofErr w:type="spellStart"/>
      <w:r>
        <w:t>registłu</w:t>
      </w:r>
      <w:proofErr w:type="spellEnd"/>
      <w:r>
        <w:t xml:space="preserve"> smluv, účinná okamžikem doručení akceptace objednávky Dodavatelem Obje</w:t>
      </w:r>
      <w:r>
        <w:t>dnateli.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w:t>
      </w:r>
      <w:r>
        <w:t xml:space="preserve"> práv a povinností z něj vyplývajících.</w:t>
      </w:r>
    </w:p>
    <w:p w:rsidR="007F1648" w:rsidRDefault="006A0013">
      <w:pPr>
        <w:spacing w:after="284" w:line="259" w:lineRule="auto"/>
        <w:ind w:left="67" w:right="503" w:hanging="10"/>
        <w:jc w:val="center"/>
      </w:pPr>
      <w:r>
        <w:rPr>
          <w:sz w:val="18"/>
        </w:rPr>
        <w:t xml:space="preserve">I </w:t>
      </w:r>
    </w:p>
    <w:p w:rsidR="007F1648" w:rsidRDefault="006A0013">
      <w:pPr>
        <w:spacing w:after="4" w:line="252" w:lineRule="auto"/>
        <w:ind w:left="499" w:right="668"/>
      </w:pPr>
      <w:r>
        <w:rPr>
          <w:sz w:val="24"/>
        </w:rPr>
        <w:lastRenderedPageBreak/>
        <w:t>Objednáváme u Vás: technická pomoc objednateli — oprava oplocení v km 49,450 — 52,900 P, km 59,900 - 58,900 L</w:t>
      </w:r>
    </w:p>
    <w:p w:rsidR="007F1648" w:rsidRDefault="006A0013">
      <w:pPr>
        <w:spacing w:after="241" w:line="252" w:lineRule="auto"/>
        <w:ind w:left="499" w:right="668"/>
      </w:pPr>
      <w:r>
        <w:rPr>
          <w:sz w:val="24"/>
        </w:rPr>
        <w:t>Lhůta pro dodání či termín dodání: Plnění dodejte ve lhůtě do 31. 12.2018</w:t>
      </w:r>
    </w:p>
    <w:p w:rsidR="007F1648" w:rsidRDefault="006A0013">
      <w:pPr>
        <w:spacing w:after="93" w:line="252" w:lineRule="auto"/>
        <w:ind w:left="492" w:right="668"/>
      </w:pPr>
      <w:r>
        <w:rPr>
          <w:sz w:val="24"/>
        </w:rPr>
        <w:t xml:space="preserve">Celková hodnota objednávky v </w:t>
      </w:r>
      <w:r>
        <w:rPr>
          <w:sz w:val="24"/>
        </w:rPr>
        <w:t>Kč bez DPH / s DPH: 143 800,-/173 998,-</w:t>
      </w:r>
    </w:p>
    <w:p w:rsidR="007F1648" w:rsidRDefault="006A0013">
      <w:pPr>
        <w:spacing w:after="105" w:line="269" w:lineRule="auto"/>
        <w:ind w:left="467" w:right="0" w:firstLine="14"/>
        <w:jc w:val="left"/>
      </w:pPr>
      <w:r>
        <w:t xml:space="preserve">V případě akceptace objednávky Objednatele Dodavatel objednávku písemně potvrdí prostřednictvím </w:t>
      </w:r>
      <w:r>
        <w:tab/>
        <w:t>e-mailu</w:t>
      </w:r>
      <w:r>
        <w:tab/>
        <w:t>zaslaného</w:t>
      </w:r>
      <w:r>
        <w:tab/>
        <w:t>do</w:t>
      </w:r>
      <w:r>
        <w:tab/>
        <w:t>e-mailové</w:t>
      </w:r>
      <w:r>
        <w:tab/>
        <w:t xml:space="preserve">schránky </w:t>
      </w:r>
      <w:r>
        <w:tab/>
        <w:t xml:space="preserve">Objednatele </w:t>
      </w:r>
      <w:proofErr w:type="spellStart"/>
      <w:r w:rsidR="00CB7B6E" w:rsidRPr="00CB7B6E">
        <w:rPr>
          <w:highlight w:val="black"/>
          <w:u w:val="single" w:color="000000"/>
        </w:rPr>
        <w:t>xxxxxxxxxxxxxxxxxxxxxxx</w:t>
      </w:r>
      <w:proofErr w:type="spellEnd"/>
      <w:r w:rsidRPr="00CB7B6E">
        <w:rPr>
          <w:highlight w:val="black"/>
        </w:rPr>
        <w:t>.</w:t>
      </w:r>
      <w:r>
        <w:t xml:space="preserve"> V případě nepotvrzení akceptace objednávky</w:t>
      </w:r>
      <w:r>
        <w:t xml:space="preserve"> Objednatele Dodavatelem ve lhůtě 3 pracovních dnů ode dne odeslání objednávky Objednatelem platí, že Dodavatel objednávku neakceptoval a objednávka je bez dalšího zneplatněna.</w:t>
      </w:r>
    </w:p>
    <w:p w:rsidR="007F1648" w:rsidRDefault="006A0013">
      <w:pPr>
        <w:spacing w:after="148"/>
        <w:ind w:left="463" w:right="883"/>
      </w:pPr>
      <w:r>
        <w:t>Nedílnou součástí této objednávky jsou následující přílohy:</w:t>
      </w:r>
    </w:p>
    <w:p w:rsidR="007F1648" w:rsidRDefault="006A0013">
      <w:pPr>
        <w:spacing w:after="113"/>
        <w:ind w:left="456" w:right="883"/>
      </w:pPr>
      <w:r>
        <w:t>Příloha č. 1 — Spec</w:t>
      </w:r>
      <w:r>
        <w:t>ifikace služeb</w:t>
      </w:r>
    </w:p>
    <w:p w:rsidR="007F1648" w:rsidRDefault="006A0013">
      <w:pPr>
        <w:spacing w:after="349"/>
        <w:ind w:left="456" w:right="883"/>
      </w:pPr>
      <w:r>
        <w:t>Příloha č. 2 — Položkový rozpis ceny</w:t>
      </w:r>
    </w:p>
    <w:p w:rsidR="007F1648" w:rsidRDefault="006A0013">
      <w:pPr>
        <w:tabs>
          <w:tab w:val="center" w:pos="1574"/>
          <w:tab w:val="center" w:pos="6525"/>
        </w:tabs>
        <w:ind w:left="0" w:right="0" w:firstLine="0"/>
        <w:jc w:val="left"/>
      </w:pPr>
      <w:r>
        <w:tab/>
        <w:t xml:space="preserve">V </w:t>
      </w:r>
      <w:proofErr w:type="spellStart"/>
      <w:r>
        <w:t>Podivíně</w:t>
      </w:r>
      <w:proofErr w:type="spellEnd"/>
      <w:r>
        <w:t xml:space="preserve"> dne: </w:t>
      </w:r>
      <w:proofErr w:type="gramStart"/>
      <w:r>
        <w:t>3.9.2018</w:t>
      </w:r>
      <w:proofErr w:type="gramEnd"/>
      <w:r>
        <w:tab/>
        <w:t xml:space="preserve">l/ Paž </w:t>
      </w:r>
    </w:p>
    <w:p w:rsidR="007F1648" w:rsidRDefault="006A0013">
      <w:pPr>
        <w:pStyle w:val="Nadpis2"/>
        <w:spacing w:after="0"/>
        <w:ind w:left="7308"/>
        <w:jc w:val="right"/>
      </w:pPr>
      <w:r>
        <w:rPr>
          <w:rFonts w:ascii="Times New Roman" w:eastAsia="Times New Roman" w:hAnsi="Times New Roman" w:cs="Times New Roman"/>
          <w:sz w:val="36"/>
          <w:u w:val="none"/>
        </w:rPr>
        <w:t>207?'</w:t>
      </w:r>
    </w:p>
    <w:p w:rsidR="007F1648" w:rsidRDefault="006A0013">
      <w:pPr>
        <w:ind w:left="449" w:right="883"/>
      </w:pPr>
      <w:r>
        <w:t xml:space="preserve">Za Objednatele: </w:t>
      </w:r>
      <w:proofErr w:type="spellStart"/>
      <w:r w:rsidR="00CB7B6E" w:rsidRPr="00CB7B6E">
        <w:rPr>
          <w:highlight w:val="black"/>
        </w:rPr>
        <w:t>xxxxxxxxxxxxxxxxxxx</w:t>
      </w:r>
      <w:proofErr w:type="spellEnd"/>
    </w:p>
    <w:p w:rsidR="007F1648" w:rsidRDefault="006A0013">
      <w:pPr>
        <w:tabs>
          <w:tab w:val="center" w:pos="6234"/>
          <w:tab w:val="center" w:pos="7793"/>
        </w:tabs>
        <w:spacing w:line="259" w:lineRule="auto"/>
        <w:ind w:left="0" w:right="0" w:firstLine="0"/>
        <w:jc w:val="left"/>
      </w:pPr>
      <w:r>
        <w:rPr>
          <w:sz w:val="28"/>
        </w:rPr>
        <w:tab/>
        <w:t xml:space="preserve">/V' </w:t>
      </w:r>
      <w:r>
        <w:rPr>
          <w:sz w:val="28"/>
        </w:rPr>
        <w:tab/>
        <w:t>//08C/c</w:t>
      </w:r>
    </w:p>
    <w:p w:rsidR="007F1648" w:rsidRDefault="006A0013">
      <w:pPr>
        <w:spacing w:after="207"/>
        <w:ind w:left="456" w:right="3967"/>
      </w:pPr>
      <w:r>
        <w:rPr>
          <w:noProof/>
        </w:rPr>
        <w:drawing>
          <wp:anchor distT="0" distB="0" distL="114300" distR="114300" simplePos="0" relativeHeight="251661312" behindDoc="0" locked="0" layoutInCell="1" allowOverlap="0">
            <wp:simplePos x="0" y="0"/>
            <wp:positionH relativeFrom="page">
              <wp:posOffset>930873</wp:posOffset>
            </wp:positionH>
            <wp:positionV relativeFrom="page">
              <wp:posOffset>1751820</wp:posOffset>
            </wp:positionV>
            <wp:extent cx="13689" cy="9124"/>
            <wp:effectExtent l="0" t="0" r="0" b="0"/>
            <wp:wrapSquare wrapText="bothSides"/>
            <wp:docPr id="3385" name="Picture 3385"/>
            <wp:cNvGraphicFramePr/>
            <a:graphic xmlns:a="http://schemas.openxmlformats.org/drawingml/2006/main">
              <a:graphicData uri="http://schemas.openxmlformats.org/drawingml/2006/picture">
                <pic:pic xmlns:pic="http://schemas.openxmlformats.org/drawingml/2006/picture">
                  <pic:nvPicPr>
                    <pic:cNvPr id="3385" name="Picture 3385"/>
                    <pic:cNvPicPr/>
                  </pic:nvPicPr>
                  <pic:blipFill>
                    <a:blip r:embed="rId8"/>
                    <a:stretch>
                      <a:fillRect/>
                    </a:stretch>
                  </pic:blipFill>
                  <pic:spPr>
                    <a:xfrm>
                      <a:off x="0" y="0"/>
                      <a:ext cx="13689" cy="9124"/>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730097</wp:posOffset>
            </wp:positionH>
            <wp:positionV relativeFrom="page">
              <wp:posOffset>1751820</wp:posOffset>
            </wp:positionV>
            <wp:extent cx="13689" cy="13686"/>
            <wp:effectExtent l="0" t="0" r="0" b="0"/>
            <wp:wrapSquare wrapText="bothSides"/>
            <wp:docPr id="3384" name="Picture 3384"/>
            <wp:cNvGraphicFramePr/>
            <a:graphic xmlns:a="http://schemas.openxmlformats.org/drawingml/2006/main">
              <a:graphicData uri="http://schemas.openxmlformats.org/drawingml/2006/picture">
                <pic:pic xmlns:pic="http://schemas.openxmlformats.org/drawingml/2006/picture">
                  <pic:nvPicPr>
                    <pic:cNvPr id="3384" name="Picture 3384"/>
                    <pic:cNvPicPr/>
                  </pic:nvPicPr>
                  <pic:blipFill>
                    <a:blip r:embed="rId9"/>
                    <a:stretch>
                      <a:fillRect/>
                    </a:stretch>
                  </pic:blipFill>
                  <pic:spPr>
                    <a:xfrm>
                      <a:off x="0" y="0"/>
                      <a:ext cx="13689" cy="13686"/>
                    </a:xfrm>
                    <a:prstGeom prst="rect">
                      <a:avLst/>
                    </a:prstGeom>
                  </pic:spPr>
                </pic:pic>
              </a:graphicData>
            </a:graphic>
          </wp:anchor>
        </w:drawing>
      </w:r>
      <w:r>
        <w:t>Podpis oprávněné osoby:</w:t>
      </w:r>
    </w:p>
    <w:p w:rsidR="007F1648" w:rsidRDefault="007F1648">
      <w:pPr>
        <w:spacing w:after="5302" w:line="259" w:lineRule="auto"/>
        <w:ind w:left="0" w:right="489" w:firstLine="0"/>
        <w:jc w:val="right"/>
      </w:pPr>
    </w:p>
    <w:p w:rsidR="007F1648" w:rsidRDefault="006A0013">
      <w:pPr>
        <w:spacing w:after="284" w:line="259" w:lineRule="auto"/>
        <w:ind w:left="67" w:right="0" w:hanging="10"/>
        <w:jc w:val="center"/>
      </w:pPr>
      <w:r>
        <w:rPr>
          <w:sz w:val="18"/>
        </w:rPr>
        <w:t xml:space="preserve">2 </w:t>
      </w:r>
    </w:p>
    <w:p w:rsidR="007F1648" w:rsidRDefault="006A0013">
      <w:pPr>
        <w:spacing w:after="448" w:line="252" w:lineRule="auto"/>
        <w:ind w:left="2" w:right="668"/>
      </w:pPr>
      <w:r>
        <w:rPr>
          <w:sz w:val="24"/>
        </w:rPr>
        <w:t>Příloha č. 1 — Specifikace služeb</w:t>
      </w:r>
    </w:p>
    <w:p w:rsidR="007F1648" w:rsidRDefault="006A0013">
      <w:pPr>
        <w:pStyle w:val="Nadpis1"/>
      </w:pPr>
      <w:r>
        <w:lastRenderedPageBreak/>
        <w:t>TDI - SPECIFIKACE PRACÍ</w:t>
      </w:r>
    </w:p>
    <w:p w:rsidR="007F1648" w:rsidRDefault="006A0013">
      <w:pPr>
        <w:spacing w:after="138" w:line="252" w:lineRule="auto"/>
        <w:ind w:left="2" w:right="668"/>
      </w:pPr>
      <w:r>
        <w:rPr>
          <w:sz w:val="24"/>
        </w:rPr>
        <w:t>Zakázka zahrnuje zajištění technické pomoci objednateli při zajištění stavebního dozoru při realizaci zakázky opravy oplocení na dálnici D2 v 49,450 — 52,900 směrem na Bratislavu a v km 59,900 — 58,</w:t>
      </w:r>
      <w:r>
        <w:rPr>
          <w:sz w:val="24"/>
        </w:rPr>
        <w:t>900 směrem na Brno.</w:t>
      </w:r>
    </w:p>
    <w:p w:rsidR="007F1648" w:rsidRDefault="006A0013">
      <w:pPr>
        <w:spacing w:after="106" w:line="259" w:lineRule="auto"/>
        <w:ind w:left="7" w:right="0" w:firstLine="0"/>
        <w:jc w:val="left"/>
      </w:pPr>
      <w:r>
        <w:rPr>
          <w:sz w:val="26"/>
          <w:u w:val="single" w:color="000000"/>
        </w:rPr>
        <w:t>Poskytovatel bude provádět</w:t>
      </w:r>
      <w:r>
        <w:rPr>
          <w:sz w:val="26"/>
        </w:rPr>
        <w:t>:</w:t>
      </w:r>
    </w:p>
    <w:p w:rsidR="007F1648" w:rsidRDefault="006A0013">
      <w:pPr>
        <w:numPr>
          <w:ilvl w:val="0"/>
          <w:numId w:val="1"/>
        </w:numPr>
        <w:spacing w:after="4" w:line="252" w:lineRule="auto"/>
        <w:ind w:right="668" w:hanging="137"/>
      </w:pPr>
      <w:r>
        <w:rPr>
          <w:sz w:val="24"/>
        </w:rPr>
        <w:t>kontrolu stavebního deníku zhotovitele</w:t>
      </w:r>
    </w:p>
    <w:p w:rsidR="007F1648" w:rsidRDefault="006A0013">
      <w:pPr>
        <w:numPr>
          <w:ilvl w:val="0"/>
          <w:numId w:val="1"/>
        </w:numPr>
        <w:spacing w:after="4" w:line="252" w:lineRule="auto"/>
        <w:ind w:right="668" w:hanging="137"/>
      </w:pPr>
      <w:r>
        <w:rPr>
          <w:sz w:val="24"/>
        </w:rPr>
        <w:t>kontrolu dodržování BOZP a PO na staveništích</w:t>
      </w:r>
    </w:p>
    <w:p w:rsidR="007F1648" w:rsidRDefault="006A0013">
      <w:pPr>
        <w:numPr>
          <w:ilvl w:val="0"/>
          <w:numId w:val="1"/>
        </w:numPr>
        <w:spacing w:after="4" w:line="252" w:lineRule="auto"/>
        <w:ind w:right="668" w:hanging="137"/>
      </w:pPr>
      <w:r>
        <w:rPr>
          <w:sz w:val="24"/>
        </w:rPr>
        <w:t>kontrolu kvality prováděných prací a používaného materiálu zhotovitelem</w:t>
      </w:r>
    </w:p>
    <w:p w:rsidR="007F1648" w:rsidRDefault="006A0013">
      <w:pPr>
        <w:numPr>
          <w:ilvl w:val="0"/>
          <w:numId w:val="1"/>
        </w:numPr>
        <w:spacing w:after="4" w:line="252" w:lineRule="auto"/>
        <w:ind w:right="668" w:hanging="137"/>
      </w:pPr>
      <w:r>
        <w:rPr>
          <w:sz w:val="24"/>
        </w:rPr>
        <w:t>pořízení fotodokumentace z kontrol</w:t>
      </w:r>
    </w:p>
    <w:p w:rsidR="007F1648" w:rsidRDefault="006A0013">
      <w:pPr>
        <w:numPr>
          <w:ilvl w:val="0"/>
          <w:numId w:val="1"/>
        </w:numPr>
        <w:spacing w:after="4" w:line="252" w:lineRule="auto"/>
        <w:ind w:right="668" w:hanging="137"/>
      </w:pPr>
      <w:r>
        <w:rPr>
          <w:sz w:val="24"/>
        </w:rPr>
        <w:t xml:space="preserve">pořízení zápisu </w:t>
      </w:r>
      <w:r>
        <w:rPr>
          <w:sz w:val="24"/>
        </w:rPr>
        <w:t>z kontrol</w:t>
      </w:r>
    </w:p>
    <w:p w:rsidR="007F1648" w:rsidRDefault="006A0013">
      <w:pPr>
        <w:numPr>
          <w:ilvl w:val="0"/>
          <w:numId w:val="1"/>
        </w:numPr>
        <w:spacing w:after="4" w:line="252" w:lineRule="auto"/>
        <w:ind w:right="668" w:hanging="137"/>
      </w:pPr>
      <w:r>
        <w:rPr>
          <w:sz w:val="24"/>
        </w:rPr>
        <w:t>koordinaci projektu se stavbou</w:t>
      </w:r>
    </w:p>
    <w:p w:rsidR="007F1648" w:rsidRDefault="006A0013">
      <w:pPr>
        <w:numPr>
          <w:ilvl w:val="0"/>
          <w:numId w:val="1"/>
        </w:numPr>
        <w:spacing w:after="4" w:line="252" w:lineRule="auto"/>
        <w:ind w:right="668" w:hanging="137"/>
      </w:pPr>
      <w:r>
        <w:rPr>
          <w:sz w:val="24"/>
        </w:rPr>
        <w:t>koordinaci zkoušek, průzkumu a kontrol stavby a stavebních konstrukcí - kompletaci dokladové části</w:t>
      </w:r>
    </w:p>
    <w:p w:rsidR="007F1648" w:rsidRDefault="006A0013">
      <w:pPr>
        <w:numPr>
          <w:ilvl w:val="0"/>
          <w:numId w:val="1"/>
        </w:numPr>
        <w:ind w:right="668" w:hanging="137"/>
      </w:pPr>
      <w:r>
        <w:t>kontrolu a odsouhlasení předávaných dokladů zhotovitelem</w:t>
      </w:r>
    </w:p>
    <w:p w:rsidR="007F1648" w:rsidRDefault="006A0013">
      <w:pPr>
        <w:numPr>
          <w:ilvl w:val="0"/>
          <w:numId w:val="1"/>
        </w:numPr>
        <w:spacing w:after="442" w:line="252" w:lineRule="auto"/>
        <w:ind w:right="668" w:hanging="137"/>
      </w:pPr>
      <w:r>
        <w:rPr>
          <w:sz w:val="24"/>
        </w:rPr>
        <w:t>koordinaci přejímacích řízení včetně vyhotovení předávacího</w:t>
      </w:r>
      <w:r>
        <w:rPr>
          <w:sz w:val="24"/>
        </w:rPr>
        <w:t xml:space="preserve"> protokolu</w:t>
      </w:r>
    </w:p>
    <w:p w:rsidR="007F1648" w:rsidRDefault="006A0013">
      <w:pPr>
        <w:spacing w:after="6727" w:line="252" w:lineRule="auto"/>
        <w:ind w:left="2" w:right="668"/>
      </w:pPr>
      <w:r>
        <w:rPr>
          <w:sz w:val="24"/>
        </w:rPr>
        <w:t>Termín zahájení zakázky bude Poskytovateli oznámen telefonicky nebo e-mailem zástupcem Objednatele. Služby budou Poskytovatelem realizovány v průběhu roku 2018 a to dle uvážení a návrhu pracovníka Poskytovatele nebo na výzvu Objednatele, případně Zhotovite</w:t>
      </w:r>
      <w:r>
        <w:rPr>
          <w:sz w:val="24"/>
        </w:rPr>
        <w:t>le stavby (opravy).</w:t>
      </w:r>
    </w:p>
    <w:p w:rsidR="007F1648" w:rsidRDefault="006A0013">
      <w:pPr>
        <w:spacing w:line="259" w:lineRule="auto"/>
        <w:ind w:left="0" w:right="438" w:firstLine="0"/>
        <w:jc w:val="center"/>
      </w:pPr>
      <w:r>
        <w:rPr>
          <w:rFonts w:ascii="Courier New" w:eastAsia="Courier New" w:hAnsi="Courier New" w:cs="Courier New"/>
          <w:sz w:val="18"/>
        </w:rPr>
        <w:lastRenderedPageBreak/>
        <w:t xml:space="preserve">3 </w:t>
      </w:r>
    </w:p>
    <w:p w:rsidR="007F1648" w:rsidRDefault="006A0013">
      <w:pPr>
        <w:spacing w:after="259" w:line="259" w:lineRule="auto"/>
        <w:ind w:left="115" w:right="0" w:firstLine="0"/>
        <w:jc w:val="left"/>
      </w:pPr>
      <w:r>
        <w:rPr>
          <w:rFonts w:ascii="Calibri" w:eastAsia="Calibri" w:hAnsi="Calibri" w:cs="Calibri"/>
        </w:rPr>
        <w:t>Příloha č. 2 — Položkový rozpis ceny</w:t>
      </w:r>
    </w:p>
    <w:p w:rsidR="007F1648" w:rsidRDefault="006A0013">
      <w:pPr>
        <w:pStyle w:val="Nadpis2"/>
      </w:pPr>
      <w:r>
        <w:t>SOUPIS PRACÍ</w:t>
      </w:r>
    </w:p>
    <w:p w:rsidR="007F1648" w:rsidRDefault="006A0013">
      <w:pPr>
        <w:spacing w:line="259" w:lineRule="auto"/>
        <w:ind w:left="247" w:right="453" w:hanging="10"/>
        <w:jc w:val="left"/>
      </w:pPr>
      <w:r>
        <w:t>Technická pomoc objednateli při zajištění stavebního dozoru - oprava oplocení v km 49,450 - 52,900 P, km 59,900 - 58,900 L</w:t>
      </w:r>
    </w:p>
    <w:tbl>
      <w:tblPr>
        <w:tblStyle w:val="TableGrid"/>
        <w:tblW w:w="8715" w:type="dxa"/>
        <w:tblInd w:w="184" w:type="dxa"/>
        <w:tblCellMar>
          <w:top w:w="46" w:type="dxa"/>
          <w:left w:w="57" w:type="dxa"/>
          <w:bottom w:w="16" w:type="dxa"/>
          <w:right w:w="60" w:type="dxa"/>
        </w:tblCellMar>
        <w:tblLook w:val="04A0" w:firstRow="1" w:lastRow="0" w:firstColumn="1" w:lastColumn="0" w:noHBand="0" w:noVBand="1"/>
      </w:tblPr>
      <w:tblGrid>
        <w:gridCol w:w="3010"/>
        <w:gridCol w:w="1322"/>
        <w:gridCol w:w="917"/>
        <w:gridCol w:w="1497"/>
        <w:gridCol w:w="1969"/>
      </w:tblGrid>
      <w:tr w:rsidR="007F1648">
        <w:trPr>
          <w:trHeight w:val="874"/>
        </w:trPr>
        <w:tc>
          <w:tcPr>
            <w:tcW w:w="3009" w:type="dxa"/>
            <w:tcBorders>
              <w:top w:val="single" w:sz="2" w:space="0" w:color="000000"/>
              <w:left w:val="single" w:sz="2" w:space="0" w:color="000000"/>
              <w:bottom w:val="single" w:sz="2" w:space="0" w:color="000000"/>
              <w:right w:val="single" w:sz="2" w:space="0" w:color="000000"/>
            </w:tcBorders>
            <w:vAlign w:val="bottom"/>
          </w:tcPr>
          <w:p w:rsidR="007F1648" w:rsidRDefault="007F1648">
            <w:pPr>
              <w:spacing w:line="259" w:lineRule="auto"/>
              <w:ind w:left="17" w:right="0" w:firstLine="7"/>
              <w:jc w:val="left"/>
            </w:pPr>
            <w:bookmarkStart w:id="0" w:name="_GoBack"/>
            <w:bookmarkEnd w:id="0"/>
          </w:p>
        </w:tc>
        <w:tc>
          <w:tcPr>
            <w:tcW w:w="1322" w:type="dxa"/>
            <w:tcBorders>
              <w:top w:val="single" w:sz="2" w:space="0" w:color="000000"/>
              <w:left w:val="single" w:sz="2" w:space="0" w:color="000000"/>
              <w:bottom w:val="single" w:sz="2" w:space="0" w:color="000000"/>
              <w:right w:val="single" w:sz="2" w:space="0" w:color="000000"/>
            </w:tcBorders>
            <w:vAlign w:val="bottom"/>
          </w:tcPr>
          <w:p w:rsidR="007F1648" w:rsidRDefault="007F1648">
            <w:pPr>
              <w:spacing w:line="259" w:lineRule="auto"/>
              <w:ind w:left="4" w:right="0" w:firstLine="0"/>
              <w:jc w:val="left"/>
            </w:pPr>
          </w:p>
        </w:tc>
        <w:tc>
          <w:tcPr>
            <w:tcW w:w="917" w:type="dxa"/>
            <w:tcBorders>
              <w:top w:val="single" w:sz="2" w:space="0" w:color="000000"/>
              <w:left w:val="single" w:sz="2" w:space="0" w:color="000000"/>
              <w:bottom w:val="single" w:sz="2" w:space="0" w:color="000000"/>
              <w:right w:val="single" w:sz="2" w:space="0" w:color="000000"/>
            </w:tcBorders>
            <w:vAlign w:val="bottom"/>
          </w:tcPr>
          <w:p w:rsidR="007F1648" w:rsidRDefault="007F1648">
            <w:pPr>
              <w:spacing w:line="259" w:lineRule="auto"/>
              <w:ind w:left="19" w:right="0" w:firstLine="0"/>
            </w:pPr>
          </w:p>
        </w:tc>
        <w:tc>
          <w:tcPr>
            <w:tcW w:w="1497" w:type="dxa"/>
            <w:tcBorders>
              <w:top w:val="single" w:sz="2" w:space="0" w:color="000000"/>
              <w:left w:val="single" w:sz="2" w:space="0" w:color="000000"/>
              <w:bottom w:val="single" w:sz="2" w:space="0" w:color="000000"/>
              <w:right w:val="single" w:sz="2" w:space="0" w:color="000000"/>
            </w:tcBorders>
            <w:vAlign w:val="bottom"/>
          </w:tcPr>
          <w:p w:rsidR="007F1648" w:rsidRDefault="007F1648">
            <w:pPr>
              <w:spacing w:line="259" w:lineRule="auto"/>
              <w:ind w:left="0" w:right="0" w:firstLine="14"/>
              <w:jc w:val="left"/>
            </w:pPr>
          </w:p>
        </w:tc>
        <w:tc>
          <w:tcPr>
            <w:tcW w:w="1969" w:type="dxa"/>
            <w:tcBorders>
              <w:top w:val="single" w:sz="2" w:space="0" w:color="000000"/>
              <w:left w:val="single" w:sz="2" w:space="0" w:color="000000"/>
              <w:bottom w:val="single" w:sz="2" w:space="0" w:color="000000"/>
              <w:right w:val="single" w:sz="2" w:space="0" w:color="000000"/>
            </w:tcBorders>
            <w:vAlign w:val="bottom"/>
          </w:tcPr>
          <w:p w:rsidR="007F1648" w:rsidRDefault="007F1648">
            <w:pPr>
              <w:spacing w:line="259" w:lineRule="auto"/>
              <w:ind w:left="12" w:right="0" w:firstLine="0"/>
              <w:jc w:val="left"/>
            </w:pPr>
          </w:p>
        </w:tc>
      </w:tr>
      <w:tr w:rsidR="007F1648">
        <w:trPr>
          <w:trHeight w:val="302"/>
        </w:trPr>
        <w:tc>
          <w:tcPr>
            <w:tcW w:w="3009"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17" w:right="0" w:firstLine="0"/>
              <w:jc w:val="left"/>
            </w:pPr>
          </w:p>
        </w:tc>
        <w:tc>
          <w:tcPr>
            <w:tcW w:w="1322"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19" w:right="0" w:firstLine="0"/>
              <w:jc w:val="left"/>
            </w:pPr>
          </w:p>
        </w:tc>
        <w:tc>
          <w:tcPr>
            <w:tcW w:w="917" w:type="dxa"/>
            <w:tcBorders>
              <w:top w:val="single" w:sz="2" w:space="0" w:color="000000"/>
              <w:left w:val="single" w:sz="2" w:space="0" w:color="000000"/>
              <w:bottom w:val="single" w:sz="2" w:space="0" w:color="000000"/>
              <w:right w:val="single" w:sz="2" w:space="0" w:color="000000"/>
            </w:tcBorders>
          </w:tcPr>
          <w:p w:rsidR="007F1648" w:rsidRDefault="007F1648">
            <w:pPr>
              <w:spacing w:after="160" w:line="259" w:lineRule="auto"/>
              <w:ind w:left="0" w:right="0" w:firstLine="0"/>
              <w:jc w:val="left"/>
            </w:pPr>
          </w:p>
        </w:tc>
        <w:tc>
          <w:tcPr>
            <w:tcW w:w="1497" w:type="dxa"/>
            <w:tcBorders>
              <w:top w:val="single" w:sz="2" w:space="0" w:color="000000"/>
              <w:left w:val="single" w:sz="2" w:space="0" w:color="000000"/>
              <w:bottom w:val="single" w:sz="2" w:space="0" w:color="000000"/>
              <w:right w:val="single" w:sz="2" w:space="0" w:color="000000"/>
            </w:tcBorders>
          </w:tcPr>
          <w:p w:rsidR="007F1648" w:rsidRDefault="007F1648">
            <w:pPr>
              <w:spacing w:after="160" w:line="259" w:lineRule="auto"/>
              <w:ind w:left="0" w:right="0" w:firstLine="0"/>
              <w:jc w:val="left"/>
            </w:pPr>
          </w:p>
        </w:tc>
        <w:tc>
          <w:tcPr>
            <w:tcW w:w="1969"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0" w:right="7" w:firstLine="0"/>
              <w:jc w:val="right"/>
            </w:pPr>
          </w:p>
        </w:tc>
      </w:tr>
      <w:tr w:rsidR="007F1648">
        <w:trPr>
          <w:trHeight w:val="295"/>
        </w:trPr>
        <w:tc>
          <w:tcPr>
            <w:tcW w:w="3009"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24" w:right="0" w:firstLine="0"/>
              <w:jc w:val="left"/>
            </w:pPr>
          </w:p>
        </w:tc>
        <w:tc>
          <w:tcPr>
            <w:tcW w:w="1322"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19" w:right="0" w:firstLine="0"/>
              <w:jc w:val="left"/>
            </w:pPr>
          </w:p>
        </w:tc>
        <w:tc>
          <w:tcPr>
            <w:tcW w:w="917" w:type="dxa"/>
            <w:tcBorders>
              <w:top w:val="single" w:sz="2" w:space="0" w:color="000000"/>
              <w:left w:val="single" w:sz="2" w:space="0" w:color="000000"/>
              <w:bottom w:val="single" w:sz="2" w:space="0" w:color="000000"/>
              <w:right w:val="single" w:sz="2" w:space="0" w:color="000000"/>
            </w:tcBorders>
          </w:tcPr>
          <w:p w:rsidR="007F1648" w:rsidRDefault="007F1648">
            <w:pPr>
              <w:spacing w:after="160" w:line="259" w:lineRule="auto"/>
              <w:ind w:left="0" w:right="0" w:firstLine="0"/>
              <w:jc w:val="left"/>
            </w:pPr>
          </w:p>
        </w:tc>
        <w:tc>
          <w:tcPr>
            <w:tcW w:w="1497" w:type="dxa"/>
            <w:tcBorders>
              <w:top w:val="single" w:sz="2" w:space="0" w:color="000000"/>
              <w:left w:val="single" w:sz="2" w:space="0" w:color="000000"/>
              <w:bottom w:val="single" w:sz="2" w:space="0" w:color="000000"/>
              <w:right w:val="single" w:sz="2" w:space="0" w:color="000000"/>
            </w:tcBorders>
          </w:tcPr>
          <w:p w:rsidR="007F1648" w:rsidRDefault="007F1648">
            <w:pPr>
              <w:spacing w:after="160" w:line="259" w:lineRule="auto"/>
              <w:ind w:left="0" w:right="0" w:firstLine="0"/>
              <w:jc w:val="left"/>
            </w:pPr>
          </w:p>
        </w:tc>
        <w:tc>
          <w:tcPr>
            <w:tcW w:w="1969"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0" w:right="7" w:firstLine="0"/>
              <w:jc w:val="right"/>
            </w:pPr>
          </w:p>
        </w:tc>
      </w:tr>
      <w:tr w:rsidR="007F1648">
        <w:trPr>
          <w:trHeight w:val="527"/>
        </w:trPr>
        <w:tc>
          <w:tcPr>
            <w:tcW w:w="3009"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24" w:right="0" w:firstLine="0"/>
              <w:jc w:val="left"/>
            </w:pPr>
          </w:p>
        </w:tc>
        <w:tc>
          <w:tcPr>
            <w:tcW w:w="1322" w:type="dxa"/>
            <w:tcBorders>
              <w:top w:val="single" w:sz="2" w:space="0" w:color="000000"/>
              <w:left w:val="single" w:sz="2" w:space="0" w:color="000000"/>
              <w:bottom w:val="single" w:sz="2" w:space="0" w:color="000000"/>
              <w:right w:val="single" w:sz="2" w:space="0" w:color="000000"/>
            </w:tcBorders>
            <w:vAlign w:val="bottom"/>
          </w:tcPr>
          <w:p w:rsidR="007F1648" w:rsidRDefault="007F1648">
            <w:pPr>
              <w:spacing w:line="259" w:lineRule="auto"/>
              <w:ind w:left="19" w:right="0" w:firstLine="0"/>
              <w:jc w:val="left"/>
            </w:pPr>
          </w:p>
        </w:tc>
        <w:tc>
          <w:tcPr>
            <w:tcW w:w="917" w:type="dxa"/>
            <w:tcBorders>
              <w:top w:val="single" w:sz="2" w:space="0" w:color="000000"/>
              <w:left w:val="single" w:sz="2" w:space="0" w:color="000000"/>
              <w:bottom w:val="single" w:sz="2" w:space="0" w:color="000000"/>
              <w:right w:val="single" w:sz="2" w:space="0" w:color="000000"/>
            </w:tcBorders>
          </w:tcPr>
          <w:p w:rsidR="007F1648" w:rsidRDefault="007F1648">
            <w:pPr>
              <w:spacing w:after="160" w:line="259" w:lineRule="auto"/>
              <w:ind w:left="0" w:right="0" w:firstLine="0"/>
              <w:jc w:val="left"/>
            </w:pPr>
          </w:p>
        </w:tc>
        <w:tc>
          <w:tcPr>
            <w:tcW w:w="1497" w:type="dxa"/>
            <w:tcBorders>
              <w:top w:val="single" w:sz="2" w:space="0" w:color="000000"/>
              <w:left w:val="single" w:sz="2" w:space="0" w:color="000000"/>
              <w:bottom w:val="single" w:sz="2" w:space="0" w:color="000000"/>
              <w:right w:val="single" w:sz="2" w:space="0" w:color="000000"/>
            </w:tcBorders>
          </w:tcPr>
          <w:p w:rsidR="007F1648" w:rsidRDefault="007F1648">
            <w:pPr>
              <w:spacing w:after="160" w:line="259" w:lineRule="auto"/>
              <w:ind w:left="0" w:right="0" w:firstLine="0"/>
              <w:jc w:val="left"/>
            </w:pPr>
          </w:p>
        </w:tc>
        <w:tc>
          <w:tcPr>
            <w:tcW w:w="1969" w:type="dxa"/>
            <w:tcBorders>
              <w:top w:val="single" w:sz="2" w:space="0" w:color="000000"/>
              <w:left w:val="single" w:sz="2" w:space="0" w:color="000000"/>
              <w:bottom w:val="single" w:sz="2" w:space="0" w:color="000000"/>
              <w:right w:val="single" w:sz="2" w:space="0" w:color="000000"/>
            </w:tcBorders>
            <w:vAlign w:val="bottom"/>
          </w:tcPr>
          <w:p w:rsidR="007F1648" w:rsidRDefault="007F1648">
            <w:pPr>
              <w:spacing w:line="259" w:lineRule="auto"/>
              <w:ind w:left="0" w:right="0" w:firstLine="0"/>
              <w:jc w:val="right"/>
            </w:pPr>
          </w:p>
        </w:tc>
      </w:tr>
      <w:tr w:rsidR="007F1648">
        <w:trPr>
          <w:trHeight w:val="529"/>
        </w:trPr>
        <w:tc>
          <w:tcPr>
            <w:tcW w:w="3009"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24" w:right="0" w:firstLine="0"/>
              <w:jc w:val="left"/>
            </w:pPr>
          </w:p>
        </w:tc>
        <w:tc>
          <w:tcPr>
            <w:tcW w:w="1322" w:type="dxa"/>
            <w:tcBorders>
              <w:top w:val="single" w:sz="2" w:space="0" w:color="000000"/>
              <w:left w:val="single" w:sz="2" w:space="0" w:color="000000"/>
              <w:bottom w:val="single" w:sz="2" w:space="0" w:color="000000"/>
              <w:right w:val="single" w:sz="2" w:space="0" w:color="000000"/>
            </w:tcBorders>
            <w:vAlign w:val="bottom"/>
          </w:tcPr>
          <w:p w:rsidR="007F1648" w:rsidRDefault="007F1648">
            <w:pPr>
              <w:spacing w:line="259" w:lineRule="auto"/>
              <w:ind w:left="19" w:right="0" w:firstLine="0"/>
              <w:jc w:val="left"/>
            </w:pPr>
          </w:p>
        </w:tc>
        <w:tc>
          <w:tcPr>
            <w:tcW w:w="917" w:type="dxa"/>
            <w:tcBorders>
              <w:top w:val="single" w:sz="2" w:space="0" w:color="000000"/>
              <w:left w:val="single" w:sz="2" w:space="0" w:color="000000"/>
              <w:bottom w:val="single" w:sz="2" w:space="0" w:color="000000"/>
              <w:right w:val="single" w:sz="2" w:space="0" w:color="000000"/>
            </w:tcBorders>
            <w:vAlign w:val="bottom"/>
          </w:tcPr>
          <w:p w:rsidR="007F1648" w:rsidRDefault="007F1648">
            <w:pPr>
              <w:spacing w:line="259" w:lineRule="auto"/>
              <w:ind w:left="0" w:right="4" w:firstLine="0"/>
              <w:jc w:val="right"/>
            </w:pPr>
          </w:p>
        </w:tc>
        <w:tc>
          <w:tcPr>
            <w:tcW w:w="1497" w:type="dxa"/>
            <w:tcBorders>
              <w:top w:val="single" w:sz="2" w:space="0" w:color="000000"/>
              <w:left w:val="single" w:sz="2" w:space="0" w:color="000000"/>
              <w:bottom w:val="single" w:sz="2" w:space="0" w:color="000000"/>
              <w:right w:val="single" w:sz="2" w:space="0" w:color="000000"/>
            </w:tcBorders>
            <w:vAlign w:val="bottom"/>
          </w:tcPr>
          <w:p w:rsidR="007F1648" w:rsidRDefault="007F1648">
            <w:pPr>
              <w:spacing w:line="259" w:lineRule="auto"/>
              <w:ind w:left="0" w:right="7" w:firstLine="0"/>
              <w:jc w:val="right"/>
            </w:pPr>
          </w:p>
        </w:tc>
        <w:tc>
          <w:tcPr>
            <w:tcW w:w="1969" w:type="dxa"/>
            <w:tcBorders>
              <w:top w:val="single" w:sz="2" w:space="0" w:color="000000"/>
              <w:left w:val="single" w:sz="2" w:space="0" w:color="000000"/>
              <w:bottom w:val="single" w:sz="2" w:space="0" w:color="000000"/>
              <w:right w:val="single" w:sz="2" w:space="0" w:color="000000"/>
            </w:tcBorders>
            <w:vAlign w:val="bottom"/>
          </w:tcPr>
          <w:p w:rsidR="007F1648" w:rsidRDefault="007F1648">
            <w:pPr>
              <w:spacing w:line="259" w:lineRule="auto"/>
              <w:ind w:left="0" w:right="0" w:firstLine="0"/>
              <w:jc w:val="right"/>
            </w:pPr>
          </w:p>
        </w:tc>
      </w:tr>
      <w:tr w:rsidR="007F1648">
        <w:trPr>
          <w:trHeight w:val="295"/>
        </w:trPr>
        <w:tc>
          <w:tcPr>
            <w:tcW w:w="3009"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24" w:right="0" w:firstLine="0"/>
              <w:jc w:val="left"/>
            </w:pPr>
          </w:p>
        </w:tc>
        <w:tc>
          <w:tcPr>
            <w:tcW w:w="1322"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26" w:right="0" w:firstLine="0"/>
              <w:jc w:val="left"/>
            </w:pPr>
          </w:p>
        </w:tc>
        <w:tc>
          <w:tcPr>
            <w:tcW w:w="917"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0" w:right="4" w:firstLine="0"/>
              <w:jc w:val="right"/>
            </w:pPr>
          </w:p>
        </w:tc>
        <w:tc>
          <w:tcPr>
            <w:tcW w:w="1497"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0" w:right="7" w:firstLine="0"/>
              <w:jc w:val="right"/>
            </w:pPr>
          </w:p>
        </w:tc>
        <w:tc>
          <w:tcPr>
            <w:tcW w:w="1969"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0" w:right="7" w:firstLine="0"/>
              <w:jc w:val="right"/>
            </w:pPr>
          </w:p>
        </w:tc>
      </w:tr>
      <w:tr w:rsidR="007F1648">
        <w:trPr>
          <w:trHeight w:val="345"/>
        </w:trPr>
        <w:tc>
          <w:tcPr>
            <w:tcW w:w="3009" w:type="dxa"/>
            <w:tcBorders>
              <w:top w:val="single" w:sz="2" w:space="0" w:color="000000"/>
              <w:left w:val="single" w:sz="2" w:space="0" w:color="000000"/>
              <w:bottom w:val="single" w:sz="2" w:space="0" w:color="000000"/>
              <w:right w:val="nil"/>
            </w:tcBorders>
            <w:vAlign w:val="bottom"/>
          </w:tcPr>
          <w:p w:rsidR="007F1648" w:rsidRDefault="007F1648">
            <w:pPr>
              <w:spacing w:line="259" w:lineRule="auto"/>
              <w:ind w:left="24" w:right="0" w:firstLine="0"/>
              <w:jc w:val="left"/>
            </w:pPr>
          </w:p>
        </w:tc>
        <w:tc>
          <w:tcPr>
            <w:tcW w:w="1322" w:type="dxa"/>
            <w:tcBorders>
              <w:top w:val="single" w:sz="2" w:space="0" w:color="000000"/>
              <w:left w:val="nil"/>
              <w:bottom w:val="single" w:sz="2" w:space="0" w:color="000000"/>
              <w:right w:val="nil"/>
            </w:tcBorders>
          </w:tcPr>
          <w:p w:rsidR="007F1648" w:rsidRDefault="007F1648">
            <w:pPr>
              <w:spacing w:after="160" w:line="259" w:lineRule="auto"/>
              <w:ind w:left="0" w:right="0" w:firstLine="0"/>
              <w:jc w:val="left"/>
            </w:pPr>
          </w:p>
        </w:tc>
        <w:tc>
          <w:tcPr>
            <w:tcW w:w="917" w:type="dxa"/>
            <w:tcBorders>
              <w:top w:val="single" w:sz="2" w:space="0" w:color="000000"/>
              <w:left w:val="nil"/>
              <w:bottom w:val="single" w:sz="2" w:space="0" w:color="000000"/>
              <w:right w:val="nil"/>
            </w:tcBorders>
          </w:tcPr>
          <w:p w:rsidR="007F1648" w:rsidRDefault="007F1648">
            <w:pPr>
              <w:spacing w:after="160" w:line="259" w:lineRule="auto"/>
              <w:ind w:left="0" w:right="0" w:firstLine="0"/>
              <w:jc w:val="left"/>
            </w:pPr>
          </w:p>
        </w:tc>
        <w:tc>
          <w:tcPr>
            <w:tcW w:w="1497" w:type="dxa"/>
            <w:tcBorders>
              <w:top w:val="single" w:sz="2" w:space="0" w:color="000000"/>
              <w:left w:val="nil"/>
              <w:bottom w:val="single" w:sz="2" w:space="0" w:color="000000"/>
              <w:right w:val="single" w:sz="2" w:space="0" w:color="000000"/>
            </w:tcBorders>
          </w:tcPr>
          <w:p w:rsidR="007F1648" w:rsidRDefault="007F1648">
            <w:pPr>
              <w:spacing w:after="160" w:line="259" w:lineRule="auto"/>
              <w:ind w:left="0" w:right="0" w:firstLine="0"/>
              <w:jc w:val="left"/>
            </w:pPr>
          </w:p>
        </w:tc>
        <w:tc>
          <w:tcPr>
            <w:tcW w:w="1969" w:type="dxa"/>
            <w:tcBorders>
              <w:top w:val="single" w:sz="2" w:space="0" w:color="000000"/>
              <w:left w:val="single" w:sz="2" w:space="0" w:color="000000"/>
              <w:bottom w:val="single" w:sz="2" w:space="0" w:color="000000"/>
              <w:right w:val="single" w:sz="2" w:space="0" w:color="000000"/>
            </w:tcBorders>
          </w:tcPr>
          <w:p w:rsidR="007F1648" w:rsidRDefault="007F1648">
            <w:pPr>
              <w:spacing w:line="259" w:lineRule="auto"/>
              <w:ind w:left="0" w:right="0" w:firstLine="0"/>
              <w:jc w:val="right"/>
            </w:pPr>
          </w:p>
        </w:tc>
      </w:tr>
    </w:tbl>
    <w:p w:rsidR="007F1648" w:rsidRDefault="007F1648">
      <w:pPr>
        <w:spacing w:after="251" w:line="259" w:lineRule="auto"/>
        <w:ind w:left="5289" w:right="0" w:firstLine="0"/>
        <w:jc w:val="left"/>
      </w:pPr>
    </w:p>
    <w:p w:rsidR="007F1648" w:rsidRDefault="007F1648">
      <w:pPr>
        <w:spacing w:after="78" w:line="259" w:lineRule="auto"/>
        <w:ind w:left="4836" w:right="0" w:firstLine="0"/>
        <w:jc w:val="left"/>
      </w:pPr>
    </w:p>
    <w:p w:rsidR="007F1648" w:rsidRDefault="006A0013">
      <w:pPr>
        <w:spacing w:line="259" w:lineRule="auto"/>
        <w:ind w:left="0" w:right="137" w:firstLine="0"/>
        <w:jc w:val="center"/>
      </w:pPr>
      <w:r>
        <w:rPr>
          <w:rFonts w:ascii="Calibri" w:eastAsia="Calibri" w:hAnsi="Calibri" w:cs="Calibri"/>
          <w:sz w:val="16"/>
        </w:rPr>
        <w:t xml:space="preserve">4 </w:t>
      </w:r>
    </w:p>
    <w:sectPr w:rsidR="007F1648">
      <w:headerReference w:type="even" r:id="rId10"/>
      <w:headerReference w:type="default" r:id="rId11"/>
      <w:footerReference w:type="even" r:id="rId12"/>
      <w:footerReference w:type="default" r:id="rId13"/>
      <w:headerReference w:type="first" r:id="rId14"/>
      <w:footerReference w:type="first" r:id="rId15"/>
      <w:pgSz w:w="11900" w:h="16840"/>
      <w:pgMar w:top="1674" w:right="1013" w:bottom="1379" w:left="1509" w:header="708" w:footer="1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0013">
      <w:pPr>
        <w:spacing w:line="240" w:lineRule="auto"/>
      </w:pPr>
      <w:r>
        <w:separator/>
      </w:r>
    </w:p>
  </w:endnote>
  <w:endnote w:type="continuationSeparator" w:id="0">
    <w:p w:rsidR="00000000" w:rsidRDefault="006A0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48" w:rsidRPr="006A0013" w:rsidRDefault="007F1648" w:rsidP="006A00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48" w:rsidRPr="006A0013" w:rsidRDefault="007F1648" w:rsidP="006A001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48" w:rsidRPr="006A0013" w:rsidRDefault="007F1648" w:rsidP="006A00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0013">
      <w:pPr>
        <w:spacing w:line="240" w:lineRule="auto"/>
      </w:pPr>
      <w:r>
        <w:separator/>
      </w:r>
    </w:p>
  </w:footnote>
  <w:footnote w:type="continuationSeparator" w:id="0">
    <w:p w:rsidR="00000000" w:rsidRDefault="006A00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13" w:rsidRDefault="006A00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13" w:rsidRDefault="006A001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13" w:rsidRDefault="006A00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218F"/>
    <w:multiLevelType w:val="hybridMultilevel"/>
    <w:tmpl w:val="35B608A2"/>
    <w:lvl w:ilvl="0" w:tplc="9AD45612">
      <w:start w:val="1"/>
      <w:numFmt w:val="bullet"/>
      <w:lvlText w:val="-"/>
      <w:lvlJc w:val="left"/>
      <w:pPr>
        <w:ind w:left="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56B792">
      <w:start w:val="1"/>
      <w:numFmt w:val="bullet"/>
      <w:lvlText w:val="o"/>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46DF84">
      <w:start w:val="1"/>
      <w:numFmt w:val="bullet"/>
      <w:lvlText w:val="▪"/>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21186">
      <w:start w:val="1"/>
      <w:numFmt w:val="bullet"/>
      <w:lvlText w:val="•"/>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207964">
      <w:start w:val="1"/>
      <w:numFmt w:val="bullet"/>
      <w:lvlText w:val="o"/>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146B24">
      <w:start w:val="1"/>
      <w:numFmt w:val="bullet"/>
      <w:lvlText w:val="▪"/>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AA9AC4">
      <w:start w:val="1"/>
      <w:numFmt w:val="bullet"/>
      <w:lvlText w:val="•"/>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DE2654">
      <w:start w:val="1"/>
      <w:numFmt w:val="bullet"/>
      <w:lvlText w:val="o"/>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3C8306">
      <w:start w:val="1"/>
      <w:numFmt w:val="bullet"/>
      <w:lvlText w:val="▪"/>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48"/>
    <w:rsid w:val="006A0013"/>
    <w:rsid w:val="007F1648"/>
    <w:rsid w:val="00CB7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2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60" w:lineRule="auto"/>
      <w:ind w:left="3" w:right="719" w:hanging="3"/>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22"/>
      <w:outlineLvl w:val="0"/>
    </w:pPr>
    <w:rPr>
      <w:rFonts w:ascii="Times New Roman" w:eastAsia="Times New Roman" w:hAnsi="Times New Roman" w:cs="Times New Roman"/>
      <w:color w:val="000000"/>
      <w:sz w:val="34"/>
    </w:rPr>
  </w:style>
  <w:style w:type="paragraph" w:styleId="Nadpis2">
    <w:name w:val="heading 2"/>
    <w:next w:val="Normln"/>
    <w:link w:val="Nadpis2Char"/>
    <w:uiPriority w:val="9"/>
    <w:unhideWhenUsed/>
    <w:qFormat/>
    <w:pPr>
      <w:keepNext/>
      <w:keepLines/>
      <w:spacing w:after="92"/>
      <w:ind w:left="252"/>
      <w:outlineLvl w:val="1"/>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0"/>
      <w:u w:val="single" w:color="000000"/>
    </w:rPr>
  </w:style>
  <w:style w:type="character" w:customStyle="1" w:styleId="Nadpis1Char">
    <w:name w:val="Nadpis 1 Char"/>
    <w:link w:val="Nadpis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6A0013"/>
    <w:pPr>
      <w:tabs>
        <w:tab w:val="center" w:pos="4536"/>
        <w:tab w:val="right" w:pos="9072"/>
      </w:tabs>
      <w:spacing w:line="240" w:lineRule="auto"/>
    </w:pPr>
  </w:style>
  <w:style w:type="character" w:customStyle="1" w:styleId="ZhlavChar">
    <w:name w:val="Záhlaví Char"/>
    <w:basedOn w:val="Standardnpsmoodstavce"/>
    <w:link w:val="Zhlav"/>
    <w:uiPriority w:val="99"/>
    <w:rsid w:val="006A0013"/>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6A0013"/>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6A001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4004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2018-09-04T09:37:00Z</dcterms:created>
  <dcterms:modified xsi:type="dcterms:W3CDTF">2018-09-04T09:37:00Z</dcterms:modified>
</cp:coreProperties>
</file>