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F4" w:rsidRPr="00F56CB1" w:rsidRDefault="0098159F" w:rsidP="00A150BE">
      <w:pPr>
        <w:pStyle w:val="Nadpis10"/>
        <w:keepNext/>
        <w:keepLines/>
        <w:shd w:val="clear" w:color="auto" w:fill="auto"/>
        <w:spacing w:before="0" w:after="490" w:line="320" w:lineRule="exact"/>
        <w:jc w:val="center"/>
        <w:rPr>
          <w:sz w:val="28"/>
          <w:szCs w:val="28"/>
        </w:rPr>
      </w:pPr>
      <w:bookmarkStart w:id="0" w:name="bookmark0"/>
      <w:bookmarkStart w:id="1" w:name="_GoBack"/>
      <w:bookmarkEnd w:id="1"/>
      <w:r w:rsidRPr="00F56CB1">
        <w:rPr>
          <w:sz w:val="28"/>
          <w:szCs w:val="28"/>
        </w:rPr>
        <w:t>Smlouva o poskytování</w:t>
      </w:r>
      <w:r w:rsidR="006347C2" w:rsidRPr="00F56CB1">
        <w:rPr>
          <w:sz w:val="28"/>
          <w:szCs w:val="28"/>
        </w:rPr>
        <w:t xml:space="preserve"> </w:t>
      </w:r>
      <w:r w:rsidRPr="00F56CB1">
        <w:rPr>
          <w:sz w:val="28"/>
          <w:szCs w:val="28"/>
        </w:rPr>
        <w:t xml:space="preserve">poradenských </w:t>
      </w:r>
      <w:r w:rsidR="006347C2" w:rsidRPr="00F56CB1">
        <w:rPr>
          <w:sz w:val="28"/>
          <w:szCs w:val="28"/>
        </w:rPr>
        <w:t>služeb</w:t>
      </w:r>
      <w:bookmarkEnd w:id="0"/>
    </w:p>
    <w:p w:rsidR="007A34F4" w:rsidRDefault="006347C2" w:rsidP="00A150BE">
      <w:pPr>
        <w:pStyle w:val="Zkladntext20"/>
        <w:shd w:val="clear" w:color="auto" w:fill="auto"/>
        <w:spacing w:before="0" w:after="243"/>
        <w:ind w:left="540" w:firstLine="0"/>
        <w:jc w:val="center"/>
      </w:pPr>
      <w:r>
        <w:t>Dnešního dne, měsíce a roku uzavřeli ve smyslu ustanovení § 1746 odstavce 2 zákona č.</w:t>
      </w:r>
      <w:r w:rsidR="002E762B">
        <w:t> </w:t>
      </w:r>
      <w:r>
        <w:t>89/2012 Sb., občanského zákoníku</w:t>
      </w:r>
    </w:p>
    <w:p w:rsidR="00642203" w:rsidRDefault="00642203" w:rsidP="00A150BE">
      <w:pPr>
        <w:pStyle w:val="Zkladntext20"/>
        <w:shd w:val="clear" w:color="auto" w:fill="auto"/>
        <w:spacing w:before="0" w:after="243"/>
        <w:ind w:left="540" w:firstLine="0"/>
        <w:jc w:val="center"/>
      </w:pPr>
    </w:p>
    <w:p w:rsidR="001550D0" w:rsidRDefault="001550D0" w:rsidP="00A150BE">
      <w:pPr>
        <w:pStyle w:val="Zkladntext20"/>
        <w:shd w:val="clear" w:color="auto" w:fill="auto"/>
        <w:spacing w:before="0" w:after="243"/>
        <w:ind w:left="540" w:firstLine="0"/>
        <w:jc w:val="center"/>
      </w:pPr>
    </w:p>
    <w:p w:rsidR="00F479E1" w:rsidRDefault="007A2E20" w:rsidP="00C73E76">
      <w:pPr>
        <w:pStyle w:val="Zkladntext20"/>
        <w:shd w:val="clear" w:color="auto" w:fill="auto"/>
        <w:spacing w:before="0" w:after="0" w:line="274" w:lineRule="exact"/>
        <w:ind w:left="540" w:firstLine="0"/>
        <w:jc w:val="both"/>
        <w:rPr>
          <w:b/>
          <w:bCs/>
        </w:rPr>
      </w:pPr>
      <w:r w:rsidRPr="007A2E20">
        <w:rPr>
          <w:b/>
          <w:bCs/>
        </w:rPr>
        <w:t>MERO ČR, a.s.</w:t>
      </w:r>
    </w:p>
    <w:p w:rsidR="007A34F4" w:rsidRDefault="006347C2" w:rsidP="00C73E76">
      <w:pPr>
        <w:pStyle w:val="Zkladntext20"/>
        <w:shd w:val="clear" w:color="auto" w:fill="auto"/>
        <w:spacing w:before="0" w:after="0" w:line="274" w:lineRule="exact"/>
        <w:ind w:left="540" w:firstLine="0"/>
        <w:jc w:val="both"/>
      </w:pPr>
      <w:r>
        <w:t>IČ</w:t>
      </w:r>
      <w:r w:rsidR="007A2E20">
        <w:t xml:space="preserve">: </w:t>
      </w:r>
      <w:r w:rsidR="007A2E20" w:rsidRPr="007A2E20">
        <w:t>60193468</w:t>
      </w:r>
    </w:p>
    <w:p w:rsidR="007A34F4" w:rsidRDefault="006347C2" w:rsidP="00C73E76">
      <w:pPr>
        <w:pStyle w:val="Zkladntext20"/>
        <w:shd w:val="clear" w:color="auto" w:fill="auto"/>
        <w:spacing w:before="0" w:after="18" w:line="274" w:lineRule="exact"/>
        <w:ind w:left="540" w:firstLine="0"/>
        <w:jc w:val="both"/>
      </w:pPr>
      <w:r>
        <w:t xml:space="preserve">zapsaná: OR </w:t>
      </w:r>
      <w:r w:rsidR="007A2E20">
        <w:t>Městského soudu v Praze, oddíl B</w:t>
      </w:r>
      <w:r>
        <w:t xml:space="preserve">, vložka </w:t>
      </w:r>
      <w:r w:rsidR="007A2E20" w:rsidRPr="007A2E20">
        <w:t>2334</w:t>
      </w:r>
      <w:r w:rsidR="007A2E20">
        <w:t>,</w:t>
      </w:r>
      <w:r>
        <w:t xml:space="preserve"> Sídlo: </w:t>
      </w:r>
      <w:r w:rsidR="007A2E20" w:rsidRPr="007A2E20">
        <w:t>Kralupy nad Vltavou, Veltruská 748, PSČ 27801</w:t>
      </w:r>
      <w:r w:rsidR="007A2E20">
        <w:t xml:space="preserve"> </w:t>
      </w:r>
      <w:r>
        <w:t xml:space="preserve">Zastoupená: </w:t>
      </w:r>
      <w:r w:rsidR="007A2E20">
        <w:t>Ing. Stanislavem Brunou, předsedou představenstva, a Ing. Otakarem Krejsou, místopředsedou představenstva</w:t>
      </w:r>
    </w:p>
    <w:p w:rsidR="007A34F4" w:rsidRDefault="00B26A27" w:rsidP="00E465E4">
      <w:pPr>
        <w:pStyle w:val="Zkladntext20"/>
        <w:shd w:val="clear" w:color="auto" w:fill="auto"/>
        <w:tabs>
          <w:tab w:val="left" w:pos="6348"/>
        </w:tabs>
        <w:spacing w:before="0" w:after="0" w:line="551" w:lineRule="exact"/>
        <w:ind w:left="540" w:firstLine="0"/>
        <w:jc w:val="both"/>
      </w:pPr>
      <w:r>
        <w:t>(</w:t>
      </w:r>
      <w:r w:rsidR="006347C2">
        <w:t>dále jen „</w:t>
      </w:r>
      <w:r w:rsidRPr="00B26A27">
        <w:rPr>
          <w:u w:val="single"/>
        </w:rPr>
        <w:t>O</w:t>
      </w:r>
      <w:r w:rsidR="00B73989" w:rsidRPr="00B26A27">
        <w:rPr>
          <w:u w:val="single"/>
        </w:rPr>
        <w:t>bjednatel</w:t>
      </w:r>
      <w:r w:rsidR="0098159F">
        <w:t>“</w:t>
      </w:r>
      <w:r>
        <w:t>)</w:t>
      </w:r>
      <w:r w:rsidR="00E465E4">
        <w:tab/>
      </w:r>
    </w:p>
    <w:p w:rsidR="001550D0" w:rsidRDefault="001550D0" w:rsidP="00C73E76">
      <w:pPr>
        <w:pStyle w:val="Zkladntext20"/>
        <w:shd w:val="clear" w:color="auto" w:fill="auto"/>
        <w:spacing w:before="0" w:after="0" w:line="551" w:lineRule="exact"/>
        <w:ind w:left="540" w:firstLine="0"/>
        <w:jc w:val="both"/>
      </w:pPr>
    </w:p>
    <w:p w:rsidR="007A34F4" w:rsidRDefault="006347C2" w:rsidP="00C73E76">
      <w:pPr>
        <w:pStyle w:val="Zkladntext20"/>
        <w:shd w:val="clear" w:color="auto" w:fill="auto"/>
        <w:spacing w:before="0" w:after="0" w:line="551" w:lineRule="exact"/>
        <w:ind w:left="540" w:firstLine="0"/>
        <w:jc w:val="both"/>
      </w:pPr>
      <w:r>
        <w:t>a</w:t>
      </w:r>
    </w:p>
    <w:p w:rsidR="0032646C" w:rsidRDefault="0032646C" w:rsidP="00C73E76">
      <w:pPr>
        <w:pStyle w:val="Zkladntext20"/>
        <w:shd w:val="clear" w:color="auto" w:fill="auto"/>
        <w:spacing w:before="0" w:after="0" w:line="240" w:lineRule="auto"/>
        <w:ind w:left="539" w:firstLine="0"/>
        <w:jc w:val="both"/>
        <w:rPr>
          <w:b/>
        </w:rPr>
      </w:pPr>
    </w:p>
    <w:p w:rsidR="001550D0" w:rsidRDefault="001550D0" w:rsidP="00C73E76">
      <w:pPr>
        <w:pStyle w:val="Zkladntext20"/>
        <w:shd w:val="clear" w:color="auto" w:fill="auto"/>
        <w:spacing w:before="0" w:after="0" w:line="240" w:lineRule="auto"/>
        <w:ind w:left="539" w:firstLine="0"/>
        <w:jc w:val="both"/>
        <w:rPr>
          <w:b/>
        </w:rPr>
      </w:pPr>
    </w:p>
    <w:p w:rsidR="002B3264" w:rsidRPr="002B3264" w:rsidRDefault="002B3264" w:rsidP="002B3264">
      <w:pPr>
        <w:pStyle w:val="Zkladntext20"/>
        <w:shd w:val="clear" w:color="auto" w:fill="auto"/>
        <w:spacing w:before="0" w:after="0" w:line="274" w:lineRule="exact"/>
        <w:ind w:left="540" w:firstLine="0"/>
        <w:jc w:val="both"/>
        <w:rPr>
          <w:b/>
          <w:bCs/>
        </w:rPr>
      </w:pPr>
      <w:r w:rsidRPr="002B3264">
        <w:rPr>
          <w:b/>
          <w:bCs/>
        </w:rPr>
        <w:t xml:space="preserve">SUMMA </w:t>
      </w:r>
      <w:r w:rsidRPr="002E762B">
        <w:rPr>
          <w:b/>
          <w:bCs/>
        </w:rPr>
        <w:t>Consulting s.r.o</w:t>
      </w:r>
      <w:r w:rsidRPr="002B3264">
        <w:rPr>
          <w:b/>
          <w:bCs/>
        </w:rPr>
        <w:t>.</w:t>
      </w:r>
    </w:p>
    <w:p w:rsidR="002B3264" w:rsidRPr="002B3264" w:rsidRDefault="002B3264" w:rsidP="002B3264">
      <w:pPr>
        <w:pStyle w:val="Zkladntext20"/>
        <w:shd w:val="clear" w:color="auto" w:fill="auto"/>
        <w:spacing w:before="0" w:after="0" w:line="274" w:lineRule="exact"/>
        <w:ind w:left="540" w:firstLine="0"/>
        <w:jc w:val="both"/>
      </w:pPr>
      <w:r w:rsidRPr="002B3264">
        <w:t>se sídlem Hvězdova 1716/2b, Nusle, 140 00 Praha 4</w:t>
      </w:r>
    </w:p>
    <w:p w:rsidR="002B3264" w:rsidRPr="002B3264" w:rsidRDefault="002B3264" w:rsidP="002B3264">
      <w:pPr>
        <w:pStyle w:val="Zkladntext20"/>
        <w:shd w:val="clear" w:color="auto" w:fill="auto"/>
        <w:spacing w:before="0" w:after="0" w:line="274" w:lineRule="exact"/>
        <w:ind w:left="540" w:firstLine="0"/>
        <w:jc w:val="both"/>
      </w:pPr>
      <w:r w:rsidRPr="002B3264">
        <w:t>IČO: 051 95 276</w:t>
      </w:r>
    </w:p>
    <w:p w:rsidR="002B3264" w:rsidRPr="002B3264" w:rsidRDefault="002B3264" w:rsidP="002B3264">
      <w:pPr>
        <w:pStyle w:val="Zkladntext20"/>
        <w:shd w:val="clear" w:color="auto" w:fill="auto"/>
        <w:spacing w:before="0" w:after="0" w:line="274" w:lineRule="exact"/>
        <w:ind w:left="540" w:firstLine="0"/>
        <w:jc w:val="both"/>
      </w:pPr>
      <w:r w:rsidRPr="002B3264">
        <w:t>společnost zapsaná v obchodním rejstříku vedeném MS v Praze pod sp. zn. C 258858</w:t>
      </w:r>
    </w:p>
    <w:p w:rsidR="002B3264" w:rsidRPr="002B3264" w:rsidRDefault="002B3264" w:rsidP="002B3264">
      <w:pPr>
        <w:pStyle w:val="Zkladntext"/>
        <w:spacing w:line="276" w:lineRule="auto"/>
        <w:ind w:left="360" w:firstLine="180"/>
        <w:jc w:val="both"/>
        <w:rPr>
          <w:rFonts w:ascii="Times New Roman" w:hAnsi="Times New Roman"/>
          <w:szCs w:val="24"/>
          <w:lang w:bidi="cs-CZ"/>
        </w:rPr>
      </w:pPr>
      <w:r w:rsidRPr="002B3264">
        <w:rPr>
          <w:rFonts w:ascii="Times New Roman" w:hAnsi="Times New Roman"/>
          <w:szCs w:val="24"/>
          <w:lang w:bidi="cs-CZ"/>
        </w:rPr>
        <w:t>zastoupena JUDr. Jaromírem Císařem, jednatelem</w:t>
      </w:r>
    </w:p>
    <w:p w:rsidR="00C73E76" w:rsidRDefault="00C73E76" w:rsidP="00C73E76">
      <w:pPr>
        <w:pStyle w:val="Zkladntext20"/>
        <w:shd w:val="clear" w:color="auto" w:fill="auto"/>
        <w:spacing w:before="0" w:after="0" w:line="274" w:lineRule="exact"/>
        <w:ind w:left="540" w:firstLine="0"/>
        <w:jc w:val="both"/>
      </w:pPr>
    </w:p>
    <w:p w:rsidR="001550D0" w:rsidRDefault="00B26A27" w:rsidP="007A3D47">
      <w:pPr>
        <w:pStyle w:val="Zkladntext20"/>
        <w:shd w:val="clear" w:color="auto" w:fill="auto"/>
        <w:spacing w:before="0" w:after="289" w:line="240" w:lineRule="exact"/>
        <w:ind w:left="540" w:firstLine="0"/>
        <w:jc w:val="both"/>
      </w:pPr>
      <w:r>
        <w:t>(</w:t>
      </w:r>
      <w:r w:rsidR="006347C2">
        <w:t>dále jen „</w:t>
      </w:r>
      <w:r w:rsidRPr="00B26A27">
        <w:rPr>
          <w:u w:val="single"/>
        </w:rPr>
        <w:t>P</w:t>
      </w:r>
      <w:r w:rsidR="0098159F" w:rsidRPr="00B26A27">
        <w:rPr>
          <w:u w:val="single"/>
        </w:rPr>
        <w:t>oskytovatel</w:t>
      </w:r>
      <w:r w:rsidR="0098159F">
        <w:t>“</w:t>
      </w:r>
      <w:r>
        <w:t>)</w:t>
      </w:r>
    </w:p>
    <w:p w:rsidR="007A3D47" w:rsidRDefault="007A3D47" w:rsidP="00C73E76">
      <w:pPr>
        <w:pStyle w:val="Zkladntext20"/>
        <w:shd w:val="clear" w:color="auto" w:fill="auto"/>
        <w:spacing w:before="0" w:after="289" w:line="240" w:lineRule="exact"/>
        <w:ind w:left="540" w:firstLine="0"/>
        <w:jc w:val="both"/>
      </w:pPr>
    </w:p>
    <w:p w:rsidR="001550D0" w:rsidRPr="007A3D47" w:rsidRDefault="00B26A27" w:rsidP="002B3264">
      <w:pPr>
        <w:spacing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(dále též každá jako „</w:t>
      </w:r>
      <w:r w:rsidRPr="00642203">
        <w:rPr>
          <w:rFonts w:ascii="Times New Roman" w:hAnsi="Times New Roman"/>
          <w:u w:val="single"/>
        </w:rPr>
        <w:t>Smluvní strana</w:t>
      </w:r>
      <w:r>
        <w:rPr>
          <w:rFonts w:ascii="Times New Roman" w:hAnsi="Times New Roman"/>
        </w:rPr>
        <w:t>“ a společně jako „</w:t>
      </w:r>
      <w:r w:rsidRPr="00642203">
        <w:rPr>
          <w:rFonts w:ascii="Times New Roman" w:hAnsi="Times New Roman"/>
          <w:u w:val="single"/>
        </w:rPr>
        <w:t>Smluvní strany</w:t>
      </w:r>
      <w:r>
        <w:rPr>
          <w:rFonts w:ascii="Times New Roman" w:hAnsi="Times New Roman"/>
        </w:rPr>
        <w:t>“)</w:t>
      </w:r>
    </w:p>
    <w:p w:rsidR="00B26A27" w:rsidRDefault="0098159F" w:rsidP="00A823B6">
      <w:pPr>
        <w:pStyle w:val="Nadpis20"/>
        <w:keepNext/>
        <w:keepLines/>
        <w:shd w:val="clear" w:color="auto" w:fill="auto"/>
        <w:spacing w:before="0" w:after="531" w:line="240" w:lineRule="exact"/>
        <w:ind w:left="540"/>
        <w:jc w:val="center"/>
      </w:pPr>
      <w:bookmarkStart w:id="2" w:name="bookmark3"/>
      <w:r>
        <w:t>tuto smlouvu o poskytování poradenských služeb</w:t>
      </w:r>
    </w:p>
    <w:p w:rsidR="007A34F4" w:rsidRDefault="00B26A27" w:rsidP="00642203">
      <w:pPr>
        <w:pStyle w:val="Nadpis20"/>
        <w:keepNext/>
        <w:keepLines/>
        <w:shd w:val="clear" w:color="auto" w:fill="auto"/>
        <w:spacing w:before="0" w:after="531" w:line="240" w:lineRule="exact"/>
        <w:ind w:left="540"/>
        <w:jc w:val="center"/>
        <w:rPr>
          <w:b w:val="0"/>
        </w:rPr>
      </w:pPr>
      <w:r w:rsidRPr="00642203">
        <w:rPr>
          <w:b w:val="0"/>
        </w:rPr>
        <w:t>(dále jen „</w:t>
      </w:r>
      <w:r w:rsidRPr="00642203">
        <w:rPr>
          <w:b w:val="0"/>
          <w:u w:val="single"/>
        </w:rPr>
        <w:t>Smlouva</w:t>
      </w:r>
      <w:r w:rsidRPr="00642203">
        <w:rPr>
          <w:b w:val="0"/>
        </w:rPr>
        <w:t>“)</w:t>
      </w:r>
      <w:bookmarkEnd w:id="2"/>
    </w:p>
    <w:p w:rsidR="00642203" w:rsidRDefault="00642203" w:rsidP="00642203">
      <w:pPr>
        <w:pStyle w:val="Nadpis20"/>
        <w:keepNext/>
        <w:keepLines/>
        <w:shd w:val="clear" w:color="auto" w:fill="auto"/>
        <w:spacing w:before="0" w:after="531" w:line="240" w:lineRule="exact"/>
        <w:ind w:left="540"/>
        <w:jc w:val="center"/>
        <w:rPr>
          <w:b w:val="0"/>
        </w:rPr>
      </w:pPr>
    </w:p>
    <w:p w:rsidR="001550D0" w:rsidRDefault="001550D0" w:rsidP="00642203">
      <w:pPr>
        <w:pStyle w:val="Nadpis20"/>
        <w:keepNext/>
        <w:keepLines/>
        <w:shd w:val="clear" w:color="auto" w:fill="auto"/>
        <w:spacing w:before="0" w:after="531" w:line="240" w:lineRule="exact"/>
        <w:ind w:left="540"/>
        <w:jc w:val="center"/>
        <w:rPr>
          <w:b w:val="0"/>
        </w:rPr>
      </w:pPr>
    </w:p>
    <w:p w:rsidR="002B3264" w:rsidRPr="00642203" w:rsidRDefault="002B3264" w:rsidP="00642203">
      <w:pPr>
        <w:pStyle w:val="Nadpis20"/>
        <w:keepNext/>
        <w:keepLines/>
        <w:shd w:val="clear" w:color="auto" w:fill="auto"/>
        <w:spacing w:before="0" w:after="531" w:line="240" w:lineRule="exact"/>
        <w:ind w:left="540"/>
        <w:jc w:val="center"/>
        <w:rPr>
          <w:b w:val="0"/>
        </w:rPr>
      </w:pPr>
    </w:p>
    <w:p w:rsidR="001550D0" w:rsidRDefault="001550D0" w:rsidP="00642203">
      <w:pPr>
        <w:pStyle w:val="Zkladntext50"/>
        <w:shd w:val="clear" w:color="auto" w:fill="auto"/>
        <w:spacing w:before="240" w:after="240" w:line="240" w:lineRule="exact"/>
        <w:jc w:val="center"/>
      </w:pPr>
    </w:p>
    <w:p w:rsidR="007A34F4" w:rsidRDefault="00FE0393" w:rsidP="00642203">
      <w:pPr>
        <w:pStyle w:val="Zkladntext50"/>
        <w:shd w:val="clear" w:color="auto" w:fill="auto"/>
        <w:spacing w:before="240" w:after="240" w:line="240" w:lineRule="exact"/>
        <w:jc w:val="center"/>
      </w:pPr>
      <w:r>
        <w:lastRenderedPageBreak/>
        <w:t>Č</w:t>
      </w:r>
      <w:r w:rsidR="006347C2">
        <w:t>l.</w:t>
      </w:r>
      <w:r w:rsidR="009D7153">
        <w:t xml:space="preserve"> </w:t>
      </w:r>
      <w:r w:rsidR="006347C2">
        <w:t>I</w:t>
      </w:r>
    </w:p>
    <w:p w:rsidR="007A34F4" w:rsidRDefault="006347C2" w:rsidP="00A823B6">
      <w:pPr>
        <w:pStyle w:val="Nadpis20"/>
        <w:keepNext/>
        <w:keepLines/>
        <w:shd w:val="clear" w:color="auto" w:fill="auto"/>
        <w:spacing w:after="240" w:line="240" w:lineRule="exact"/>
        <w:jc w:val="center"/>
      </w:pPr>
      <w:bookmarkStart w:id="3" w:name="bookmark4"/>
      <w:r>
        <w:t>Předmět plnění</w:t>
      </w:r>
      <w:bookmarkEnd w:id="3"/>
    </w:p>
    <w:p w:rsidR="007A3D47" w:rsidRPr="007A3D47" w:rsidRDefault="007A3D47" w:rsidP="007A3D47">
      <w:pPr>
        <w:pStyle w:val="Odstavecseseznamem"/>
        <w:numPr>
          <w:ilvl w:val="0"/>
          <w:numId w:val="7"/>
        </w:numPr>
        <w:spacing w:before="120" w:after="120" w:line="276" w:lineRule="auto"/>
        <w:ind w:left="993" w:hanging="45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3D47">
        <w:rPr>
          <w:rFonts w:ascii="Times New Roman" w:hAnsi="Times New Roman"/>
          <w:sz w:val="24"/>
          <w:szCs w:val="24"/>
        </w:rPr>
        <w:t xml:space="preserve">Objednatel, </w:t>
      </w:r>
      <w:r w:rsidR="002B3264">
        <w:rPr>
          <w:rFonts w:ascii="Times New Roman" w:hAnsi="Times New Roman"/>
          <w:sz w:val="24"/>
          <w:szCs w:val="24"/>
        </w:rPr>
        <w:t>jakožto</w:t>
      </w:r>
      <w:r w:rsidRPr="007A3D47">
        <w:rPr>
          <w:rFonts w:ascii="Times New Roman" w:hAnsi="Times New Roman"/>
          <w:sz w:val="24"/>
          <w:szCs w:val="24"/>
        </w:rPr>
        <w:t xml:space="preserve"> vlastník a provozovatelem české části ropovodu Družba, ropovodu IKL a jediný přepravce ropy do České republiky, </w:t>
      </w:r>
      <w:r w:rsidR="00496B9D">
        <w:rPr>
          <w:rFonts w:ascii="Times New Roman" w:hAnsi="Times New Roman"/>
          <w:sz w:val="24"/>
          <w:szCs w:val="24"/>
        </w:rPr>
        <w:t xml:space="preserve">je dotčeným subjektem v plánovaném </w:t>
      </w:r>
      <w:r w:rsidRPr="007A3D47">
        <w:rPr>
          <w:rFonts w:ascii="Times New Roman" w:hAnsi="Times New Roman"/>
          <w:sz w:val="24"/>
          <w:szCs w:val="24"/>
        </w:rPr>
        <w:t xml:space="preserve">projektu </w:t>
      </w:r>
      <w:r w:rsidR="003277DC">
        <w:rPr>
          <w:rFonts w:ascii="Times New Roman" w:hAnsi="Times New Roman"/>
          <w:sz w:val="24"/>
          <w:szCs w:val="24"/>
        </w:rPr>
        <w:t>×</w:t>
      </w:r>
      <w:r w:rsidRPr="007A3D47">
        <w:rPr>
          <w:rFonts w:ascii="Times New Roman" w:hAnsi="Times New Roman"/>
          <w:sz w:val="24"/>
          <w:szCs w:val="24"/>
        </w:rPr>
        <w:t xml:space="preserve"> (dále jen „</w:t>
      </w:r>
      <w:r w:rsidRPr="00D552F3">
        <w:rPr>
          <w:rFonts w:ascii="Times New Roman" w:hAnsi="Times New Roman"/>
          <w:sz w:val="24"/>
          <w:szCs w:val="24"/>
          <w:u w:val="single"/>
        </w:rPr>
        <w:t>Projekt</w:t>
      </w:r>
      <w:r w:rsidRPr="007A3D47">
        <w:rPr>
          <w:rFonts w:ascii="Times New Roman" w:hAnsi="Times New Roman"/>
          <w:sz w:val="24"/>
          <w:szCs w:val="24"/>
        </w:rPr>
        <w:t xml:space="preserve">“). </w:t>
      </w:r>
      <w:r w:rsidR="0091755B">
        <w:rPr>
          <w:rFonts w:ascii="Times New Roman" w:hAnsi="Times New Roman"/>
          <w:sz w:val="24"/>
          <w:szCs w:val="24"/>
        </w:rPr>
        <w:t>×</w:t>
      </w:r>
    </w:p>
    <w:p w:rsidR="007A3D47" w:rsidRPr="007A3D47" w:rsidRDefault="007A3D47" w:rsidP="007A3D47">
      <w:pPr>
        <w:pStyle w:val="Odstavecseseznamem"/>
        <w:numPr>
          <w:ilvl w:val="0"/>
          <w:numId w:val="7"/>
        </w:numPr>
        <w:spacing w:before="120" w:after="120" w:line="276" w:lineRule="auto"/>
        <w:ind w:left="993" w:hanging="45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3D47">
        <w:rPr>
          <w:rFonts w:ascii="Times New Roman" w:hAnsi="Times New Roman"/>
          <w:sz w:val="24"/>
          <w:szCs w:val="24"/>
        </w:rPr>
        <w:t>Poskytovatel se zavazuje poskytovat Objednateli strategicko-komunikační poradenství v souvislosti s prosazováním a ochranou oprávněných zájmů Objednatele týkající se Projektu zejména v úvodních fázích zveřejnění záměru Projektu do jeho veřejného projednání, a to ve vztahu k veřejnosti, dotčeným subjektům, orgánům veřejné moci i jiným třetím osobám, spočívající zejména v následujících činnostech:</w:t>
      </w:r>
    </w:p>
    <w:p w:rsidR="007A3D47" w:rsidRDefault="007A3D47" w:rsidP="007A3D47">
      <w:pPr>
        <w:pStyle w:val="Odstavecseseznamem"/>
        <w:numPr>
          <w:ilvl w:val="0"/>
          <w:numId w:val="25"/>
        </w:numPr>
        <w:tabs>
          <w:tab w:val="left" w:pos="284"/>
        </w:tabs>
        <w:spacing w:after="120" w:line="276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institucionalizaci a nastavení fungování pracovní skupiny složené ze zástupců všech dotčených subjektů, vč. prezentace existence pracovní skupiny a výsledků její činnosti veřejnosti;</w:t>
      </w:r>
    </w:p>
    <w:p w:rsidR="007A3D47" w:rsidRDefault="007A3D47" w:rsidP="007A3D47">
      <w:pPr>
        <w:pStyle w:val="Odstavecseseznamem"/>
        <w:numPr>
          <w:ilvl w:val="0"/>
          <w:numId w:val="25"/>
        </w:numPr>
        <w:tabs>
          <w:tab w:val="left" w:pos="284"/>
        </w:tabs>
        <w:spacing w:after="120" w:line="276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analýze interních i externích rizik dopadajících na činnost Objednatele;</w:t>
      </w:r>
    </w:p>
    <w:p w:rsidR="007A3D47" w:rsidRDefault="007A3D47" w:rsidP="007A3D47">
      <w:pPr>
        <w:pStyle w:val="Odstavecseseznamem"/>
        <w:numPr>
          <w:ilvl w:val="0"/>
          <w:numId w:val="25"/>
        </w:numPr>
        <w:tabs>
          <w:tab w:val="left" w:pos="284"/>
        </w:tabs>
        <w:spacing w:after="120" w:line="276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strategickém poradenství v oblasti předcházení i řešení rizik;</w:t>
      </w:r>
    </w:p>
    <w:p w:rsidR="007A3D47" w:rsidRDefault="007A3D47" w:rsidP="007A3D47">
      <w:pPr>
        <w:pStyle w:val="Odstavecseseznamem"/>
        <w:numPr>
          <w:ilvl w:val="0"/>
          <w:numId w:val="25"/>
        </w:numPr>
        <w:tabs>
          <w:tab w:val="left" w:pos="284"/>
        </w:tabs>
        <w:spacing w:after="120" w:line="276" w:lineRule="auto"/>
        <w:ind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komunikačním poradenství ve vztahu k třetím osobám </w:t>
      </w:r>
      <w:r w:rsidR="003277DC">
        <w:rPr>
          <w:rFonts w:ascii="Times New Roman" w:hAnsi="Times New Roman"/>
          <w:sz w:val="24"/>
          <w:szCs w:val="24"/>
        </w:rPr>
        <w:t>×</w:t>
      </w:r>
    </w:p>
    <w:p w:rsidR="00B22F82" w:rsidRPr="007A3D47" w:rsidRDefault="007A3D47" w:rsidP="007A3D47">
      <w:pPr>
        <w:pStyle w:val="Odstavecseseznamem"/>
        <w:tabs>
          <w:tab w:val="left" w:pos="284"/>
        </w:tabs>
        <w:spacing w:after="120" w:line="276" w:lineRule="auto"/>
        <w:ind w:left="1004" w:hanging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(dále jen „</w:t>
      </w:r>
      <w:r w:rsidRPr="007A3D47">
        <w:rPr>
          <w:rFonts w:ascii="Times New Roman" w:hAnsi="Times New Roman"/>
          <w:sz w:val="24"/>
          <w:szCs w:val="24"/>
          <w:u w:val="single"/>
        </w:rPr>
        <w:t>Poradenské služby</w:t>
      </w:r>
      <w:r>
        <w:rPr>
          <w:rFonts w:ascii="Times New Roman" w:hAnsi="Times New Roman"/>
          <w:sz w:val="24"/>
          <w:szCs w:val="24"/>
        </w:rPr>
        <w:t>“).</w:t>
      </w:r>
    </w:p>
    <w:p w:rsidR="00642203" w:rsidRPr="00A823B6" w:rsidRDefault="00642203" w:rsidP="00A823B6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A34F4" w:rsidRDefault="007A2E20" w:rsidP="00A823B6">
      <w:pPr>
        <w:pStyle w:val="Zkladntext60"/>
        <w:shd w:val="clear" w:color="auto" w:fill="auto"/>
        <w:spacing w:before="240" w:after="240" w:line="276" w:lineRule="auto"/>
        <w:ind w:right="300"/>
      </w:pPr>
      <w:r>
        <w:t>Čl</w:t>
      </w:r>
      <w:r w:rsidR="006347C2">
        <w:t>. II</w:t>
      </w:r>
    </w:p>
    <w:p w:rsidR="007A34F4" w:rsidRDefault="00B73989" w:rsidP="00A823B6">
      <w:pPr>
        <w:pStyle w:val="Nadpis20"/>
        <w:keepNext/>
        <w:keepLines/>
        <w:shd w:val="clear" w:color="auto" w:fill="auto"/>
        <w:spacing w:after="240" w:line="276" w:lineRule="auto"/>
        <w:ind w:right="300"/>
        <w:jc w:val="center"/>
      </w:pPr>
      <w:r>
        <w:t>Odměna za Poradenské služby</w:t>
      </w:r>
    </w:p>
    <w:p w:rsidR="00642203" w:rsidRPr="007A3D47" w:rsidRDefault="0091755B" w:rsidP="007A3D47">
      <w:pPr>
        <w:tabs>
          <w:tab w:val="left" w:pos="851"/>
        </w:tabs>
        <w:spacing w:before="120"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×</w:t>
      </w:r>
    </w:p>
    <w:p w:rsidR="007A34F4" w:rsidRDefault="00173A0A" w:rsidP="00A823B6">
      <w:pPr>
        <w:pStyle w:val="Zkladntext60"/>
        <w:shd w:val="clear" w:color="auto" w:fill="auto"/>
        <w:spacing w:before="240" w:after="240" w:line="276" w:lineRule="auto"/>
        <w:ind w:right="301"/>
      </w:pPr>
      <w:r>
        <w:t>Čl</w:t>
      </w:r>
      <w:r w:rsidR="006347C2">
        <w:t>. III</w:t>
      </w:r>
    </w:p>
    <w:p w:rsidR="007A34F4" w:rsidRDefault="006347C2" w:rsidP="00A823B6">
      <w:pPr>
        <w:pStyle w:val="Nadpis20"/>
        <w:keepNext/>
        <w:keepLines/>
        <w:shd w:val="clear" w:color="auto" w:fill="auto"/>
        <w:spacing w:after="240" w:line="276" w:lineRule="auto"/>
        <w:ind w:right="301"/>
        <w:jc w:val="center"/>
      </w:pPr>
      <w:bookmarkStart w:id="4" w:name="bookmark6"/>
      <w:r>
        <w:t xml:space="preserve">Práva a povinnosti </w:t>
      </w:r>
      <w:r w:rsidR="00CF147F">
        <w:t>objednatel</w:t>
      </w:r>
      <w:r>
        <w:t xml:space="preserve">e a </w:t>
      </w:r>
      <w:bookmarkEnd w:id="4"/>
      <w:r w:rsidR="00173A0A">
        <w:t>poskytovatele</w:t>
      </w:r>
    </w:p>
    <w:p w:rsidR="001B642E" w:rsidRDefault="00CF147F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right="200" w:hanging="567"/>
        <w:jc w:val="both"/>
      </w:pPr>
      <w:r>
        <w:t>Objednatel</w:t>
      </w:r>
      <w:r w:rsidR="006347C2">
        <w:t xml:space="preserve"> se zavazuje poskytovat </w:t>
      </w:r>
      <w:r w:rsidR="009D7153">
        <w:t>poskytovateli</w:t>
      </w:r>
      <w:r w:rsidR="006347C2">
        <w:t xml:space="preserve"> včas veškeré podklady, doklady, skutečnosti a údaje potřebné pro úspěšné plnění z</w:t>
      </w:r>
      <w:r w:rsidR="00BF1A18">
        <w:t>ávazků vyplývajících z předmět</w:t>
      </w:r>
      <w:r w:rsidR="009D7153">
        <w:t>u</w:t>
      </w:r>
      <w:r w:rsidR="00BF1A18">
        <w:t xml:space="preserve"> </w:t>
      </w:r>
      <w:r w:rsidR="006347C2">
        <w:t xml:space="preserve">plnění sjednaného v této </w:t>
      </w:r>
      <w:r w:rsidR="00424F40">
        <w:t>S</w:t>
      </w:r>
      <w:r w:rsidR="006347C2">
        <w:t xml:space="preserve">mlouvě. </w:t>
      </w:r>
      <w:r w:rsidR="009D7153">
        <w:t>Poskytovatel</w:t>
      </w:r>
      <w:r w:rsidR="006347C2">
        <w:t xml:space="preserve"> neodpovídá za závady, které vznikly na základě chybných nebo neúplných skutečností poskytnutých </w:t>
      </w:r>
      <w:r>
        <w:t>objednatel</w:t>
      </w:r>
      <w:r w:rsidR="006347C2">
        <w:t>em.</w:t>
      </w:r>
      <w:r w:rsidR="001B642E" w:rsidRPr="001B642E">
        <w:t xml:space="preserve"> </w:t>
      </w:r>
    </w:p>
    <w:p w:rsidR="007A34F4" w:rsidRDefault="0091755B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right="200" w:hanging="567"/>
        <w:jc w:val="both"/>
      </w:pPr>
      <w:r>
        <w:t>×</w:t>
      </w:r>
    </w:p>
    <w:p w:rsidR="001B642E" w:rsidRDefault="001F4E43" w:rsidP="005F62C9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right="299" w:hanging="567"/>
        <w:jc w:val="both"/>
      </w:pPr>
      <w:r>
        <w:t>Poskytovatel je povinen</w:t>
      </w:r>
      <w:r w:rsidR="006347C2">
        <w:t xml:space="preserve"> předávat </w:t>
      </w:r>
      <w:r w:rsidR="00CF147F">
        <w:t>objednatel</w:t>
      </w:r>
      <w:r w:rsidR="006347C2">
        <w:t>i informace o dílčím a celkovém plnění</w:t>
      </w:r>
      <w:r>
        <w:t xml:space="preserve"> </w:t>
      </w:r>
      <w:r w:rsidR="001550D0">
        <w:t>S</w:t>
      </w:r>
      <w:r>
        <w:t>mlouvy</w:t>
      </w:r>
      <w:r w:rsidR="006347C2">
        <w:t xml:space="preserve"> průběžně, nejméně však jednou za měsíc, a též na požádání </w:t>
      </w:r>
      <w:r w:rsidR="00CF147F">
        <w:t>objednatel</w:t>
      </w:r>
      <w:r w:rsidR="006347C2">
        <w:t>e. Forma prezentace bude předmětem individuálního dojednání.</w:t>
      </w:r>
    </w:p>
    <w:p w:rsidR="00B26A27" w:rsidRPr="001B642E" w:rsidRDefault="00B26A27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 w:rsidRPr="001B642E">
        <w:t>Poskytovatel se zavazuje:</w:t>
      </w:r>
    </w:p>
    <w:p w:rsidR="00B26A27" w:rsidRDefault="00B26A27" w:rsidP="001550D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poskytovat Poradenské služby s odbornou péčí,</w:t>
      </w:r>
    </w:p>
    <w:p w:rsidR="00B26A27" w:rsidRDefault="00B26A27" w:rsidP="001550D0">
      <w:pPr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poskytovat Poradenské služby v souladu s pokyny Objednatele,</w:t>
      </w:r>
    </w:p>
    <w:p w:rsidR="001B642E" w:rsidRDefault="00B26A27" w:rsidP="001550D0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oznámit Objednateli všechny okolnosti, které zjistil při poskytování Poradenských služeb a o kterých mu je známo, že by měly mít vliv na změnu pokynů Objednatele. </w:t>
      </w:r>
    </w:p>
    <w:p w:rsidR="001B642E" w:rsidRDefault="00B26A27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 w:rsidRPr="001B642E">
        <w:t>Zjistí-li Poskytovatel, že pokyny Objednatele jsou nevhodné či neúčelné pro poskytování Poradenských služeb, nebo odporují jeho zájmům, je povinen na toto Objednatele upozornit; poskytování Poradenských služeb je v takovém případě oprávněn pozastavit. Bude-li Objednatel na poskytování Poradenských služeb dle svých pokynů trvat, má Poskytovatel povinnost pokračovat v poskytování Poradenských služeb dle původních pokynů Objednatele; Objednatel je v takovém případě povinen své setrvání na původních pokynech potvrdit Poskytovateli písemně.</w:t>
      </w:r>
    </w:p>
    <w:p w:rsidR="00BF1A18" w:rsidRDefault="00B26A27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 w:rsidRPr="001B642E">
        <w:t>Poskytovatel je povinen upozornit Objednatele na to, že jeho pokyny odporují obecně závazným právním předpisům, a to bezodkladně poté, co se o dané skutečnosti dozví. Tyto pokyny není Poskytovatel povinen splnit. Bude-li na jejich splnění Objednatel trvat, je Poskytovatel oprávněn Smlouvu vypovědět bez výpovědní lhůty.</w:t>
      </w:r>
    </w:p>
    <w:p w:rsidR="007A34F4" w:rsidRDefault="00CF147F" w:rsidP="00A823B6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>
        <w:t>Objednatel</w:t>
      </w:r>
      <w:r w:rsidR="006347C2">
        <w:t xml:space="preserve"> a </w:t>
      </w:r>
      <w:r w:rsidR="0015372C">
        <w:t>poskytovatel</w:t>
      </w:r>
      <w:r w:rsidR="006347C2">
        <w:t xml:space="preserve"> se tímto dohodli, že budou zachovávat mlčenlivost po dobu platnosti této smlouvy a tři roky po jejím ukončení</w:t>
      </w:r>
      <w:r w:rsidR="001550D0">
        <w:t>,</w:t>
      </w:r>
      <w:r w:rsidR="006347C2">
        <w:t xml:space="preserve"> pokud jde o:</w:t>
      </w:r>
    </w:p>
    <w:p w:rsidR="007A34F4" w:rsidRDefault="006347C2" w:rsidP="00A823B6">
      <w:pPr>
        <w:pStyle w:val="Zkladntext20"/>
        <w:numPr>
          <w:ilvl w:val="0"/>
          <w:numId w:val="5"/>
        </w:numPr>
        <w:shd w:val="clear" w:color="auto" w:fill="auto"/>
        <w:tabs>
          <w:tab w:val="left" w:pos="1251"/>
        </w:tabs>
        <w:spacing w:before="120" w:after="120" w:line="276" w:lineRule="auto"/>
        <w:ind w:left="1240"/>
        <w:jc w:val="both"/>
      </w:pPr>
      <w:r>
        <w:t xml:space="preserve">veškeré informace vzájemně si poskytnuté v souladu s plněním předmětu této </w:t>
      </w:r>
      <w:r w:rsidR="001550D0">
        <w:t>S</w:t>
      </w:r>
      <w:r>
        <w:t>mlouvy, pokud nejsou veřejně dostupné,</w:t>
      </w:r>
    </w:p>
    <w:p w:rsidR="007A34F4" w:rsidRDefault="006347C2" w:rsidP="00A823B6">
      <w:pPr>
        <w:pStyle w:val="Zkladntext20"/>
        <w:numPr>
          <w:ilvl w:val="0"/>
          <w:numId w:val="5"/>
        </w:numPr>
        <w:shd w:val="clear" w:color="auto" w:fill="auto"/>
        <w:tabs>
          <w:tab w:val="left" w:pos="1251"/>
        </w:tabs>
        <w:spacing w:before="120" w:after="120" w:line="276" w:lineRule="auto"/>
        <w:ind w:left="820" w:firstLine="0"/>
        <w:jc w:val="both"/>
      </w:pPr>
      <w:r>
        <w:t xml:space="preserve">skutečnosti týkající se předmětu této </w:t>
      </w:r>
      <w:r w:rsidR="00424F40">
        <w:t>S</w:t>
      </w:r>
      <w:r>
        <w:t xml:space="preserve">mlouvy, </w:t>
      </w:r>
      <w:r w:rsidR="00424F40">
        <w:t>O</w:t>
      </w:r>
      <w:r w:rsidR="00CF147F">
        <w:t>bjednatel</w:t>
      </w:r>
      <w:r>
        <w:t xml:space="preserve">e a </w:t>
      </w:r>
      <w:r w:rsidR="00424F40">
        <w:t>P</w:t>
      </w:r>
      <w:r w:rsidR="0015372C">
        <w:t>oskytovatele</w:t>
      </w:r>
      <w:r>
        <w:t>,</w:t>
      </w:r>
    </w:p>
    <w:p w:rsidR="007A34F4" w:rsidRDefault="006347C2" w:rsidP="00A823B6">
      <w:pPr>
        <w:pStyle w:val="Zkladntext20"/>
        <w:numPr>
          <w:ilvl w:val="0"/>
          <w:numId w:val="5"/>
        </w:numPr>
        <w:shd w:val="clear" w:color="auto" w:fill="auto"/>
        <w:tabs>
          <w:tab w:val="left" w:pos="1251"/>
        </w:tabs>
        <w:spacing w:before="120" w:after="120" w:line="276" w:lineRule="auto"/>
        <w:ind w:left="1240"/>
        <w:jc w:val="both"/>
      </w:pPr>
      <w:r>
        <w:t xml:space="preserve">skutečnosti, jejichž zveřejnění by ohrozilo nebo mohlo ohrozit oprávněné zájmy </w:t>
      </w:r>
      <w:r w:rsidR="00424F40">
        <w:t>O</w:t>
      </w:r>
      <w:r w:rsidR="00CF147F">
        <w:t>bjednatel</w:t>
      </w:r>
      <w:r>
        <w:t xml:space="preserve">e nebo </w:t>
      </w:r>
      <w:r w:rsidR="00424F40">
        <w:t>P</w:t>
      </w:r>
      <w:r w:rsidR="0015372C">
        <w:t>oskytovatele</w:t>
      </w:r>
      <w:r>
        <w:t>.</w:t>
      </w:r>
    </w:p>
    <w:p w:rsidR="007A34F4" w:rsidRDefault="006347C2" w:rsidP="001550D0">
      <w:pPr>
        <w:pStyle w:val="Zkladntext20"/>
        <w:shd w:val="clear" w:color="auto" w:fill="auto"/>
        <w:spacing w:before="120" w:after="120" w:line="276" w:lineRule="auto"/>
        <w:ind w:left="851" w:firstLine="0"/>
        <w:jc w:val="both"/>
      </w:pPr>
      <w:r>
        <w:t xml:space="preserve">Veškeré důvěrné informace zůstávají výhradním vlastnictví </w:t>
      </w:r>
      <w:r w:rsidR="00CF147F">
        <w:t>objednatel</w:t>
      </w:r>
      <w:r>
        <w:t xml:space="preserve">e s výjimkou skutečností obecně známých. Skutečnosti, o nichž má být zachována mlčenlivost, </w:t>
      </w:r>
      <w:r w:rsidR="00CF147F">
        <w:t>objednatel</w:t>
      </w:r>
      <w:r>
        <w:t xml:space="preserve"> a </w:t>
      </w:r>
      <w:r w:rsidR="0015372C">
        <w:t>poskytovatel</w:t>
      </w:r>
      <w:r>
        <w:t xml:space="preserve"> především neoprávněně nesdělí či jinak nezpřístupní třetí osobě, nevyužijí je pro sebe ani pro jiného v rozporu s účelem této smlouvy nebo v rozporu se zájmem druhé smluvní strany.</w:t>
      </w:r>
    </w:p>
    <w:p w:rsidR="007A34F4" w:rsidRDefault="00CF147F" w:rsidP="00A823B6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>
        <w:t>Objednatel</w:t>
      </w:r>
      <w:r w:rsidR="006347C2">
        <w:t xml:space="preserve"> a </w:t>
      </w:r>
      <w:r w:rsidR="008B3453">
        <w:t>poskytovatel</w:t>
      </w:r>
      <w:r w:rsidR="006347C2">
        <w:t xml:space="preserve"> jsou povinni zavázat k ml</w:t>
      </w:r>
      <w:r w:rsidR="008B3453">
        <w:t>čenlivosti v rozsahu uvedeném v </w:t>
      </w:r>
      <w:r w:rsidR="006347C2">
        <w:t xml:space="preserve">odstavci </w:t>
      </w:r>
      <w:r w:rsidR="001550D0">
        <w:t>7</w:t>
      </w:r>
      <w:r w:rsidR="006347C2">
        <w:t xml:space="preserve"> také své zaměstnance.</w:t>
      </w:r>
    </w:p>
    <w:p w:rsidR="001B642E" w:rsidRDefault="006347C2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>
        <w:t xml:space="preserve">V případě porušení povinností uvedených v odstavcích </w:t>
      </w:r>
      <w:r w:rsidR="001550D0">
        <w:t>7</w:t>
      </w:r>
      <w:r>
        <w:t xml:space="preserve"> a </w:t>
      </w:r>
      <w:r w:rsidR="001550D0">
        <w:t>8</w:t>
      </w:r>
      <w:r>
        <w:t xml:space="preserve"> odpovídá strana, která porušení povinností zavinila, druhé straně za způsobenou škodu ve smyslu příslušných ustanovení </w:t>
      </w:r>
      <w:r w:rsidR="00CA6075">
        <w:t>občanského zákoníku</w:t>
      </w:r>
      <w:r>
        <w:t xml:space="preserve"> č. </w:t>
      </w:r>
      <w:r w:rsidR="00CA6075">
        <w:t>89</w:t>
      </w:r>
      <w:r>
        <w:t>/</w:t>
      </w:r>
      <w:r w:rsidR="00CA6075">
        <w:t>2012</w:t>
      </w:r>
      <w:r>
        <w:t xml:space="preserve"> Sb. v platném znění.</w:t>
      </w:r>
    </w:p>
    <w:p w:rsidR="00B26A27" w:rsidRDefault="00B26A27" w:rsidP="001B642E">
      <w:pPr>
        <w:pStyle w:val="Zkladntext20"/>
        <w:numPr>
          <w:ilvl w:val="0"/>
          <w:numId w:val="4"/>
        </w:numPr>
        <w:shd w:val="clear" w:color="auto" w:fill="auto"/>
        <w:tabs>
          <w:tab w:val="left" w:pos="1134"/>
        </w:tabs>
        <w:spacing w:before="120" w:after="120" w:line="276" w:lineRule="auto"/>
        <w:ind w:left="851" w:hanging="567"/>
        <w:jc w:val="both"/>
      </w:pPr>
      <w:r w:rsidRPr="001B642E">
        <w:t>Objednatel souhlasí s tím, že Poskytovatel může při plnění Smlouvy využívat podle svého uvážení vhodných subdodavatelů, ovšem toliko za předpokladu, že je zaváže mlčenlivostí ve stejném rozsahu, v jakém je sám vázán vůči Objednateli.</w:t>
      </w:r>
    </w:p>
    <w:p w:rsidR="00D311A7" w:rsidRDefault="00D311A7" w:rsidP="00D311A7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firstLine="0"/>
        <w:jc w:val="both"/>
      </w:pPr>
    </w:p>
    <w:p w:rsidR="00D311A7" w:rsidRDefault="00D311A7" w:rsidP="00D311A7">
      <w:pPr>
        <w:pStyle w:val="Nadpis20"/>
        <w:keepNext/>
        <w:keepLines/>
        <w:shd w:val="clear" w:color="auto" w:fill="auto"/>
        <w:spacing w:before="120" w:after="120" w:line="276" w:lineRule="auto"/>
        <w:ind w:right="420"/>
        <w:jc w:val="center"/>
      </w:pPr>
      <w:r>
        <w:lastRenderedPageBreak/>
        <w:t>Čl. IV</w:t>
      </w:r>
    </w:p>
    <w:p w:rsidR="00D311A7" w:rsidRPr="001B642E" w:rsidRDefault="00D311A7" w:rsidP="00D311A7">
      <w:pPr>
        <w:pStyle w:val="Nadpis20"/>
        <w:keepNext/>
        <w:keepLines/>
        <w:shd w:val="clear" w:color="auto" w:fill="auto"/>
        <w:spacing w:before="120" w:after="120" w:line="276" w:lineRule="auto"/>
        <w:ind w:right="420"/>
        <w:jc w:val="center"/>
      </w:pPr>
      <w:r>
        <w:t>Výpověď</w:t>
      </w:r>
    </w:p>
    <w:p w:rsidR="00D311A7" w:rsidRDefault="00D311A7" w:rsidP="00D311A7">
      <w:pPr>
        <w:pStyle w:val="Odstavecseseznamem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850" w:hanging="493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 xml:space="preserve">Každá Smluvní strana je oprávněna Smlouvu vypovědět i bez uvedení důvodu. Výpovědní lhůta činí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dva</w:t>
      </w: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2</w:t>
      </w: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>) měsíc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e</w:t>
      </w: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 xml:space="preserve"> a její běh začíná prvním dnem kalendářního měsíce následujícího po kalendářním měsíci, ve kterém byla výpověď doručena druhé Smluvní straně. </w:t>
      </w:r>
    </w:p>
    <w:p w:rsidR="00D311A7" w:rsidRPr="00D311A7" w:rsidRDefault="00D311A7" w:rsidP="00D311A7">
      <w:pPr>
        <w:pStyle w:val="Odstavecseseznamem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850" w:hanging="493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>Výpovědí Smlouvy není dotčena povinnost Objednatele uhradit Poskytovateli odměnu za Poradenské služby poskytnuté před účinností výpovědi.</w:t>
      </w:r>
    </w:p>
    <w:p w:rsidR="00B26A27" w:rsidRPr="007A3D47" w:rsidRDefault="00D311A7" w:rsidP="007A3D47">
      <w:pPr>
        <w:pStyle w:val="Odstavecseseznamem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850" w:hanging="493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D311A7">
        <w:rPr>
          <w:rFonts w:ascii="Times New Roman" w:hAnsi="Times New Roman"/>
          <w:color w:val="000000"/>
          <w:sz w:val="24"/>
          <w:szCs w:val="24"/>
          <w:lang w:bidi="cs-CZ"/>
        </w:rPr>
        <w:t xml:space="preserve">Od účinnosti výpovědi Smlouvy je Poskytovatel povinen nepokračovat v činnosti dle Smlouvy. Je však povinen Objednatele upozornit na opatření potřebná k tomu, aby se zabránilo vzniku škody hrozící Objednateli nedokončením činnosti související se Smlouvou. </w:t>
      </w:r>
    </w:p>
    <w:p w:rsidR="001550D0" w:rsidRDefault="001550D0" w:rsidP="001B642E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284" w:firstLine="0"/>
        <w:jc w:val="both"/>
      </w:pPr>
    </w:p>
    <w:p w:rsidR="007A34F4" w:rsidRDefault="005100C9" w:rsidP="00A823B6">
      <w:pPr>
        <w:pStyle w:val="Nadpis20"/>
        <w:keepNext/>
        <w:keepLines/>
        <w:shd w:val="clear" w:color="auto" w:fill="auto"/>
        <w:spacing w:before="120" w:after="120" w:line="276" w:lineRule="auto"/>
        <w:ind w:right="420"/>
        <w:jc w:val="center"/>
      </w:pPr>
      <w:bookmarkStart w:id="5" w:name="bookmark7"/>
      <w:r>
        <w:t>Čl</w:t>
      </w:r>
      <w:r w:rsidR="006347C2">
        <w:t>. V</w:t>
      </w:r>
      <w:bookmarkEnd w:id="5"/>
    </w:p>
    <w:p w:rsidR="007A34F4" w:rsidRDefault="006347C2" w:rsidP="00A823B6">
      <w:pPr>
        <w:pStyle w:val="Nadpis20"/>
        <w:keepNext/>
        <w:keepLines/>
        <w:shd w:val="clear" w:color="auto" w:fill="auto"/>
        <w:spacing w:before="120" w:after="120" w:line="276" w:lineRule="auto"/>
        <w:ind w:right="420"/>
        <w:jc w:val="center"/>
      </w:pPr>
      <w:bookmarkStart w:id="6" w:name="bookmark8"/>
      <w:r>
        <w:t>Závěrečná ustanovení</w:t>
      </w:r>
      <w:bookmarkEnd w:id="6"/>
    </w:p>
    <w:p w:rsidR="007A34F4" w:rsidRDefault="006347C2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>Tato smlouva nabývá platnosti dnem podpisu oběma stranami.</w:t>
      </w:r>
    </w:p>
    <w:p w:rsidR="002E762B" w:rsidRDefault="002E762B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 xml:space="preserve">Tato smlouva se uzavírá na dobu určitou, a to do 31. 10. 2018. </w:t>
      </w:r>
    </w:p>
    <w:p w:rsidR="001550D0" w:rsidRDefault="006347C2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 xml:space="preserve">Tato smlouva je vyhotovena ve dvou stejnopisech, z nichž oba mají platnost originálu. </w:t>
      </w:r>
      <w:r w:rsidR="00CF147F">
        <w:t>Objednatel</w:t>
      </w:r>
      <w:r>
        <w:t xml:space="preserve"> i </w:t>
      </w:r>
      <w:r w:rsidR="00D311A7">
        <w:t>P</w:t>
      </w:r>
      <w:r w:rsidR="0002786F">
        <w:t>oskytovatel</w:t>
      </w:r>
      <w:r>
        <w:t xml:space="preserve"> obdrží jeden stejnopis.</w:t>
      </w:r>
    </w:p>
    <w:p w:rsidR="007A34F4" w:rsidRDefault="006347C2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 xml:space="preserve">Tato smlouva, předmět této smlouvy a práva a povinnosti z ní vyplývající se řídí platnými právními předpisy České republiky. Vztahy touto smlouvou neupravené se řídí </w:t>
      </w:r>
      <w:r w:rsidR="0086595A">
        <w:t>občanským zákoníkem</w:t>
      </w:r>
      <w:r>
        <w:t xml:space="preserve"> č. </w:t>
      </w:r>
      <w:r w:rsidR="0086595A">
        <w:t>89</w:t>
      </w:r>
      <w:r>
        <w:t>/</w:t>
      </w:r>
      <w:r w:rsidR="0086595A">
        <w:t>2012</w:t>
      </w:r>
      <w:r>
        <w:t xml:space="preserve"> Sb. v platném znění.</w:t>
      </w:r>
    </w:p>
    <w:p w:rsidR="007A34F4" w:rsidRDefault="006347C2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 xml:space="preserve">Jakékoliv změny nebo doplňky této </w:t>
      </w:r>
      <w:r w:rsidR="00D311A7">
        <w:t>S</w:t>
      </w:r>
      <w:r>
        <w:t xml:space="preserve">mlouvy mohou být učiněny pouze v písemné podobě ve formě dodatku podepsaného </w:t>
      </w:r>
      <w:r w:rsidR="00D311A7">
        <w:t>O</w:t>
      </w:r>
      <w:r w:rsidR="00CF147F">
        <w:t>bjednatel</w:t>
      </w:r>
      <w:r>
        <w:t xml:space="preserve">em i </w:t>
      </w:r>
      <w:r w:rsidR="00D311A7">
        <w:t>P</w:t>
      </w:r>
      <w:r w:rsidR="00963EFD">
        <w:t>oskytovatelem</w:t>
      </w:r>
      <w:r>
        <w:t>.</w:t>
      </w:r>
    </w:p>
    <w:p w:rsidR="007A3D47" w:rsidRDefault="006347C2" w:rsidP="007E3577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>Platnost a účinnost této smlouvy lze ukončit dohodou smluvních stran.</w:t>
      </w:r>
    </w:p>
    <w:p w:rsidR="001550D0" w:rsidRDefault="00CF147F" w:rsidP="001550D0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120" w:after="120" w:line="276" w:lineRule="auto"/>
        <w:ind w:left="850" w:hanging="425"/>
        <w:jc w:val="both"/>
      </w:pPr>
      <w:r>
        <w:t>Objednatel</w:t>
      </w:r>
      <w:r w:rsidR="006347C2">
        <w:t xml:space="preserve"> i </w:t>
      </w:r>
      <w:r w:rsidR="00D311A7">
        <w:t>P</w:t>
      </w:r>
      <w:r w:rsidR="008D04D8">
        <w:t>oskytovatel</w:t>
      </w:r>
      <w:r w:rsidR="006347C2">
        <w:t xml:space="preserve"> po přečtení této smlouvy prohlašují, že porozuměli jejímu obsahu a že s tímto obsahem souhlasí. Dále prohlašují, že tato smlouva odpovídá projevu jejich svobodné vůle, což stvrzují svými níže uvedenými podpisy.</w:t>
      </w:r>
    </w:p>
    <w:p w:rsidR="00D311A7" w:rsidRDefault="00D311A7" w:rsidP="00D311A7">
      <w:pPr>
        <w:pStyle w:val="Zkladntext20"/>
        <w:shd w:val="clear" w:color="auto" w:fill="auto"/>
        <w:tabs>
          <w:tab w:val="left" w:pos="851"/>
        </w:tabs>
        <w:spacing w:before="120" w:after="120" w:line="276" w:lineRule="auto"/>
        <w:ind w:firstLine="0"/>
        <w:jc w:val="both"/>
      </w:pPr>
    </w:p>
    <w:p w:rsidR="007A3D47" w:rsidRDefault="007A3D47" w:rsidP="00D311A7">
      <w:pPr>
        <w:pStyle w:val="Zkladntext20"/>
        <w:shd w:val="clear" w:color="auto" w:fill="auto"/>
        <w:tabs>
          <w:tab w:val="left" w:pos="851"/>
        </w:tabs>
        <w:spacing w:before="120" w:after="120" w:line="276" w:lineRule="auto"/>
        <w:ind w:firstLine="0"/>
        <w:jc w:val="both"/>
      </w:pPr>
    </w:p>
    <w:p w:rsidR="00D311A7" w:rsidRDefault="00D311A7" w:rsidP="00D311A7">
      <w:pPr>
        <w:pStyle w:val="Zkladntext20"/>
        <w:shd w:val="clear" w:color="auto" w:fill="auto"/>
        <w:tabs>
          <w:tab w:val="left" w:pos="851"/>
        </w:tabs>
        <w:spacing w:before="120" w:after="120" w:line="276" w:lineRule="auto"/>
        <w:ind w:firstLine="0"/>
        <w:jc w:val="both"/>
      </w:pPr>
    </w:p>
    <w:p w:rsidR="00D311A7" w:rsidRDefault="0032646C" w:rsidP="00D311A7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  <w:r>
        <w:t>V</w:t>
      </w:r>
      <w:r w:rsidR="00FE6055">
        <w:t> Kralupech nad Vltavou</w:t>
      </w:r>
      <w:r>
        <w:t xml:space="preserve"> dne…..</w:t>
      </w:r>
      <w:r w:rsidR="00963037">
        <w:t>………………</w:t>
      </w:r>
      <w:r w:rsidR="00D311A7">
        <w:t xml:space="preserve"> </w:t>
      </w:r>
      <w:r w:rsidR="00D311A7">
        <w:tab/>
      </w:r>
      <w:r w:rsidR="00D311A7">
        <w:tab/>
        <w:t>V Praze dne…..………………</w:t>
      </w: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CF147F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  <w:r>
        <w:t>Objednatel</w:t>
      </w:r>
      <w:r w:rsidR="006F017B">
        <w:t>:</w:t>
      </w:r>
      <w:r w:rsidR="00D562A7">
        <w:tab/>
      </w:r>
      <w:r w:rsidR="00D562A7">
        <w:tab/>
      </w:r>
      <w:r w:rsidR="00D562A7">
        <w:tab/>
      </w:r>
      <w:r w:rsidR="00D562A7">
        <w:tab/>
      </w:r>
      <w:r w:rsidR="00D562A7">
        <w:tab/>
      </w:r>
      <w:r w:rsidR="00D562A7">
        <w:tab/>
      </w:r>
      <w:r w:rsidR="00D562A7">
        <w:tab/>
      </w:r>
      <w:r w:rsidR="00DE0A52">
        <w:t>Poskytovatel</w:t>
      </w:r>
      <w:r w:rsidR="00D562A7" w:rsidRPr="00D562A7">
        <w:t>:</w:t>
      </w: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  <w:r w:rsidRPr="007A2E20">
        <w:rPr>
          <w:b/>
          <w:bCs/>
        </w:rPr>
        <w:lastRenderedPageBreak/>
        <w:t>MERO ČR, a.s.</w:t>
      </w:r>
      <w:r w:rsidR="00D562A7">
        <w:rPr>
          <w:b/>
          <w:bCs/>
        </w:rPr>
        <w:t xml:space="preserve"> </w:t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91755B">
        <w:rPr>
          <w:b/>
          <w:bCs/>
        </w:rPr>
        <w:t>SUMMA Consulting s</w:t>
      </w:r>
      <w:r w:rsidR="0032646C">
        <w:rPr>
          <w:b/>
          <w:bCs/>
        </w:rPr>
        <w:t>.</w:t>
      </w:r>
      <w:r w:rsidR="0091755B">
        <w:rPr>
          <w:b/>
          <w:bCs/>
        </w:rPr>
        <w:t>r.o.</w:t>
      </w:r>
    </w:p>
    <w:p w:rsidR="006F017B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</w:p>
    <w:p w:rsidR="006F017B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</w:p>
    <w:p w:rsidR="006F017B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</w:p>
    <w:p w:rsidR="00D562A7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  <w:r>
        <w:rPr>
          <w:b/>
          <w:bCs/>
        </w:rPr>
        <w:t>……………………………</w:t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</w:r>
      <w:r w:rsidR="00D562A7">
        <w:rPr>
          <w:b/>
          <w:bCs/>
        </w:rPr>
        <w:tab/>
        <w:t>……………………………</w:t>
      </w:r>
    </w:p>
    <w:p w:rsidR="00D562A7" w:rsidRDefault="00D562A7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  <w:r>
        <w:t>Ing. Stanislav Bruna</w:t>
      </w:r>
      <w:r w:rsidR="00F87183"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6C">
        <w:t>JUDr.</w:t>
      </w:r>
      <w:r w:rsidR="00644AC3">
        <w:t xml:space="preserve"> Jaromír Císař</w:t>
      </w:r>
      <w:r w:rsidR="007A3F37">
        <w:t>,</w:t>
      </w:r>
    </w:p>
    <w:p w:rsidR="006F017B" w:rsidRPr="00F87183" w:rsidRDefault="00F87183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Cs/>
        </w:rPr>
      </w:pPr>
      <w:r>
        <w:rPr>
          <w:bCs/>
        </w:rPr>
        <w:t>p</w:t>
      </w:r>
      <w:r w:rsidRPr="00F87183">
        <w:rPr>
          <w:bCs/>
        </w:rPr>
        <w:t>ředseda představenstva</w:t>
      </w:r>
      <w:r w:rsidR="007A3F37">
        <w:rPr>
          <w:bCs/>
        </w:rPr>
        <w:tab/>
      </w:r>
      <w:r w:rsidR="007A3F37">
        <w:rPr>
          <w:bCs/>
        </w:rPr>
        <w:tab/>
      </w:r>
      <w:r w:rsidR="007A3F37">
        <w:rPr>
          <w:bCs/>
        </w:rPr>
        <w:tab/>
      </w:r>
      <w:r w:rsidR="007A3F37">
        <w:rPr>
          <w:bCs/>
        </w:rPr>
        <w:tab/>
      </w:r>
      <w:r w:rsidR="007A3F37">
        <w:rPr>
          <w:bCs/>
        </w:rPr>
        <w:tab/>
      </w:r>
      <w:r w:rsidR="00644AC3">
        <w:rPr>
          <w:bCs/>
        </w:rPr>
        <w:t xml:space="preserve">jednatel </w:t>
      </w: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</w:p>
    <w:p w:rsidR="006F017B" w:rsidRDefault="006F017B" w:rsidP="00A823B6">
      <w:pPr>
        <w:pStyle w:val="Zkladntext20"/>
        <w:shd w:val="clear" w:color="auto" w:fill="auto"/>
        <w:spacing w:before="120" w:after="120" w:line="276" w:lineRule="auto"/>
        <w:ind w:left="540" w:firstLine="0"/>
        <w:jc w:val="both"/>
        <w:rPr>
          <w:b/>
          <w:bCs/>
        </w:rPr>
      </w:pPr>
      <w:r>
        <w:rPr>
          <w:b/>
          <w:bCs/>
        </w:rPr>
        <w:t>……………………………</w:t>
      </w:r>
    </w:p>
    <w:p w:rsidR="006F017B" w:rsidRDefault="00055858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  <w:r>
        <w:t>Ing. Otakar Krejsa</w:t>
      </w:r>
      <w:r w:rsidR="00F87183">
        <w:t>,</w:t>
      </w:r>
    </w:p>
    <w:p w:rsidR="006F017B" w:rsidRDefault="00F87183" w:rsidP="00A823B6">
      <w:pPr>
        <w:pStyle w:val="Zkladntext20"/>
        <w:shd w:val="clear" w:color="auto" w:fill="auto"/>
        <w:tabs>
          <w:tab w:val="left" w:pos="1134"/>
        </w:tabs>
        <w:spacing w:before="120" w:after="120" w:line="276" w:lineRule="auto"/>
        <w:ind w:left="567" w:firstLine="0"/>
        <w:jc w:val="both"/>
      </w:pPr>
      <w:r>
        <w:t>místopředseda představenstva</w:t>
      </w:r>
    </w:p>
    <w:p w:rsidR="007A34F4" w:rsidRDefault="007A34F4" w:rsidP="007E3577">
      <w:pPr>
        <w:pStyle w:val="Zkladntext90"/>
        <w:shd w:val="clear" w:color="auto" w:fill="auto"/>
        <w:spacing w:line="187" w:lineRule="exact"/>
        <w:jc w:val="left"/>
      </w:pPr>
    </w:p>
    <w:sectPr w:rsidR="007A34F4" w:rsidSect="002B3264">
      <w:headerReference w:type="default" r:id="rId9"/>
      <w:footerReference w:type="default" r:id="rId10"/>
      <w:pgSz w:w="11900" w:h="16840"/>
      <w:pgMar w:top="1560" w:right="1269" w:bottom="1575" w:left="9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87" w:rsidRDefault="001D0687">
      <w:r>
        <w:separator/>
      </w:r>
    </w:p>
  </w:endnote>
  <w:endnote w:type="continuationSeparator" w:id="0">
    <w:p w:rsidR="001D0687" w:rsidRDefault="001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E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F4" w:rsidRDefault="00734F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6675120</wp:posOffset>
              </wp:positionH>
              <wp:positionV relativeFrom="page">
                <wp:posOffset>9904095</wp:posOffset>
              </wp:positionV>
              <wp:extent cx="70485" cy="160655"/>
              <wp:effectExtent l="0" t="0" r="5715" b="1079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4F4" w:rsidRDefault="00B42B3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347C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2F22" w:rsidRPr="008B2F22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5.6pt;margin-top:779.8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DTpg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" filled="f" stroked="f">
              <v:textbox style="mso-fit-shape-to-text:t" inset="0,0,0,0">
                <w:txbxContent>
                  <w:p w:rsidR="007A34F4" w:rsidRDefault="00B42B3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347C2">
                      <w:instrText xml:space="preserve"> PAGE \* MERGEFORMAT </w:instrText>
                    </w:r>
                    <w:r>
                      <w:fldChar w:fldCharType="separate"/>
                    </w:r>
                    <w:r w:rsidR="008B2F22" w:rsidRPr="008B2F22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87" w:rsidRDefault="001D0687"/>
  </w:footnote>
  <w:footnote w:type="continuationSeparator" w:id="0">
    <w:p w:rsidR="001D0687" w:rsidRDefault="001D06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BE" w:rsidRDefault="00A150BE">
    <w:pPr>
      <w:pStyle w:val="Zhlav"/>
    </w:pPr>
  </w:p>
  <w:p w:rsidR="00A150BE" w:rsidRDefault="00A150BE" w:rsidP="00A150BE">
    <w:pPr>
      <w:pStyle w:val="Zhlav"/>
      <w:tabs>
        <w:tab w:val="clear" w:pos="4536"/>
        <w:tab w:val="clear" w:pos="9072"/>
        <w:tab w:val="left" w:pos="34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D1C"/>
    <w:multiLevelType w:val="hybridMultilevel"/>
    <w:tmpl w:val="F976D1E6"/>
    <w:lvl w:ilvl="0" w:tplc="5D40C55C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3B015CC"/>
    <w:multiLevelType w:val="hybridMultilevel"/>
    <w:tmpl w:val="C60649E6"/>
    <w:lvl w:ilvl="0" w:tplc="04050013">
      <w:start w:val="1"/>
      <w:numFmt w:val="upperRoman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9B4A69"/>
    <w:multiLevelType w:val="multilevel"/>
    <w:tmpl w:val="AC18840A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B3515A"/>
    <w:multiLevelType w:val="hybridMultilevel"/>
    <w:tmpl w:val="BB2AB042"/>
    <w:lvl w:ilvl="0" w:tplc="C8D06ED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051A9"/>
    <w:multiLevelType w:val="hybridMultilevel"/>
    <w:tmpl w:val="ED2A18C4"/>
    <w:lvl w:ilvl="0" w:tplc="15E0B252">
      <w:start w:val="5"/>
      <w:numFmt w:val="bullet"/>
      <w:lvlText w:val="-"/>
      <w:lvlJc w:val="left"/>
      <w:pPr>
        <w:ind w:left="121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5457634"/>
    <w:multiLevelType w:val="hybridMultilevel"/>
    <w:tmpl w:val="D818CACA"/>
    <w:lvl w:ilvl="0" w:tplc="040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75F7097"/>
    <w:multiLevelType w:val="hybridMultilevel"/>
    <w:tmpl w:val="6742B7B4"/>
    <w:lvl w:ilvl="0" w:tplc="04050013">
      <w:start w:val="1"/>
      <w:numFmt w:val="upperRoman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BE4BFC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0342D"/>
    <w:multiLevelType w:val="hybridMultilevel"/>
    <w:tmpl w:val="82162DF8"/>
    <w:lvl w:ilvl="0" w:tplc="C57252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569D9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49F9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27139"/>
    <w:multiLevelType w:val="multilevel"/>
    <w:tmpl w:val="B934A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F44CF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83EF9"/>
    <w:multiLevelType w:val="multilevel"/>
    <w:tmpl w:val="EB8ABBF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659AC"/>
    <w:multiLevelType w:val="multilevel"/>
    <w:tmpl w:val="70D2AD82"/>
    <w:lvl w:ilvl="0">
      <w:start w:val="1"/>
      <w:numFmt w:val="decimal"/>
      <w:lvlText w:val="(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0277A20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10215"/>
    <w:multiLevelType w:val="multilevel"/>
    <w:tmpl w:val="190AF1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60834"/>
    <w:multiLevelType w:val="multilevel"/>
    <w:tmpl w:val="B29817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23088A"/>
    <w:multiLevelType w:val="hybridMultilevel"/>
    <w:tmpl w:val="F2207834"/>
    <w:lvl w:ilvl="0" w:tplc="E95ABC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535AF"/>
    <w:multiLevelType w:val="multilevel"/>
    <w:tmpl w:val="98662A98"/>
    <w:lvl w:ilvl="0">
      <w:start w:val="1"/>
      <w:numFmt w:val="decimal"/>
      <w:lvlText w:val="(%1)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EC80169"/>
    <w:multiLevelType w:val="hybridMultilevel"/>
    <w:tmpl w:val="970AFDD2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9"/>
  </w:num>
  <w:num w:numId="5">
    <w:abstractNumId w:val="13"/>
  </w:num>
  <w:num w:numId="6">
    <w:abstractNumId w:val="17"/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F4"/>
    <w:rsid w:val="0002786F"/>
    <w:rsid w:val="00055858"/>
    <w:rsid w:val="00055CD5"/>
    <w:rsid w:val="000F1453"/>
    <w:rsid w:val="000F662C"/>
    <w:rsid w:val="00121687"/>
    <w:rsid w:val="00127670"/>
    <w:rsid w:val="0015372C"/>
    <w:rsid w:val="001550D0"/>
    <w:rsid w:val="00173A0A"/>
    <w:rsid w:val="001B642E"/>
    <w:rsid w:val="001D0687"/>
    <w:rsid w:val="001F4E43"/>
    <w:rsid w:val="002842DC"/>
    <w:rsid w:val="0029643D"/>
    <w:rsid w:val="002A6C8B"/>
    <w:rsid w:val="002B3264"/>
    <w:rsid w:val="002E762B"/>
    <w:rsid w:val="0032646C"/>
    <w:rsid w:val="003277DC"/>
    <w:rsid w:val="0039117B"/>
    <w:rsid w:val="003919B3"/>
    <w:rsid w:val="003C7047"/>
    <w:rsid w:val="003C7CCC"/>
    <w:rsid w:val="00412047"/>
    <w:rsid w:val="0041368B"/>
    <w:rsid w:val="00424F40"/>
    <w:rsid w:val="004256E0"/>
    <w:rsid w:val="00496B9D"/>
    <w:rsid w:val="004B3E5C"/>
    <w:rsid w:val="004B7BE4"/>
    <w:rsid w:val="004C03E4"/>
    <w:rsid w:val="005100C9"/>
    <w:rsid w:val="0057139C"/>
    <w:rsid w:val="005F62C9"/>
    <w:rsid w:val="00612C8A"/>
    <w:rsid w:val="006347C2"/>
    <w:rsid w:val="00642203"/>
    <w:rsid w:val="00644AC3"/>
    <w:rsid w:val="006867E4"/>
    <w:rsid w:val="006F017B"/>
    <w:rsid w:val="00734F2D"/>
    <w:rsid w:val="00740177"/>
    <w:rsid w:val="007A2E20"/>
    <w:rsid w:val="007A34F4"/>
    <w:rsid w:val="007A3D47"/>
    <w:rsid w:val="007A3F37"/>
    <w:rsid w:val="007B5163"/>
    <w:rsid w:val="007C01DC"/>
    <w:rsid w:val="007D12E8"/>
    <w:rsid w:val="007D66EC"/>
    <w:rsid w:val="007E3577"/>
    <w:rsid w:val="00805758"/>
    <w:rsid w:val="00820B08"/>
    <w:rsid w:val="0086595A"/>
    <w:rsid w:val="008B2F22"/>
    <w:rsid w:val="008B3453"/>
    <w:rsid w:val="008D04D8"/>
    <w:rsid w:val="0091755B"/>
    <w:rsid w:val="00926279"/>
    <w:rsid w:val="00931167"/>
    <w:rsid w:val="0094097B"/>
    <w:rsid w:val="00961BD6"/>
    <w:rsid w:val="00963037"/>
    <w:rsid w:val="00963EFD"/>
    <w:rsid w:val="0098159F"/>
    <w:rsid w:val="00986F79"/>
    <w:rsid w:val="009D0C18"/>
    <w:rsid w:val="009D7153"/>
    <w:rsid w:val="009E3611"/>
    <w:rsid w:val="009F4E53"/>
    <w:rsid w:val="00A150BE"/>
    <w:rsid w:val="00A26FCB"/>
    <w:rsid w:val="00A3578D"/>
    <w:rsid w:val="00A823B6"/>
    <w:rsid w:val="00A94E5E"/>
    <w:rsid w:val="00B22F82"/>
    <w:rsid w:val="00B26A27"/>
    <w:rsid w:val="00B379A0"/>
    <w:rsid w:val="00B4115B"/>
    <w:rsid w:val="00B42B36"/>
    <w:rsid w:val="00B4418C"/>
    <w:rsid w:val="00B73989"/>
    <w:rsid w:val="00BB553E"/>
    <w:rsid w:val="00BF1A18"/>
    <w:rsid w:val="00C624B7"/>
    <w:rsid w:val="00C73E76"/>
    <w:rsid w:val="00C86F82"/>
    <w:rsid w:val="00CA6075"/>
    <w:rsid w:val="00CF147F"/>
    <w:rsid w:val="00D311A7"/>
    <w:rsid w:val="00D552F3"/>
    <w:rsid w:val="00D562A7"/>
    <w:rsid w:val="00DA6719"/>
    <w:rsid w:val="00DC607D"/>
    <w:rsid w:val="00DE0A52"/>
    <w:rsid w:val="00E465E4"/>
    <w:rsid w:val="00EF0440"/>
    <w:rsid w:val="00F479E1"/>
    <w:rsid w:val="00F56CB1"/>
    <w:rsid w:val="00F87183"/>
    <w:rsid w:val="00FE0393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56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56E0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425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425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Malpsmena">
    <w:name w:val="Základní text (7) + Malá písmena"/>
    <w:basedOn w:val="Zkladntext7"/>
    <w:rsid w:val="004256E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256E0"/>
    <w:pPr>
      <w:shd w:val="clear" w:color="auto" w:fill="FFFFFF"/>
      <w:spacing w:before="600" w:after="240" w:line="277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rsid w:val="004256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4256E0"/>
    <w:pPr>
      <w:shd w:val="clear" w:color="auto" w:fill="FFFFFF"/>
      <w:spacing w:line="220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4256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4256E0"/>
    <w:pPr>
      <w:shd w:val="clear" w:color="auto" w:fill="FFFFFF"/>
      <w:spacing w:before="60"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4256E0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4256E0"/>
    <w:pPr>
      <w:shd w:val="clear" w:color="auto" w:fill="FFFFFF"/>
      <w:spacing w:before="600" w:line="0" w:lineRule="atLeast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4256E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Zkladntext60">
    <w:name w:val="Základní text (6)"/>
    <w:basedOn w:val="Normln"/>
    <w:link w:val="Zkladntext6"/>
    <w:rsid w:val="004256E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4256E0"/>
    <w:pPr>
      <w:shd w:val="clear" w:color="auto" w:fill="FFFFFF"/>
      <w:spacing w:before="660" w:after="240" w:line="169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256E0"/>
    <w:pPr>
      <w:shd w:val="clear" w:color="auto" w:fill="FFFFFF"/>
      <w:spacing w:before="240" w:line="184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4256E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E20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73989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A1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0B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1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0BE"/>
    <w:rPr>
      <w:color w:val="000000"/>
    </w:rPr>
  </w:style>
  <w:style w:type="paragraph" w:styleId="Zkladntext">
    <w:name w:val="Body Text"/>
    <w:basedOn w:val="Normln"/>
    <w:link w:val="ZkladntextChar"/>
    <w:rsid w:val="002B3264"/>
    <w:rPr>
      <w:rFonts w:ascii="TimesEEW" w:eastAsia="Times New Roman" w:hAnsi="TimesEEW" w:cs="Times New Roman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2B3264"/>
    <w:rPr>
      <w:rFonts w:ascii="TimesEEW" w:eastAsia="Times New Roman" w:hAnsi="TimesEEW" w:cs="Times New Roman"/>
      <w:color w:val="00000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56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56E0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425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425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425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Malpsmena">
    <w:name w:val="Základní text (7) + Malá písmena"/>
    <w:basedOn w:val="Zkladntext7"/>
    <w:rsid w:val="004256E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sid w:val="004256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425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256E0"/>
    <w:pPr>
      <w:shd w:val="clear" w:color="auto" w:fill="FFFFFF"/>
      <w:spacing w:before="600" w:after="240" w:line="277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rsid w:val="004256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4256E0"/>
    <w:pPr>
      <w:shd w:val="clear" w:color="auto" w:fill="FFFFFF"/>
      <w:spacing w:line="220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4256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4256E0"/>
    <w:pPr>
      <w:shd w:val="clear" w:color="auto" w:fill="FFFFFF"/>
      <w:spacing w:before="60"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4256E0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4256E0"/>
    <w:pPr>
      <w:shd w:val="clear" w:color="auto" w:fill="FFFFFF"/>
      <w:spacing w:before="600" w:line="0" w:lineRule="atLeast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4256E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Zkladntext60">
    <w:name w:val="Základní text (6)"/>
    <w:basedOn w:val="Normln"/>
    <w:link w:val="Zkladntext6"/>
    <w:rsid w:val="004256E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4256E0"/>
    <w:pPr>
      <w:shd w:val="clear" w:color="auto" w:fill="FFFFFF"/>
      <w:spacing w:before="660" w:after="240" w:line="169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256E0"/>
    <w:pPr>
      <w:shd w:val="clear" w:color="auto" w:fill="FFFFFF"/>
      <w:spacing w:before="240" w:line="184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4256E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E20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73989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A1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0B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1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0BE"/>
    <w:rPr>
      <w:color w:val="000000"/>
    </w:rPr>
  </w:style>
  <w:style w:type="paragraph" w:styleId="Zkladntext">
    <w:name w:val="Body Text"/>
    <w:basedOn w:val="Normln"/>
    <w:link w:val="ZkladntextChar"/>
    <w:rsid w:val="002B3264"/>
    <w:rPr>
      <w:rFonts w:ascii="TimesEEW" w:eastAsia="Times New Roman" w:hAnsi="TimesEEW" w:cs="Times New Roman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2B3264"/>
    <w:rPr>
      <w:rFonts w:ascii="TimesEEW" w:eastAsia="Times New Roman" w:hAnsi="TimesEEW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275E-1F30-45E0-8136-2E06083E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5989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2018-08-28T07:47:00Z</dcterms:created>
  <dcterms:modified xsi:type="dcterms:W3CDTF">2018-08-28T07:47:00Z</dcterms:modified>
</cp:coreProperties>
</file>