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9A" w:rsidRPr="003B3F09" w:rsidRDefault="00D47C9A" w:rsidP="001D4D71">
      <w:pPr>
        <w:jc w:val="right"/>
        <w:rPr>
          <w:rFonts w:asciiTheme="minorHAnsi" w:hAnsiTheme="minorHAnsi"/>
          <w:b/>
          <w:sz w:val="24"/>
          <w:szCs w:val="24"/>
        </w:rPr>
      </w:pPr>
      <w:r w:rsidRPr="003B3F09">
        <w:rPr>
          <w:rFonts w:asciiTheme="minorHAnsi" w:hAnsiTheme="minorHAnsi"/>
          <w:b/>
          <w:sz w:val="24"/>
          <w:szCs w:val="24"/>
        </w:rPr>
        <w:t>Příloha č. 1</w:t>
      </w:r>
    </w:p>
    <w:p w:rsidR="00D47C9A" w:rsidRPr="003B3F09" w:rsidRDefault="00D47C9A" w:rsidP="00D47C9A">
      <w:pPr>
        <w:jc w:val="center"/>
        <w:rPr>
          <w:rFonts w:asciiTheme="minorHAnsi" w:hAnsiTheme="minorHAnsi"/>
          <w:b/>
          <w:sz w:val="24"/>
          <w:szCs w:val="24"/>
        </w:rPr>
      </w:pPr>
      <w:r w:rsidRPr="003B3F09">
        <w:rPr>
          <w:rFonts w:asciiTheme="minorHAnsi" w:hAnsiTheme="minorHAnsi"/>
          <w:b/>
          <w:sz w:val="24"/>
          <w:szCs w:val="24"/>
        </w:rPr>
        <w:t xml:space="preserve">Rozsah a funkčnost díla 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D47C9A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3B3F09">
        <w:rPr>
          <w:rFonts w:asciiTheme="minorHAnsi" w:hAnsiTheme="minorHAnsi"/>
          <w:b/>
          <w:sz w:val="24"/>
          <w:szCs w:val="24"/>
        </w:rPr>
        <w:t>Úvod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1D4D71" w:rsidRDefault="00D47C9A" w:rsidP="00D47C9A">
      <w:pPr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 xml:space="preserve">Tento dokument navazuje na dokument METODIKA ZAVEDENÍ IDS JK A ROZÚČTOVÁNÍ TRŽEB Z PŘESTUPNÍCH JÍZDNÍCH DOKLADŮ (dále jen Metodika), který byl zpracován na začátku roku 2016 společnostmi M-line a.s. a B&amp;C Dopravní systémy s.r.o. a </w:t>
      </w:r>
      <w:r w:rsidR="001D4D71">
        <w:rPr>
          <w:rFonts w:asciiTheme="minorHAnsi" w:hAnsiTheme="minorHAnsi"/>
          <w:sz w:val="24"/>
          <w:szCs w:val="24"/>
        </w:rPr>
        <w:t>je součástí „Smlouvy o dílo“ – příloha č. 1.</w:t>
      </w:r>
    </w:p>
    <w:p w:rsidR="001D4D71" w:rsidRDefault="001D4D71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1D4D71">
      <w:pPr>
        <w:jc w:val="both"/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Tento dokument navrhuje principy činnosti software pro rozúčtování tržeb mezi dopravci (clearingu)</w:t>
      </w:r>
      <w:r w:rsidR="00D71CE0">
        <w:rPr>
          <w:rFonts w:asciiTheme="minorHAnsi" w:hAnsiTheme="minorHAnsi"/>
          <w:sz w:val="24"/>
          <w:szCs w:val="24"/>
        </w:rPr>
        <w:t>, kteří jsou dále vyjmenováni</w:t>
      </w:r>
      <w:r w:rsidRPr="003B3F09">
        <w:rPr>
          <w:rFonts w:asciiTheme="minorHAnsi" w:hAnsiTheme="minorHAnsi"/>
          <w:sz w:val="24"/>
          <w:szCs w:val="24"/>
        </w:rPr>
        <w:t>. Jedná se o řešení plně vyhovující metodice po dobu pilotního provozu IDS JK, tj. v rozsahu odpovídajícím etapě 1a dle metodiky – tato etapa zahrnuje pouze papírové časové jízdenky, které by se prodávaly pouze v síti předprodejních kanceláří. Ve vozidlech by řidiči/průvodčí/revizoři prováděli pouze kontrolu časové a zónové platnosti jízdních dokladů.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D47C9A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3B3F09">
        <w:rPr>
          <w:rFonts w:asciiTheme="minorHAnsi" w:hAnsiTheme="minorHAnsi"/>
          <w:b/>
          <w:sz w:val="24"/>
          <w:szCs w:val="24"/>
        </w:rPr>
        <w:t>SW a HW specifikace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D47C9A">
      <w:pPr>
        <w:pStyle w:val="Odstavecseseznamem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Software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1D4D71">
      <w:pPr>
        <w:jc w:val="both"/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 xml:space="preserve">Software pro zúčtování tržeb (clearing / zúčtovací centrum) mezi dopravci je naprogramován v jazyku </w:t>
      </w:r>
      <w:proofErr w:type="spellStart"/>
      <w:r w:rsidRPr="003B3F09">
        <w:rPr>
          <w:rFonts w:asciiTheme="minorHAnsi" w:hAnsiTheme="minorHAnsi"/>
          <w:sz w:val="24"/>
          <w:szCs w:val="24"/>
        </w:rPr>
        <w:t>Caché</w:t>
      </w:r>
      <w:proofErr w:type="spellEnd"/>
      <w:r w:rsidRPr="003B3F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B3F09">
        <w:rPr>
          <w:rFonts w:asciiTheme="minorHAnsi" w:hAnsiTheme="minorHAnsi"/>
          <w:sz w:val="24"/>
          <w:szCs w:val="24"/>
        </w:rPr>
        <w:t>Object</w:t>
      </w:r>
      <w:proofErr w:type="spellEnd"/>
      <w:r w:rsidRPr="003B3F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B3F09">
        <w:rPr>
          <w:rFonts w:asciiTheme="minorHAnsi" w:hAnsiTheme="minorHAnsi"/>
          <w:sz w:val="24"/>
          <w:szCs w:val="24"/>
        </w:rPr>
        <w:t>Script</w:t>
      </w:r>
      <w:proofErr w:type="spellEnd"/>
      <w:r w:rsidRPr="003B3F09">
        <w:rPr>
          <w:rFonts w:asciiTheme="minorHAnsi" w:hAnsiTheme="minorHAnsi"/>
          <w:sz w:val="24"/>
          <w:szCs w:val="24"/>
        </w:rPr>
        <w:t xml:space="preserve">, který je součástí databáze </w:t>
      </w:r>
      <w:proofErr w:type="spellStart"/>
      <w:r w:rsidRPr="003B3F09">
        <w:rPr>
          <w:rFonts w:asciiTheme="minorHAnsi" w:hAnsiTheme="minorHAnsi"/>
          <w:sz w:val="24"/>
          <w:szCs w:val="24"/>
        </w:rPr>
        <w:t>InterSystems</w:t>
      </w:r>
      <w:proofErr w:type="spellEnd"/>
      <w:r w:rsidRPr="003B3F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B3F09">
        <w:rPr>
          <w:rFonts w:asciiTheme="minorHAnsi" w:hAnsiTheme="minorHAnsi"/>
          <w:sz w:val="24"/>
          <w:szCs w:val="24"/>
        </w:rPr>
        <w:t>Caché</w:t>
      </w:r>
      <w:proofErr w:type="spellEnd"/>
      <w:r w:rsidRPr="003B3F09">
        <w:rPr>
          <w:rFonts w:asciiTheme="minorHAnsi" w:hAnsiTheme="minorHAnsi"/>
          <w:sz w:val="24"/>
          <w:szCs w:val="24"/>
        </w:rPr>
        <w:t xml:space="preserve">. </w:t>
      </w:r>
    </w:p>
    <w:p w:rsidR="00D47C9A" w:rsidRPr="003B3F09" w:rsidRDefault="00D47C9A" w:rsidP="001D4D71">
      <w:pPr>
        <w:jc w:val="both"/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 xml:space="preserve">Pro uložení dat a skriptů je použita databáze </w:t>
      </w:r>
      <w:proofErr w:type="spellStart"/>
      <w:r w:rsidRPr="003B3F09">
        <w:rPr>
          <w:rFonts w:asciiTheme="minorHAnsi" w:hAnsiTheme="minorHAnsi"/>
          <w:sz w:val="24"/>
          <w:szCs w:val="24"/>
        </w:rPr>
        <w:t>InterSystems</w:t>
      </w:r>
      <w:proofErr w:type="spellEnd"/>
      <w:r w:rsidRPr="003B3F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B3F09">
        <w:rPr>
          <w:rFonts w:asciiTheme="minorHAnsi" w:hAnsiTheme="minorHAnsi"/>
          <w:sz w:val="24"/>
          <w:szCs w:val="24"/>
        </w:rPr>
        <w:t>Caché</w:t>
      </w:r>
      <w:proofErr w:type="spellEnd"/>
      <w:r w:rsidRPr="003B3F09">
        <w:rPr>
          <w:rFonts w:asciiTheme="minorHAnsi" w:hAnsiTheme="minorHAnsi"/>
          <w:sz w:val="24"/>
          <w:szCs w:val="24"/>
        </w:rPr>
        <w:t xml:space="preserve"> s licencí pro jednoho uživatele na platformě OS 64bit MS Windows. 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D47C9A">
      <w:pPr>
        <w:pStyle w:val="Odstavecseseznamem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Hardware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1D4D71">
      <w:pPr>
        <w:jc w:val="both"/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Hardware pro běh software viz bod 2.1 je kompatibilní s OS MS Windows 10, MS Windows Server 2008 R2, max. 16 procesorových jader, min. 4GB operační paměti, min. 200GB volného místa na disku.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D47C9A">
      <w:pPr>
        <w:pStyle w:val="Odstavecseseznamem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Ostatní software a konfigurace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1D4D71">
      <w:pPr>
        <w:jc w:val="both"/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Pro výměnu dat mezi dopravcem a zúčtovacím centrem je dostupný FTP server na serveru, kde běží software zúčtovacího centra. FTP server má nastavené přístupy pro konkrétní uživatele, tj. dopravce pro poskytnutí dat a organizátora pro výstupy ze zúčtování.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D47C9A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3B3F09">
        <w:rPr>
          <w:rFonts w:asciiTheme="minorHAnsi" w:hAnsiTheme="minorHAnsi"/>
          <w:b/>
          <w:sz w:val="24"/>
          <w:szCs w:val="24"/>
        </w:rPr>
        <w:t>Vstupní data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Data budou předávána 1 x měsíčně nejdéle do </w:t>
      </w:r>
      <w:r w:rsidR="001D4D71">
        <w:rPr>
          <w:rFonts w:asciiTheme="minorHAnsi" w:eastAsiaTheme="majorEastAsia" w:hAnsiTheme="minorHAnsi"/>
          <w:sz w:val="24"/>
          <w:szCs w:val="24"/>
        </w:rPr>
        <w:t>10</w:t>
      </w:r>
      <w:r w:rsidRPr="003B3F09">
        <w:rPr>
          <w:rFonts w:asciiTheme="minorHAnsi" w:eastAsiaTheme="majorEastAsia" w:hAnsiTheme="minorHAnsi"/>
          <w:sz w:val="24"/>
          <w:szCs w:val="24"/>
        </w:rPr>
        <w:t>. dne následujícího měsíce.</w:t>
      </w:r>
      <w:r w:rsidR="001D4D71"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3B3F09">
        <w:rPr>
          <w:rFonts w:asciiTheme="minorHAnsi" w:eastAsiaTheme="majorEastAsia" w:hAnsiTheme="minorHAnsi"/>
          <w:sz w:val="24"/>
          <w:szCs w:val="24"/>
        </w:rPr>
        <w:t>Data budou nahrána na FTP server zúčtovacího centra do předepsaných adresářů.</w:t>
      </w:r>
      <w:r w:rsidR="001D4D71"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3B3F09">
        <w:rPr>
          <w:rFonts w:asciiTheme="minorHAnsi" w:eastAsiaTheme="majorEastAsia" w:hAnsiTheme="minorHAnsi"/>
          <w:sz w:val="24"/>
          <w:szCs w:val="24"/>
        </w:rPr>
        <w:t>SW pro nahrávání na FTP server si každý účastník zúčtování zajistí sám.</w:t>
      </w:r>
      <w:r w:rsidR="001D4D71"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3B3F09">
        <w:rPr>
          <w:rFonts w:asciiTheme="minorHAnsi" w:eastAsiaTheme="majorEastAsia" w:hAnsiTheme="minorHAnsi"/>
          <w:sz w:val="24"/>
          <w:szCs w:val="24"/>
        </w:rPr>
        <w:t>Přístupové údaje bude vydávat provozovatel clearingu na základě požadavků koordinátora.</w:t>
      </w:r>
    </w:p>
    <w:p w:rsidR="00D47C9A" w:rsidRDefault="00D47C9A" w:rsidP="00D47C9A">
      <w:pPr>
        <w:rPr>
          <w:rFonts w:asciiTheme="minorHAnsi" w:hAnsiTheme="minorHAnsi"/>
          <w:sz w:val="24"/>
          <w:szCs w:val="24"/>
        </w:rPr>
      </w:pPr>
    </w:p>
    <w:p w:rsidR="001D4D71" w:rsidRDefault="001D4D71" w:rsidP="00D47C9A">
      <w:pPr>
        <w:rPr>
          <w:rFonts w:asciiTheme="minorHAnsi" w:hAnsiTheme="minorHAnsi"/>
          <w:sz w:val="24"/>
          <w:szCs w:val="24"/>
        </w:rPr>
      </w:pPr>
    </w:p>
    <w:p w:rsidR="001D4D71" w:rsidRPr="003B3F09" w:rsidRDefault="001D4D71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D47C9A">
      <w:pPr>
        <w:pStyle w:val="Odstavecseseznamem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lastRenderedPageBreak/>
        <w:t>Příprava dat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Žádný z účastníků nemá odbavovací zařízení a </w:t>
      </w:r>
      <w:proofErr w:type="spellStart"/>
      <w:r w:rsidRPr="003B3F09">
        <w:rPr>
          <w:rFonts w:asciiTheme="minorHAnsi" w:eastAsiaTheme="majorEastAsia" w:hAnsiTheme="minorHAnsi"/>
          <w:sz w:val="24"/>
          <w:szCs w:val="24"/>
        </w:rPr>
        <w:t>backoffice</w:t>
      </w:r>
      <w:proofErr w:type="spellEnd"/>
      <w:r w:rsidRPr="003B3F09">
        <w:rPr>
          <w:rFonts w:asciiTheme="minorHAnsi" w:eastAsiaTheme="majorEastAsia" w:hAnsiTheme="minorHAnsi"/>
          <w:sz w:val="24"/>
          <w:szCs w:val="24"/>
        </w:rPr>
        <w:t xml:space="preserve"> přípraven na IDS JK a formát výstupní věty navržený v metodice. S ohledem na tuto skutečnost objednatel zajistí,  aby dopravci do stávajících odbavovacích zařízení doplnili jízdenku s číslem tarifu 43 (číslo navrženo dle metodiky, objednatel může rozhodnout i o jiném). Tato jízdenka bude mít nulovou cenu. Není nutno ji cestujícímu tisknout. Taková jízdenka bude vydána každému cestujícímu, který pojede s </w:t>
      </w:r>
      <w:proofErr w:type="spellStart"/>
      <w:r w:rsidRPr="003B3F09">
        <w:rPr>
          <w:rFonts w:asciiTheme="minorHAnsi" w:eastAsiaTheme="majorEastAsia" w:hAnsiTheme="minorHAnsi"/>
          <w:sz w:val="24"/>
          <w:szCs w:val="24"/>
        </w:rPr>
        <w:t>jednozónovým</w:t>
      </w:r>
      <w:proofErr w:type="spellEnd"/>
      <w:r w:rsidRPr="003B3F09">
        <w:rPr>
          <w:rFonts w:asciiTheme="minorHAnsi" w:eastAsiaTheme="majorEastAsia" w:hAnsiTheme="minorHAnsi"/>
          <w:sz w:val="24"/>
          <w:szCs w:val="24"/>
        </w:rPr>
        <w:t xml:space="preserve"> kupónem MHD ve VLD nebo ve vlaku.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1D4D71" w:rsidRDefault="00D47C9A" w:rsidP="00D47C9A">
      <w:pPr>
        <w:pStyle w:val="Odstavecseseznamem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Formát vstupních dat</w:t>
      </w:r>
    </w:p>
    <w:p w:rsidR="00D47C9A" w:rsidRPr="003B3F09" w:rsidRDefault="00D47C9A" w:rsidP="00D47C9A">
      <w:pPr>
        <w:pStyle w:val="Odstavecseseznamem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GW BUS a.s.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Soubor vstupních dat lze vyexportovat z obslužného softwaru pro odbavovací zařízení na výdej jízdenek USV 24C (bez nároků na úpravy SW dopravců).</w:t>
      </w:r>
    </w:p>
    <w:p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Formát dat bude CSV – záznamově orientovaný formát dat s oddělovači (pole oddělena čárkou, záznamy odděleny středníkem a CRLF). Všechny údaje jsou uvedeny v textovém tvaru (textová pole uzavřená ve znacích uvozovky nahoře). Uvozovky uvnitř textu není třeba zdvojovat. </w:t>
      </w:r>
    </w:p>
    <w:p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Soubor se bude jmenovat listky.csv</w:t>
      </w:r>
    </w:p>
    <w:p w:rsidR="00D47C9A" w:rsidRPr="003B3F09" w:rsidRDefault="00D47C9A" w:rsidP="00D47C9A">
      <w:pPr>
        <w:rPr>
          <w:rFonts w:asciiTheme="minorHAnsi" w:eastAsiaTheme="majorEastAsia" w:hAnsiTheme="minorHAnsi"/>
          <w:sz w:val="24"/>
          <w:szCs w:val="24"/>
        </w:rPr>
      </w:pPr>
    </w:p>
    <w:p w:rsidR="00D47C9A" w:rsidRPr="003B3F09" w:rsidRDefault="00D47C9A" w:rsidP="00D47C9A">
      <w:pPr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Popis souboru:</w:t>
      </w:r>
    </w:p>
    <w:tbl>
      <w:tblPr>
        <w:tblpPr w:leftFromText="181" w:rightFromText="181" w:bottomFromText="160" w:vertAnchor="text" w:tblpXSpec="right" w:tblpY="1"/>
        <w:tblW w:w="9210" w:type="dxa"/>
        <w:tblLayout w:type="fixed"/>
        <w:tblLook w:val="04A0" w:firstRow="1" w:lastRow="0" w:firstColumn="1" w:lastColumn="0" w:noHBand="0" w:noVBand="1"/>
      </w:tblPr>
      <w:tblGrid>
        <w:gridCol w:w="2337"/>
        <w:gridCol w:w="5291"/>
        <w:gridCol w:w="1582"/>
      </w:tblGrid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3" w:lineRule="exact"/>
              <w:ind w:left="70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bookmarkStart w:id="0" w:name="1"/>
            <w:bookmarkEnd w:id="0"/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název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5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pole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3" w:lineRule="exact"/>
              <w:ind w:left="70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charakter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a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popis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pole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3" w:lineRule="exact"/>
              <w:ind w:left="71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4"/>
                <w:w w:val="95"/>
                <w:sz w:val="24"/>
                <w:szCs w:val="24"/>
                <w:lang w:eastAsia="en-US"/>
              </w:rPr>
              <w:t>typ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9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v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6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4"/>
                <w:w w:val="95"/>
                <w:sz w:val="24"/>
                <w:szCs w:val="24"/>
                <w:lang w:eastAsia="en-US"/>
              </w:rPr>
              <w:t>DB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Číslo řidiče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Číslo strojku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Číslo odpočtu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Číslo jízdenky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(11)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Stornování jízdenky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povinná textová hodnota z množiny {True, False}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Boolean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Datum výdeje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datum (DDMMRR)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(6)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Čas výdeje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povinný čas (HHMMSS)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(6)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Linka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linky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Spoj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spoje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Zkratka tarifu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označení tarifu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(3)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ID zastávky od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číslo, pokud lze zastávku určit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ID zastávky do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číslo, pokud lze zastávku určit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Tar. čís. zastávky od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číslo, pokud je lze určit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Tar. čís. zastávky do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číslo, pokud je lze určit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Tarifní kilometry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v případě kilometrického tarifu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(4)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Počet zón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v případě zónového tarifu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(5)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Zóny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povinný text v případě, že se jedná o zónovou jízdenku</w:t>
            </w:r>
          </w:p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určenou pro konkrétní zóny – výčet oddělený čárkami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(96)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IDS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dle číselníku IDS, pokud se jedná o IDS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(5)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Cena vydaného lístku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reálné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(15,2)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Cena obyčejného lístku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reálné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(15,2)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Měna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označení měny – Kč, Sk nebo mezinárodní</w:t>
            </w:r>
          </w:p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zkratka (CZK, SVK, EUR, USD atd.)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(3)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Typ platby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z číselníku typu platby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(5)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Platnost od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datum (DDMMRR)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(6)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Platnost do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datum (DDMMRR)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(6)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Dialog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nepovinný text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(255)</w:t>
            </w:r>
          </w:p>
        </w:tc>
      </w:tr>
      <w:tr w:rsidR="00D47C9A" w:rsidRPr="003B3F09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Ruční vstup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</w:t>
            </w:r>
          </w:p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pokud je &gt; 0 záznam vložen ručním vstupem dat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(5)</w:t>
            </w:r>
          </w:p>
        </w:tc>
      </w:tr>
    </w:tbl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D47C9A">
      <w:pPr>
        <w:pStyle w:val="Odstavecseseznamem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ČSAD AUTOBUSY České Budějovice a.s.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Soubor lze vyexportovat z obslužného softwaru pro odbavovací zařízení </w:t>
      </w:r>
      <w:proofErr w:type="spellStart"/>
      <w:r w:rsidRPr="003B3F09">
        <w:rPr>
          <w:rFonts w:asciiTheme="minorHAnsi" w:eastAsiaTheme="majorEastAsia" w:hAnsiTheme="minorHAnsi"/>
          <w:sz w:val="24"/>
          <w:szCs w:val="24"/>
        </w:rPr>
        <w:t>WinAD</w:t>
      </w:r>
      <w:proofErr w:type="spellEnd"/>
      <w:r w:rsidRPr="003B3F09">
        <w:rPr>
          <w:rFonts w:asciiTheme="minorHAnsi" w:eastAsiaTheme="majorEastAsia" w:hAnsiTheme="minorHAnsi"/>
          <w:sz w:val="24"/>
          <w:szCs w:val="24"/>
        </w:rPr>
        <w:t xml:space="preserve"> (bez nutnosti úpravy SW).</w:t>
      </w:r>
    </w:p>
    <w:p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Formát dat: CSV – záznamově orientovaný formát dat s oddělovači (pole oddělena čárkou, záznamy odděleny středníkem a CRLF). Všechny údaje jsou uvedeny v textovém tvaru (textová pole uzavřená ve znacích uvozovky nahoře). Uvozovky uvnitř textu není třeba zdvojovat.</w:t>
      </w:r>
    </w:p>
    <w:p w:rsidR="00D47C9A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Soubor se bude jmenovat listky.csv</w:t>
      </w:r>
    </w:p>
    <w:p w:rsidR="00A62E88" w:rsidRPr="003B3F09" w:rsidRDefault="00A62E88" w:rsidP="00D47C9A">
      <w:pPr>
        <w:rPr>
          <w:rFonts w:asciiTheme="minorHAnsi" w:eastAsiaTheme="majorEastAsia" w:hAnsiTheme="minorHAnsi"/>
          <w:sz w:val="24"/>
          <w:szCs w:val="24"/>
        </w:rPr>
      </w:pPr>
    </w:p>
    <w:p w:rsidR="00D47C9A" w:rsidRPr="003B3F09" w:rsidRDefault="00A62E88" w:rsidP="00D47C9A">
      <w:pPr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Popis souboru:</w:t>
      </w:r>
    </w:p>
    <w:p w:rsidR="00D47C9A" w:rsidRPr="003B3F09" w:rsidRDefault="00D47C9A" w:rsidP="00D47C9A">
      <w:pPr>
        <w:rPr>
          <w:rFonts w:asciiTheme="minorHAnsi" w:eastAsiaTheme="majorEastAsia" w:hAnsiTheme="minorHAnsi"/>
          <w:sz w:val="24"/>
          <w:szCs w:val="24"/>
        </w:rPr>
      </w:pPr>
    </w:p>
    <w:tbl>
      <w:tblPr>
        <w:tblpPr w:leftFromText="181" w:rightFromText="181" w:bottomFromText="160" w:vertAnchor="text" w:tblpXSpec="right" w:tblpY="1"/>
        <w:tblW w:w="9210" w:type="dxa"/>
        <w:tblLayout w:type="fixed"/>
        <w:tblLook w:val="04A0" w:firstRow="1" w:lastRow="0" w:firstColumn="1" w:lastColumn="0" w:noHBand="0" w:noVBand="1"/>
      </w:tblPr>
      <w:tblGrid>
        <w:gridCol w:w="2337"/>
        <w:gridCol w:w="5291"/>
        <w:gridCol w:w="1582"/>
      </w:tblGrid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3" w:lineRule="exact"/>
              <w:ind w:left="70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název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5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pole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3" w:lineRule="exact"/>
              <w:ind w:left="70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charakter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a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popis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pole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3" w:lineRule="exact"/>
              <w:ind w:left="71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4"/>
                <w:w w:val="95"/>
                <w:sz w:val="24"/>
                <w:szCs w:val="24"/>
                <w:lang w:eastAsia="en-US"/>
              </w:rPr>
              <w:t>typ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9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v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6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4"/>
                <w:w w:val="95"/>
                <w:sz w:val="24"/>
                <w:szCs w:val="24"/>
                <w:lang w:eastAsia="en-US"/>
              </w:rPr>
              <w:t>DB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2"/>
                <w:sz w:val="24"/>
                <w:szCs w:val="24"/>
                <w:lang w:eastAsia="en-US"/>
              </w:rPr>
              <w:t>íslo</w:t>
            </w:r>
            <w:r w:rsidRPr="003B3F09">
              <w:rPr>
                <w:rFonts w:asciiTheme="minorHAnsi" w:eastAsiaTheme="majorEastAsia" w:hAnsiTheme="minorHAnsi" w:cs="Calibri"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2"/>
                <w:sz w:val="24"/>
                <w:szCs w:val="24"/>
                <w:lang w:eastAsia="en-US"/>
              </w:rPr>
              <w:t>ř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3"/>
                <w:sz w:val="24"/>
                <w:szCs w:val="24"/>
                <w:lang w:eastAsia="en-US"/>
              </w:rPr>
              <w:t>idiče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2"/>
                <w:sz w:val="24"/>
                <w:szCs w:val="24"/>
                <w:lang w:eastAsia="en-US"/>
              </w:rPr>
              <w:t>-</w:t>
            </w:r>
            <w:r w:rsidRPr="003B3F09">
              <w:rPr>
                <w:rFonts w:asciiTheme="minorHAnsi" w:eastAsiaTheme="majorEastAsia" w:hAnsiTheme="minorHAnsi" w:cs="Calibri"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3"/>
                <w:sz w:val="24"/>
                <w:szCs w:val="24"/>
                <w:lang w:eastAsia="en-US"/>
              </w:rPr>
              <w:t>povinné</w:t>
            </w:r>
            <w:r w:rsidRPr="003B3F09">
              <w:rPr>
                <w:rFonts w:asciiTheme="minorHAnsi" w:eastAsiaTheme="majorEastAsia" w:hAnsiTheme="minorHAnsi" w:cs="Calibri"/>
                <w:noProof/>
                <w:color w:val="000000"/>
                <w:spacing w:val="6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3"/>
                <w:sz w:val="24"/>
                <w:szCs w:val="24"/>
                <w:lang w:eastAsia="en-US"/>
              </w:rPr>
              <w:t>č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2"/>
                <w:sz w:val="24"/>
                <w:szCs w:val="24"/>
                <w:lang w:eastAsia="en-US"/>
              </w:rPr>
              <w:t>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1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</w:t>
            </w:r>
            <w:r w:rsidRPr="003B3F09">
              <w:rPr>
                <w:rFonts w:asciiTheme="minorHAnsi" w:eastAsiaTheme="majorEastAsia" w:hAnsiTheme="minorHAnsi" w:cs="Calibri"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3"/>
                <w:sz w:val="24"/>
                <w:szCs w:val="24"/>
                <w:lang w:eastAsia="en-US"/>
              </w:rPr>
              <w:t>(5)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Číslo strojku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(7)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Číslo odpočtu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(4)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Číslo jízdenky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(7)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Stornování jízdenky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stornované jízdenky</w:t>
            </w:r>
          </w:p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vyplňuje se jen v případě, že se jedná o storno záznam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(7)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Datum výdeje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datum (DDMMRR)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(6)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Čas výdeje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povinný čas (HHMMSS)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(6)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Počet osob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(3)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Linka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linky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(6)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Spoj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spoje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(6)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Zkratka tarifu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označení tarifu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(3)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ID zastávky od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, pokud lze zastávku určit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ID zastávky do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, pokud lze zastávku určit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Tarifní kilometry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v případě kilometrického tarifu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(4)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Počet zón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v případě zónového tarifu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(5)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Zóny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povinný text v případě, že se jedná o zónovou jízdenku</w:t>
            </w:r>
          </w:p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určenou pro konkrétní zóny – výčet oddělený čárkami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(96)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IDS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dle číselníku IDS, pokud se jedná o IDS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(5)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Cena vydaného lístku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reálné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(6,2)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Cena obyčejného lístku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reálné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(6,2)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Měna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označení měny – Kč, Sk nebo mezinárodní</w:t>
            </w:r>
          </w:p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zkratka (CZK, SVK, EUR, USD atd.)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(3)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Typ platby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povinný znak z množiny {‘H’, ‘C’, ‘B’}</w:t>
            </w:r>
          </w:p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H – platba hotově, C – platba čipovou kartou,</w:t>
            </w:r>
          </w:p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B – platba bankovní kartou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Char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Platnost od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datum (DDMMRR)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(6)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Platnost do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datum (DDMMRR)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(6)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Dialog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nepovinný text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(255)</w:t>
            </w:r>
          </w:p>
        </w:tc>
      </w:tr>
      <w:tr w:rsidR="00D47C9A" w:rsidRPr="003B3F09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Ruční vstup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nepovinné číslo</w:t>
            </w:r>
          </w:p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pokud je &gt; 0 záznam vložen ručním vstupem dat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(5)</w:t>
            </w:r>
          </w:p>
        </w:tc>
      </w:tr>
    </w:tbl>
    <w:p w:rsidR="001D4D71" w:rsidRPr="001D4D71" w:rsidRDefault="001D4D71" w:rsidP="001D4D71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D47C9A">
      <w:pPr>
        <w:pStyle w:val="Odstavecseseznamem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lastRenderedPageBreak/>
        <w:t>České dráhy a.s.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Ze systémů ČD bude vyexportován soubor ve formátu CSV – záznamově orientovaný formát dat s oddělovači (pole oddělena čárkou, záznamy odděleny středníkem a CRLF). Všechny údaje jsou uvedeny v textovém tvaru (textová pole uzavřená ve znacích uvozovky nahoře). Uvozovky uvnitř textu není třeba zdvojovat.</w:t>
      </w:r>
    </w:p>
    <w:p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Soubor se bude jmenovat listky.csv</w:t>
      </w:r>
    </w:p>
    <w:p w:rsidR="00D47C9A" w:rsidRPr="003B3F09" w:rsidRDefault="00D47C9A" w:rsidP="00D47C9A">
      <w:pPr>
        <w:rPr>
          <w:rFonts w:asciiTheme="minorHAnsi" w:eastAsiaTheme="majorEastAsia" w:hAnsiTheme="minorHAnsi"/>
          <w:sz w:val="24"/>
          <w:szCs w:val="24"/>
        </w:rPr>
      </w:pPr>
    </w:p>
    <w:p w:rsidR="00D47C9A" w:rsidRPr="003B3F09" w:rsidRDefault="00D47C9A" w:rsidP="00D47C9A">
      <w:pPr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Popis souboru:</w:t>
      </w:r>
    </w:p>
    <w:tbl>
      <w:tblPr>
        <w:tblpPr w:leftFromText="181" w:rightFromText="181" w:bottomFromText="160" w:vertAnchor="text" w:horzAnchor="margin" w:tblpY="1"/>
        <w:tblW w:w="9255" w:type="dxa"/>
        <w:tblLayout w:type="fixed"/>
        <w:tblLook w:val="04A0" w:firstRow="1" w:lastRow="0" w:firstColumn="1" w:lastColumn="0" w:noHBand="0" w:noVBand="1"/>
      </w:tblPr>
      <w:tblGrid>
        <w:gridCol w:w="2349"/>
        <w:gridCol w:w="5316"/>
        <w:gridCol w:w="1590"/>
      </w:tblGrid>
      <w:tr w:rsidR="00D47C9A" w:rsidRPr="003B3F09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3" w:lineRule="exact"/>
              <w:ind w:left="70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název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5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pole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3" w:lineRule="exact"/>
              <w:ind w:left="70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charakter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a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popis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pole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3" w:lineRule="exact"/>
              <w:ind w:left="71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4"/>
                <w:w w:val="95"/>
                <w:sz w:val="24"/>
                <w:szCs w:val="24"/>
                <w:lang w:eastAsia="en-US"/>
              </w:rPr>
              <w:t>typ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9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v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6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4"/>
                <w:w w:val="95"/>
                <w:sz w:val="24"/>
                <w:szCs w:val="24"/>
                <w:lang w:eastAsia="en-US"/>
              </w:rPr>
              <w:t>DB</w:t>
            </w:r>
          </w:p>
        </w:tc>
      </w:tr>
      <w:tr w:rsidR="00D47C9A" w:rsidRPr="003B3F09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2"/>
                <w:sz w:val="24"/>
                <w:szCs w:val="24"/>
                <w:lang w:eastAsia="en-US"/>
              </w:rPr>
              <w:t>íslo</w:t>
            </w:r>
            <w:r w:rsidRPr="003B3F09">
              <w:rPr>
                <w:rFonts w:asciiTheme="minorHAnsi" w:eastAsiaTheme="majorEastAsia" w:hAnsiTheme="minorHAnsi" w:cs="Calibri"/>
                <w:noProof/>
                <w:color w:val="000000"/>
                <w:spacing w:val="6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3"/>
                <w:sz w:val="24"/>
                <w:szCs w:val="24"/>
                <w:lang w:eastAsia="en-US"/>
              </w:rPr>
              <w:t>strojku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69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2"/>
                <w:sz w:val="24"/>
                <w:szCs w:val="24"/>
                <w:lang w:eastAsia="en-US"/>
              </w:rPr>
              <w:t>-</w:t>
            </w:r>
            <w:r w:rsidRPr="003B3F09">
              <w:rPr>
                <w:rFonts w:asciiTheme="minorHAnsi" w:eastAsiaTheme="majorEastAsia" w:hAnsiTheme="minorHAnsi" w:cs="Calibri"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3"/>
                <w:sz w:val="24"/>
                <w:szCs w:val="24"/>
                <w:lang w:eastAsia="en-US"/>
              </w:rPr>
              <w:t>povinné</w:t>
            </w:r>
            <w:r w:rsidRPr="003B3F09">
              <w:rPr>
                <w:rFonts w:asciiTheme="minorHAnsi" w:eastAsiaTheme="majorEastAsia" w:hAnsiTheme="minorHAnsi" w:cs="Calibri"/>
                <w:noProof/>
                <w:color w:val="000000"/>
                <w:spacing w:val="6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3"/>
                <w:sz w:val="24"/>
                <w:szCs w:val="24"/>
                <w:lang w:eastAsia="en-US"/>
              </w:rPr>
              <w:t>č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2"/>
                <w:sz w:val="24"/>
                <w:szCs w:val="24"/>
                <w:lang w:eastAsia="en-US"/>
              </w:rPr>
              <w:t>íslo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1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</w:t>
            </w:r>
            <w:r w:rsidRPr="003B3F09">
              <w:rPr>
                <w:rFonts w:asciiTheme="minorHAnsi" w:eastAsiaTheme="majorEastAsia" w:hAnsiTheme="minorHAnsi" w:cs="Calibri"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3"/>
                <w:sz w:val="24"/>
                <w:szCs w:val="24"/>
                <w:lang w:eastAsia="en-US"/>
              </w:rPr>
              <w:t>(7)</w:t>
            </w:r>
          </w:p>
        </w:tc>
      </w:tr>
      <w:tr w:rsidR="00D47C9A" w:rsidRPr="003B3F09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Číslo odpočtu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1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(4)</w:t>
            </w:r>
          </w:p>
        </w:tc>
      </w:tr>
      <w:tr w:rsidR="00D47C9A" w:rsidRPr="003B3F09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Číslo jízdenky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1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1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(7)</w:t>
            </w:r>
          </w:p>
        </w:tc>
      </w:tr>
      <w:tr w:rsidR="00D47C9A" w:rsidRPr="003B3F09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Stornování jízdenky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povinná textová hodnota z množiny {True, False}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Boolean</w:t>
            </w:r>
          </w:p>
        </w:tc>
      </w:tr>
      <w:tr w:rsidR="00D47C9A" w:rsidRPr="003B3F09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Datum výdeje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datum (DDMMRR)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(6)</w:t>
            </w:r>
          </w:p>
        </w:tc>
      </w:tr>
      <w:tr w:rsidR="00D47C9A" w:rsidRPr="003B3F09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Čas výdeje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69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povinný čas (HHMMSS)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(6)</w:t>
            </w:r>
          </w:p>
        </w:tc>
      </w:tr>
      <w:tr w:rsidR="00D47C9A" w:rsidRPr="003B3F09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Spoj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spoje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69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Zkratka tarifu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označení tarifu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69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(3)</w:t>
            </w:r>
          </w:p>
        </w:tc>
      </w:tr>
      <w:tr w:rsidR="00D47C9A" w:rsidRPr="003B3F09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ID zastávky od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, pokud lze zastávku určit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69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ID zastávky do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, pokud lze zastávku určit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69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IDS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dle číselníku IDS, pokud se jedná o IDS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A" w:rsidRPr="003B3F09" w:rsidRDefault="00D47C9A" w:rsidP="00A2285C">
            <w:pPr>
              <w:spacing w:line="232" w:lineRule="exact"/>
              <w:ind w:left="69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(5)</w:t>
            </w:r>
          </w:p>
        </w:tc>
      </w:tr>
    </w:tbl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D47C9A">
      <w:pPr>
        <w:pStyle w:val="Odstavecseseznamem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Dopravní podnik města České Budějovice a.s.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Pro zpracování clearingu není třeba zasílat žádné údaje z jízd ani z prodejů kupónů MHD, je pouze nutné spočítat „průměrnou cenu jedné jízdy“ (dle bodu 11.3 Metodiky). Tato cena bude vypočtena dopravcem, odsouhlasena objednatelem a písemně sdělena zhotoviteli vždy nejpozději do konce kalendářního měsíce, za který má být počítáno rozúčtování. Změna je možná pouze k 1. dni kalendářního měsíce. 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D47C9A">
      <w:pPr>
        <w:pStyle w:val="Odstavecseseznamem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Předprodejní místa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Tato kapitola popisuje vstupní data z předprodeje časových jízdenek (etapa 1a – viz bod 4.1 Metodiky).</w:t>
      </w:r>
    </w:p>
    <w:p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V případě, že některý z dopravců provádí také předprodej časových kupónů, musí dodat data podle formátu bodu 8 Metodiky. </w:t>
      </w:r>
    </w:p>
    <w:p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Data budou zasílána na FTP server dodavatele a to v termínech podle bodu 7.1 Metodiky. 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D47C9A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3B3F09">
        <w:rPr>
          <w:rFonts w:asciiTheme="minorHAnsi" w:hAnsiTheme="minorHAnsi"/>
          <w:b/>
          <w:sz w:val="24"/>
          <w:szCs w:val="24"/>
        </w:rPr>
        <w:t>Zpracování dat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Default="001D4D71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/>
          <w:sz w:val="24"/>
          <w:szCs w:val="24"/>
        </w:rPr>
        <w:t>V 1. Fázi IDS JK z</w:t>
      </w:r>
      <w:r w:rsidR="00D47C9A" w:rsidRPr="003B3F09">
        <w:rPr>
          <w:rFonts w:asciiTheme="minorHAnsi" w:eastAsiaTheme="majorEastAsia" w:hAnsiTheme="minorHAnsi"/>
          <w:sz w:val="24"/>
          <w:szCs w:val="24"/>
        </w:rPr>
        <w:t>hotovitel vytvoří převodové můstky pro GW Bus, a. s., ČSAD AUTOBUSY České Budějovice, a. s, České dráhy, a. s.</w:t>
      </w:r>
      <w:r>
        <w:rPr>
          <w:rFonts w:asciiTheme="minorHAnsi" w:eastAsiaTheme="majorEastAsia" w:hAnsiTheme="minorHAnsi"/>
          <w:sz w:val="24"/>
          <w:szCs w:val="24"/>
        </w:rPr>
        <w:t xml:space="preserve">, </w:t>
      </w:r>
      <w:proofErr w:type="spellStart"/>
      <w:r>
        <w:rPr>
          <w:rFonts w:asciiTheme="minorHAnsi" w:eastAsiaTheme="majorEastAsia" w:hAnsiTheme="minorHAnsi"/>
          <w:sz w:val="24"/>
          <w:szCs w:val="24"/>
        </w:rPr>
        <w:t>Comett</w:t>
      </w:r>
      <w:proofErr w:type="spellEnd"/>
      <w:r>
        <w:rPr>
          <w:rFonts w:asciiTheme="minorHAnsi" w:eastAsiaTheme="majorEastAsia" w:hAnsiTheme="minorHAnsi"/>
          <w:sz w:val="24"/>
          <w:szCs w:val="24"/>
        </w:rPr>
        <w:t xml:space="preserve"> plus Tábor, s.r.o.</w:t>
      </w:r>
      <w:r w:rsidR="00D47C9A" w:rsidRPr="003B3F09">
        <w:rPr>
          <w:rFonts w:asciiTheme="minorHAnsi" w:eastAsiaTheme="majorEastAsia" w:hAnsiTheme="minorHAnsi"/>
          <w:sz w:val="24"/>
          <w:szCs w:val="24"/>
        </w:rPr>
        <w:t xml:space="preserve"> z výše uvedených formátů podle kapitoly 3. Zhotovitel vytvoří převodní software pro načtení dat z předprodejních míst (bod 3.2.5).</w:t>
      </w:r>
    </w:p>
    <w:p w:rsidR="001D4D71" w:rsidRDefault="001D4D71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/>
          <w:sz w:val="24"/>
          <w:szCs w:val="24"/>
        </w:rPr>
        <w:t>V případě rozšíření IDS JK o další dopravce se zhotovitel zavazuje k bezplatnému vytvoření převodového můstku pro tyto dopravce. Také u těchto dopravců musí zajistit koordinátor potřebný formát dat.</w:t>
      </w:r>
    </w:p>
    <w:p w:rsidR="001D4D71" w:rsidRDefault="001D4D71" w:rsidP="00D47C9A">
      <w:pPr>
        <w:rPr>
          <w:rFonts w:asciiTheme="minorHAnsi" w:eastAsiaTheme="majorEastAsia" w:hAnsiTheme="minorHAnsi"/>
          <w:sz w:val="24"/>
          <w:szCs w:val="24"/>
        </w:rPr>
      </w:pPr>
    </w:p>
    <w:p w:rsidR="00D47C9A" w:rsidRPr="00A62E88" w:rsidRDefault="00D47C9A" w:rsidP="00D47C9A">
      <w:pPr>
        <w:rPr>
          <w:rFonts w:asciiTheme="minorHAnsi" w:eastAsiaTheme="majorEastAsia" w:hAnsiTheme="minorHAnsi"/>
          <w:b/>
          <w:sz w:val="24"/>
          <w:szCs w:val="24"/>
        </w:rPr>
      </w:pPr>
      <w:r w:rsidRPr="00A62E88">
        <w:rPr>
          <w:rFonts w:asciiTheme="minorHAnsi" w:eastAsiaTheme="majorEastAsia" w:hAnsiTheme="minorHAnsi"/>
          <w:b/>
          <w:sz w:val="24"/>
          <w:szCs w:val="24"/>
        </w:rPr>
        <w:lastRenderedPageBreak/>
        <w:t>Objednatel při podpisu smlouvy dodá následující podklady:</w:t>
      </w:r>
    </w:p>
    <w:p w:rsidR="00D47C9A" w:rsidRPr="003B3F09" w:rsidRDefault="00D47C9A" w:rsidP="00D47C9A">
      <w:pPr>
        <w:rPr>
          <w:rFonts w:asciiTheme="minorHAnsi" w:eastAsiaTheme="majorEastAsia" w:hAnsiTheme="minorHAnsi"/>
          <w:sz w:val="24"/>
          <w:szCs w:val="24"/>
        </w:rPr>
      </w:pPr>
    </w:p>
    <w:p w:rsidR="00D47C9A" w:rsidRPr="003B3F09" w:rsidRDefault="00D47C9A" w:rsidP="00D47C9A">
      <w:pPr>
        <w:pStyle w:val="Odstavecseseznamem"/>
        <w:numPr>
          <w:ilvl w:val="0"/>
          <w:numId w:val="2"/>
        </w:numPr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podíly dopravců VLD a vlaků - viz bod 11.2.3 Metodiky</w:t>
      </w:r>
    </w:p>
    <w:p w:rsidR="00D47C9A" w:rsidRPr="003B3F09" w:rsidRDefault="00D47C9A" w:rsidP="00D47C9A">
      <w:pPr>
        <w:pStyle w:val="Odstavecseseznamem"/>
        <w:numPr>
          <w:ilvl w:val="0"/>
          <w:numId w:val="2"/>
        </w:numPr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ceníky časových jízdenek</w:t>
      </w:r>
    </w:p>
    <w:p w:rsidR="00D47C9A" w:rsidRPr="003B3F09" w:rsidRDefault="00D47C9A" w:rsidP="00D47C9A">
      <w:pPr>
        <w:pStyle w:val="Odstavecseseznamem"/>
        <w:numPr>
          <w:ilvl w:val="0"/>
          <w:numId w:val="2"/>
        </w:numPr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výši provize pro prodejce časových jízdenek</w:t>
      </w:r>
    </w:p>
    <w:p w:rsidR="00D47C9A" w:rsidRPr="003B3F09" w:rsidRDefault="00D47C9A" w:rsidP="00D47C9A">
      <w:pPr>
        <w:pStyle w:val="Odstavecseseznamem"/>
        <w:rPr>
          <w:rFonts w:asciiTheme="minorHAnsi" w:eastAsiaTheme="majorEastAsia" w:hAnsiTheme="minorHAnsi"/>
          <w:sz w:val="24"/>
          <w:szCs w:val="24"/>
        </w:rPr>
      </w:pPr>
    </w:p>
    <w:p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V případě potřeby aktualizace výše uvedených dat je nutno je dodat zhotoviteli nejméně deset pracovních dní před termínem zúčtování. Změny lze provádět pouze k prvnímu kalendářnímu dni měsíce.</w:t>
      </w:r>
    </w:p>
    <w:p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</w:p>
    <w:p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Zhotovitel neprovádí kontroly chybějících dat od dopravců, pozdě dodaných dat, neprovádí kontrolu správnosti linek spojů v zaslaných datech. Zpracuje všechna data zaslaná do termínu.</w:t>
      </w:r>
    </w:p>
    <w:p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</w:p>
    <w:p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U dat z předprodejních míst časových jízdenek bude kontrolována kompletnost dat (číselné řady transakcí), zhotovitel zpracuje přehled chybějících dat. </w:t>
      </w:r>
    </w:p>
    <w:p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</w:p>
    <w:p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V případě pozdě dodaných dat budou tato data zpracována společně s daty za měsíc, ve kterém byla dodána podle pravidel měsíce, kdy byla dodána.</w:t>
      </w:r>
    </w:p>
    <w:p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</w:p>
    <w:p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Zpracování dat bude provedeno zhotovitelem v termínu dle bodu 7.1 metodiky postupem podle části 11 metodiky (objednatel při podpisu smlouvy rozhodne, podle které z variant bude postupováno v případech dle bodu 11.2 metodiky). </w:t>
      </w:r>
    </w:p>
    <w:p w:rsidR="00D47C9A" w:rsidRPr="003B3F09" w:rsidRDefault="00D47C9A" w:rsidP="001D4D71">
      <w:pPr>
        <w:jc w:val="both"/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1D4D71">
      <w:pPr>
        <w:jc w:val="both"/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Zpracování probíhá v částkách včetně DPH. Taktéž všechny výstupní sestavy obsahují částky včetně DPH.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D47C9A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3B3F09">
        <w:rPr>
          <w:rFonts w:asciiTheme="minorHAnsi" w:hAnsiTheme="minorHAnsi"/>
          <w:b/>
          <w:sz w:val="24"/>
          <w:szCs w:val="24"/>
        </w:rPr>
        <w:t>Výstupní sestavy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:rsidR="00D47C9A" w:rsidRPr="003B3F09" w:rsidRDefault="00D47C9A" w:rsidP="00D47C9A">
      <w:pPr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Sestavy bude zhotovitel předávat objednateli ve formátu CSV prostřednictvím FTP.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  <w:bookmarkStart w:id="1" w:name="_Toc446600628"/>
    </w:p>
    <w:p w:rsidR="00D47C9A" w:rsidRPr="003B3F09" w:rsidRDefault="00D47C9A" w:rsidP="00D47C9A">
      <w:pPr>
        <w:pStyle w:val="Odstavecseseznamem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Sestavy dle uskutečněných jízd</w:t>
      </w:r>
      <w:bookmarkEnd w:id="1"/>
    </w:p>
    <w:p w:rsidR="00D47C9A" w:rsidRPr="003B3F09" w:rsidRDefault="00D47C9A" w:rsidP="00D47C9A">
      <w:pPr>
        <w:pStyle w:val="Odstavecseseznamem"/>
        <w:numPr>
          <w:ilvl w:val="0"/>
          <w:numId w:val="2"/>
        </w:numPr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Počty jízd na kupón MHD za minulý měsíc dle dopravců celkem</w:t>
      </w:r>
    </w:p>
    <w:p w:rsidR="00D47C9A" w:rsidRPr="003B3F09" w:rsidRDefault="00D47C9A" w:rsidP="00D47C9A">
      <w:pPr>
        <w:pStyle w:val="Odstavecseseznamem"/>
        <w:numPr>
          <w:ilvl w:val="0"/>
          <w:numId w:val="2"/>
        </w:numPr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Počty jízd na kupón MHD souhrnně dle linek/spojů</w:t>
      </w:r>
    </w:p>
    <w:p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  <w:bookmarkStart w:id="2" w:name="_Toc446600629"/>
    </w:p>
    <w:p w:rsidR="00D47C9A" w:rsidRPr="003B3F09" w:rsidRDefault="00D47C9A" w:rsidP="00D47C9A">
      <w:pPr>
        <w:pStyle w:val="Odstavecseseznamem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Sestavy dat z předprodejních míst</w:t>
      </w:r>
      <w:bookmarkEnd w:id="2"/>
      <w:r w:rsidRPr="003B3F09">
        <w:rPr>
          <w:rFonts w:asciiTheme="minorHAnsi" w:hAnsiTheme="minorHAnsi"/>
          <w:sz w:val="24"/>
          <w:szCs w:val="24"/>
        </w:rPr>
        <w:t xml:space="preserve"> (souhrnně za všechny předprodejní místa každého zapojeného dopravce případně prodejce)</w:t>
      </w:r>
    </w:p>
    <w:p w:rsidR="00D47C9A" w:rsidRPr="003B3F09" w:rsidRDefault="00D47C9A" w:rsidP="00D47C9A">
      <w:pPr>
        <w:pStyle w:val="Odstavecseseznamem"/>
        <w:numPr>
          <w:ilvl w:val="0"/>
          <w:numId w:val="2"/>
        </w:numPr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Celkový počet prodaných kupónů</w:t>
      </w:r>
    </w:p>
    <w:p w:rsidR="00D47C9A" w:rsidRPr="003B3F09" w:rsidRDefault="00D47C9A" w:rsidP="00D47C9A">
      <w:pPr>
        <w:pStyle w:val="Odstavecseseznamem"/>
        <w:numPr>
          <w:ilvl w:val="0"/>
          <w:numId w:val="2"/>
        </w:numPr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Počet prodaných kupónů bez zóny MHD</w:t>
      </w:r>
    </w:p>
    <w:p w:rsidR="00D47C9A" w:rsidRPr="003B3F09" w:rsidRDefault="00D47C9A" w:rsidP="00D47C9A">
      <w:pPr>
        <w:pStyle w:val="Odstavecseseznamem"/>
        <w:numPr>
          <w:ilvl w:val="0"/>
          <w:numId w:val="2"/>
        </w:numPr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Počet </w:t>
      </w:r>
      <w:bookmarkStart w:id="3" w:name="_Toc446600630"/>
      <w:r w:rsidRPr="003B3F09">
        <w:rPr>
          <w:rFonts w:asciiTheme="minorHAnsi" w:eastAsiaTheme="majorEastAsia" w:hAnsiTheme="minorHAnsi"/>
          <w:sz w:val="24"/>
          <w:szCs w:val="24"/>
        </w:rPr>
        <w:t>prodaných kupónů včetně zóny MHD</w:t>
      </w:r>
    </w:p>
    <w:p w:rsidR="00D47C9A" w:rsidRPr="003B3F09" w:rsidRDefault="00D47C9A" w:rsidP="00D47C9A">
      <w:pPr>
        <w:pStyle w:val="Odstavecseseznamem"/>
        <w:rPr>
          <w:rFonts w:asciiTheme="minorHAnsi" w:eastAsiaTheme="majorEastAsia" w:hAnsiTheme="minorHAnsi"/>
          <w:sz w:val="24"/>
          <w:szCs w:val="24"/>
        </w:rPr>
      </w:pPr>
    </w:p>
    <w:p w:rsidR="00D47C9A" w:rsidRPr="003B3F09" w:rsidRDefault="00D47C9A" w:rsidP="00D47C9A">
      <w:pPr>
        <w:pStyle w:val="Odstavecseseznamem"/>
        <w:numPr>
          <w:ilvl w:val="1"/>
          <w:numId w:val="1"/>
        </w:numPr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Sestavy zúčtovacího centra</w:t>
      </w:r>
      <w:bookmarkEnd w:id="3"/>
    </w:p>
    <w:p w:rsidR="00D47C9A" w:rsidRPr="003B3F09" w:rsidRDefault="00D47C9A" w:rsidP="00D47C9A">
      <w:pPr>
        <w:pStyle w:val="Odstavecseseznamem"/>
        <w:numPr>
          <w:ilvl w:val="0"/>
          <w:numId w:val="2"/>
        </w:numPr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bilance jednotlivých subjektů, na základě které si dopravci / prodejci sami mezi sebou vyfakturují podíly jízdného z časových jízdenek (pro dopravce / prodejce)</w:t>
      </w:r>
    </w:p>
    <w:p w:rsidR="00D47C9A" w:rsidRPr="003B3F09" w:rsidRDefault="00D47C9A" w:rsidP="00D47C9A">
      <w:pPr>
        <w:pStyle w:val="Odstavecseseznamem"/>
        <w:numPr>
          <w:ilvl w:val="0"/>
          <w:numId w:val="2"/>
        </w:numPr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souhrnná bilance za všechny dopravce (pro objednatele)</w:t>
      </w:r>
    </w:p>
    <w:p w:rsidR="00D47C9A" w:rsidRDefault="00D47C9A" w:rsidP="00D47C9A">
      <w:pPr>
        <w:pStyle w:val="Odstavecseseznamem"/>
        <w:numPr>
          <w:ilvl w:val="0"/>
          <w:numId w:val="2"/>
        </w:numPr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přehled chybějících dat z předprodejních míst</w:t>
      </w:r>
    </w:p>
    <w:p w:rsidR="00DC6DE7" w:rsidRDefault="00DC6DE7" w:rsidP="00DC6DE7">
      <w:pPr>
        <w:rPr>
          <w:rFonts w:asciiTheme="minorHAnsi" w:eastAsiaTheme="majorEastAsia" w:hAnsiTheme="minorHAnsi"/>
          <w:sz w:val="24"/>
          <w:szCs w:val="24"/>
        </w:rPr>
      </w:pPr>
    </w:p>
    <w:p w:rsidR="00E35BC1" w:rsidRPr="00DC6DE7" w:rsidRDefault="00E35BC1" w:rsidP="00DC6DE7">
      <w:pPr>
        <w:rPr>
          <w:rFonts w:asciiTheme="minorHAnsi" w:eastAsiaTheme="majorEastAsia" w:hAnsiTheme="minorHAnsi"/>
          <w:sz w:val="24"/>
          <w:szCs w:val="24"/>
        </w:rPr>
      </w:pPr>
      <w:bookmarkStart w:id="4" w:name="_GoBack"/>
      <w:bookmarkEnd w:id="4"/>
    </w:p>
    <w:p w:rsidR="00DC6DE7" w:rsidRDefault="00DC6DE7" w:rsidP="00DC6DE7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DC6DE7">
        <w:rPr>
          <w:rFonts w:asciiTheme="minorHAnsi" w:hAnsiTheme="minorHAnsi"/>
          <w:b/>
          <w:sz w:val="24"/>
          <w:szCs w:val="24"/>
        </w:rPr>
        <w:lastRenderedPageBreak/>
        <w:t>Výpočet kompenzace jízdného</w:t>
      </w:r>
    </w:p>
    <w:p w:rsidR="00DE2C36" w:rsidRDefault="00DC6DE7" w:rsidP="00DC6DE7">
      <w:pPr>
        <w:rPr>
          <w:rFonts w:asciiTheme="minorHAnsi" w:eastAsiaTheme="majorEastAsia" w:hAnsiTheme="minorHAnsi"/>
          <w:sz w:val="24"/>
          <w:szCs w:val="24"/>
        </w:rPr>
      </w:pPr>
      <w:r w:rsidRPr="00DC6DE7">
        <w:rPr>
          <w:rFonts w:asciiTheme="minorHAnsi" w:eastAsiaTheme="majorEastAsia" w:hAnsiTheme="minorHAnsi"/>
          <w:sz w:val="24"/>
          <w:szCs w:val="24"/>
        </w:rPr>
        <w:t>Zhotovite</w:t>
      </w:r>
      <w:r>
        <w:rPr>
          <w:rFonts w:asciiTheme="minorHAnsi" w:eastAsiaTheme="majorEastAsia" w:hAnsiTheme="minorHAnsi"/>
          <w:sz w:val="24"/>
          <w:szCs w:val="24"/>
        </w:rPr>
        <w:t xml:space="preserve">l upraví dílo pro výpočet kompenzace jízdného ke slevám nově zavedeným od 1.9.2018. </w:t>
      </w:r>
    </w:p>
    <w:p w:rsidR="00DC6DE7" w:rsidRDefault="00DC6DE7" w:rsidP="00DC6DE7">
      <w:pPr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/>
          <w:sz w:val="24"/>
          <w:szCs w:val="24"/>
        </w:rPr>
        <w:t>Principy výpočtu budou odpovídat těmto podkladům:</w:t>
      </w:r>
    </w:p>
    <w:p w:rsidR="00DC6DE7" w:rsidRPr="00DC6DE7" w:rsidRDefault="00DC6DE7" w:rsidP="00DE2C36">
      <w:pPr>
        <w:ind w:left="567" w:hanging="567"/>
        <w:rPr>
          <w:rFonts w:asciiTheme="minorHAnsi" w:eastAsiaTheme="majorEastAsia" w:hAnsiTheme="minorHAnsi"/>
          <w:sz w:val="24"/>
          <w:szCs w:val="24"/>
        </w:rPr>
      </w:pPr>
      <w:r w:rsidRPr="00DC6DE7">
        <w:rPr>
          <w:rFonts w:asciiTheme="minorHAnsi" w:eastAsiaTheme="majorEastAsia" w:hAnsiTheme="minorHAnsi"/>
          <w:sz w:val="24"/>
          <w:szCs w:val="24"/>
        </w:rPr>
        <w:t>•</w:t>
      </w:r>
      <w:r w:rsidRPr="00DC6DE7">
        <w:rPr>
          <w:rFonts w:asciiTheme="minorHAnsi" w:eastAsiaTheme="majorEastAsia" w:hAnsiTheme="minorHAnsi"/>
          <w:sz w:val="24"/>
          <w:szCs w:val="24"/>
        </w:rPr>
        <w:tab/>
        <w:t>Výměr MF č. 01/2018, kterým se vydává seznam zboží s regulovanými cenami, ve znění Výměru MF č. 02/2018, kterým se mění seznam zboží s regulovanými cenami vydaný Výměrem MF č. 01/2018</w:t>
      </w:r>
    </w:p>
    <w:p w:rsidR="00DC6DE7" w:rsidRPr="00DC6DE7" w:rsidRDefault="00DC6DE7" w:rsidP="00DE2C36">
      <w:pPr>
        <w:ind w:left="567" w:hanging="567"/>
        <w:rPr>
          <w:rFonts w:asciiTheme="minorHAnsi" w:eastAsiaTheme="majorEastAsia" w:hAnsiTheme="minorHAnsi"/>
          <w:sz w:val="24"/>
          <w:szCs w:val="24"/>
        </w:rPr>
      </w:pPr>
      <w:r w:rsidRPr="00DC6DE7">
        <w:rPr>
          <w:rFonts w:asciiTheme="minorHAnsi" w:eastAsiaTheme="majorEastAsia" w:hAnsiTheme="minorHAnsi"/>
          <w:sz w:val="24"/>
          <w:szCs w:val="24"/>
        </w:rPr>
        <w:t>•</w:t>
      </w:r>
      <w:r w:rsidRPr="00DC6DE7">
        <w:rPr>
          <w:rFonts w:asciiTheme="minorHAnsi" w:eastAsiaTheme="majorEastAsia" w:hAnsiTheme="minorHAnsi"/>
          <w:sz w:val="24"/>
          <w:szCs w:val="24"/>
        </w:rPr>
        <w:tab/>
        <w:t xml:space="preserve">Metodický pokyn pro poskytování zlevněného jízdného pro děti, mládež, studenty a seniory </w:t>
      </w:r>
      <w:proofErr w:type="gramStart"/>
      <w:r w:rsidRPr="00DC6DE7">
        <w:rPr>
          <w:rFonts w:asciiTheme="minorHAnsi" w:eastAsiaTheme="majorEastAsia" w:hAnsiTheme="minorHAnsi"/>
          <w:sz w:val="24"/>
          <w:szCs w:val="24"/>
        </w:rPr>
        <w:t>č.j.</w:t>
      </w:r>
      <w:proofErr w:type="gramEnd"/>
      <w:r w:rsidRPr="00DC6DE7">
        <w:rPr>
          <w:rFonts w:asciiTheme="minorHAnsi" w:eastAsiaTheme="majorEastAsia" w:hAnsiTheme="minorHAnsi"/>
          <w:sz w:val="24"/>
          <w:szCs w:val="24"/>
        </w:rPr>
        <w:t xml:space="preserve"> 16/2018-410-TAR/1 – vydán odborem financí a ekonomiky MD ČR dne 29.6.2018</w:t>
      </w:r>
    </w:p>
    <w:p w:rsidR="00DC6DE7" w:rsidRDefault="00DC6DE7" w:rsidP="00DE2C36">
      <w:pPr>
        <w:ind w:left="567" w:hanging="567"/>
        <w:rPr>
          <w:rFonts w:asciiTheme="minorHAnsi" w:eastAsiaTheme="majorEastAsia" w:hAnsiTheme="minorHAnsi"/>
          <w:sz w:val="24"/>
          <w:szCs w:val="24"/>
        </w:rPr>
      </w:pPr>
      <w:r w:rsidRPr="00DC6DE7">
        <w:rPr>
          <w:rFonts w:asciiTheme="minorHAnsi" w:eastAsiaTheme="majorEastAsia" w:hAnsiTheme="minorHAnsi"/>
          <w:sz w:val="24"/>
          <w:szCs w:val="24"/>
        </w:rPr>
        <w:t>•</w:t>
      </w:r>
      <w:r w:rsidRPr="00DC6DE7">
        <w:rPr>
          <w:rFonts w:asciiTheme="minorHAnsi" w:eastAsiaTheme="majorEastAsia" w:hAnsiTheme="minorHAnsi"/>
          <w:sz w:val="24"/>
          <w:szCs w:val="24"/>
        </w:rPr>
        <w:tab/>
        <w:t xml:space="preserve">Metodický pokyn pro kompenzace zlevněného jízdného ve veřejné osobní dopravě </w:t>
      </w:r>
      <w:proofErr w:type="gramStart"/>
      <w:r w:rsidRPr="00DC6DE7">
        <w:rPr>
          <w:rFonts w:asciiTheme="minorHAnsi" w:eastAsiaTheme="majorEastAsia" w:hAnsiTheme="minorHAnsi"/>
          <w:sz w:val="24"/>
          <w:szCs w:val="24"/>
        </w:rPr>
        <w:t>č.j.</w:t>
      </w:r>
      <w:proofErr w:type="gramEnd"/>
      <w:r w:rsidRPr="00DC6DE7">
        <w:rPr>
          <w:rFonts w:asciiTheme="minorHAnsi" w:eastAsiaTheme="majorEastAsia" w:hAnsiTheme="minorHAnsi"/>
          <w:sz w:val="24"/>
          <w:szCs w:val="24"/>
        </w:rPr>
        <w:t xml:space="preserve">  16/2018-410-TAR/2 – vydán odborem financí a ekonomiky MD ČR dne 29.6.2018</w:t>
      </w:r>
    </w:p>
    <w:p w:rsidR="00DC6DE7" w:rsidRDefault="00DC6DE7" w:rsidP="00DC6DE7">
      <w:pPr>
        <w:rPr>
          <w:rFonts w:asciiTheme="minorHAnsi" w:eastAsiaTheme="majorEastAsia" w:hAnsiTheme="minorHAnsi"/>
          <w:sz w:val="24"/>
          <w:szCs w:val="24"/>
        </w:rPr>
      </w:pPr>
    </w:p>
    <w:p w:rsidR="00DC6DE7" w:rsidRDefault="00DE2C36" w:rsidP="00DC6DE7">
      <w:pPr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/>
          <w:sz w:val="24"/>
          <w:szCs w:val="24"/>
        </w:rPr>
        <w:t>Zhotovitel doplní do výstupní sestavy o sestavy potřebné pro vykázání kompenzace dopravci.</w:t>
      </w:r>
    </w:p>
    <w:p w:rsidR="00DE2C36" w:rsidRDefault="00DE2C36" w:rsidP="00DC6DE7">
      <w:pPr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/>
          <w:sz w:val="24"/>
          <w:szCs w:val="24"/>
        </w:rPr>
        <w:t>Výpočet kompenzace bude prováděn ve stejném termínu jako rozúčtování tržeb z přestupních jízdních dokladů.</w:t>
      </w:r>
    </w:p>
    <w:p w:rsidR="00DC6DE7" w:rsidRDefault="00DC6DE7" w:rsidP="00DC6DE7">
      <w:pPr>
        <w:rPr>
          <w:rFonts w:asciiTheme="minorHAnsi" w:eastAsiaTheme="majorEastAsia" w:hAnsiTheme="minorHAnsi"/>
          <w:sz w:val="24"/>
          <w:szCs w:val="24"/>
        </w:rPr>
      </w:pPr>
    </w:p>
    <w:sectPr w:rsidR="00DC6DE7" w:rsidSect="001135BC">
      <w:headerReference w:type="default" r:id="rId7"/>
      <w:pgSz w:w="11906" w:h="16838"/>
      <w:pgMar w:top="1805" w:right="1133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EE" w:rsidRDefault="00C13EEE">
      <w:r>
        <w:separator/>
      </w:r>
    </w:p>
  </w:endnote>
  <w:endnote w:type="continuationSeparator" w:id="0">
    <w:p w:rsidR="00C13EEE" w:rsidRDefault="00C1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EE" w:rsidRDefault="00C13EEE">
      <w:r>
        <w:separator/>
      </w:r>
    </w:p>
  </w:footnote>
  <w:footnote w:type="continuationSeparator" w:id="0">
    <w:p w:rsidR="00C13EEE" w:rsidRDefault="00C13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114" w:rsidRDefault="00C13EEE">
    <w:pPr>
      <w:pStyle w:val="Zhlav"/>
    </w:pPr>
  </w:p>
  <w:p w:rsidR="00FB5114" w:rsidRDefault="00C13E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60699"/>
    <w:multiLevelType w:val="multilevel"/>
    <w:tmpl w:val="41D4C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758428A7"/>
    <w:multiLevelType w:val="hybridMultilevel"/>
    <w:tmpl w:val="3404FAB6"/>
    <w:lvl w:ilvl="0" w:tplc="C96E3C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D09C8B98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9A"/>
    <w:rsid w:val="0002093F"/>
    <w:rsid w:val="001D4D71"/>
    <w:rsid w:val="00236382"/>
    <w:rsid w:val="002A310D"/>
    <w:rsid w:val="00335E01"/>
    <w:rsid w:val="00341B5A"/>
    <w:rsid w:val="003B3F09"/>
    <w:rsid w:val="005334D8"/>
    <w:rsid w:val="00965239"/>
    <w:rsid w:val="00A62E88"/>
    <w:rsid w:val="00C13EEE"/>
    <w:rsid w:val="00D47C9A"/>
    <w:rsid w:val="00D71CE0"/>
    <w:rsid w:val="00DC6DE7"/>
    <w:rsid w:val="00DE2C36"/>
    <w:rsid w:val="00E35BC1"/>
    <w:rsid w:val="00E8277E"/>
    <w:rsid w:val="00F9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2FDFC-683D-48B6-9D5E-21B981F6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C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C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7C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 s odrážkami,Odstavec se seznamem1"/>
    <w:basedOn w:val="Normln"/>
    <w:link w:val="OdstavecseseznamemChar"/>
    <w:uiPriority w:val="34"/>
    <w:qFormat/>
    <w:rsid w:val="00D47C9A"/>
    <w:pPr>
      <w:ind w:left="720"/>
      <w:contextualSpacing/>
    </w:pPr>
  </w:style>
  <w:style w:type="character" w:customStyle="1" w:styleId="OdstavecseseznamemChar">
    <w:name w:val="Odstavec se seznamem Char"/>
    <w:aliases w:val="Odstavec s odrážkami Char,Odstavec se seznamem1 Char"/>
    <w:basedOn w:val="Standardnpsmoodstavce"/>
    <w:link w:val="Odstavecseseznamem"/>
    <w:uiPriority w:val="34"/>
    <w:locked/>
    <w:rsid w:val="00D47C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62E8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4FA134B5</Template>
  <TotalTime>1</TotalTime>
  <Pages>6</Pages>
  <Words>1707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Benes</dc:creator>
  <cp:lastModifiedBy>Študlar Ivan</cp:lastModifiedBy>
  <cp:revision>2</cp:revision>
  <dcterms:created xsi:type="dcterms:W3CDTF">2018-08-13T14:03:00Z</dcterms:created>
  <dcterms:modified xsi:type="dcterms:W3CDTF">2018-08-13T14:03:00Z</dcterms:modified>
</cp:coreProperties>
</file>