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54.25pt;height:42.2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O'sfi</w:t>
                  </w:r>
                  <w:r>
                    <w:rPr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 xml:space="preserve">ÚŘAD </w:t>
                  </w:r>
                  <w:r>
                    <w:rPr>
                      <w:rFonts w:ascii="Times New Roman" w:eastAsia="Times New Roman" w:hAnsi="Times New Roman" w:cs="Times New Roman"/>
                      <w:w w:val="100"/>
                      <w:color w:val="000000"/>
                      <w:position w:val="0"/>
                    </w:rPr>
                    <w:t>JBUKV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.ový úf3'í íý kraj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47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4" w:h="16834"/>
          <w:pgMar w:top="138" w:left="79" w:right="959" w:bottom="159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4"/>
          <w:pgMar w:top="604" w:left="0" w:right="0" w:bottom="110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Státní pozemkový úřad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Husinecká 1024/1 la, 130 00 Praha 3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280" w:line="283" w:lineRule="exact"/>
        <w:ind w:left="0" w:right="2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Josefem Jakešem, vedoucím Pobočky Český Krumlov, 5.května 287, Plešivec, 381 01 Český Krumlov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2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IČO: 01312774 DIČ: CZ01312774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2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národní banka číslo účtu: 50016-3723001/0710 (dále jen ,,propachtovatel“)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823" w:line="283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jedné -</w:t>
      </w:r>
    </w:p>
    <w:p>
      <w:pPr>
        <w:pStyle w:val="Style17"/>
        <w:tabs>
          <w:tab w:leader="none" w:pos="893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19"/>
          <w:b w:val="0"/>
          <w:bCs w:val="0"/>
        </w:rPr>
        <w:t>pan:</w:t>
        <w:tab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Vladimír Nedorost</w:t>
      </w:r>
      <w:bookmarkEnd w:id="0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32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r. č.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400" w:line="379" w:lineRule="exact"/>
        <w:ind w:left="0" w:right="0" w:firstLine="0"/>
      </w:pPr>
      <w:r>
        <w:pict>
          <v:shape id="_x0000_s1027" type="#_x0000_t202" style="position:absolute;margin-left:95.65pt;margin-top:10.1pt;width:58.1pt;height:22.25pt;z-index:-125829376;mso-wrap-distance-left:59.05pt;mso-wrap-distance-top:6.8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Kaplice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bytem: PSČ :</w:t>
      </w:r>
    </w:p>
    <w:p>
      <w:pPr>
        <w:pStyle w:val="Style17"/>
        <w:tabs>
          <w:tab w:leader="none" w:pos="893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9"/>
          <w:b w:val="0"/>
          <w:bCs w:val="0"/>
        </w:rPr>
        <w:t>pan:</w:t>
        <w:tab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Jiří Nedorost</w:t>
      </w:r>
      <w:bookmarkEnd w:id="1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25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r. č. bytem:</w:t>
      </w:r>
    </w:p>
    <w:p>
      <w:pPr>
        <w:pStyle w:val="Style17"/>
        <w:tabs>
          <w:tab w:leader="none" w:pos="1882" w:val="left"/>
        </w:tabs>
        <w:widowControl w:val="0"/>
        <w:keepNext/>
        <w:keepLines/>
        <w:shd w:val="clear" w:color="auto" w:fill="auto"/>
        <w:bidi w:val="0"/>
        <w:spacing w:before="0" w:after="0" w:line="374" w:lineRule="exact"/>
        <w:ind w:left="0" w:right="0" w:firstLine="0"/>
      </w:pPr>
      <w:bookmarkStart w:id="2" w:name="bookmark2"/>
      <w:r>
        <w:rPr>
          <w:rStyle w:val="CharStyle19"/>
          <w:b w:val="0"/>
          <w:bCs w:val="0"/>
        </w:rPr>
        <w:t>PSČ :</w:t>
        <w:tab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Velešín</w:t>
      </w:r>
      <w:bookmarkEnd w:id="2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,,pachtýř“)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552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druhé - uzavírají podle ustanovení § 2332 a násl. zákona č. 89/2012 Sb., občanský zákoník (dále jen ,,NOZ“), tuto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1"/>
          <w:b/>
          <w:bCs/>
        </w:rPr>
        <w:t>pachtovní smlouvu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869" w:lineRule="exact"/>
        <w:ind w:left="0" w:right="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č. 101N15/33</w:t>
      </w:r>
      <w:bookmarkEnd w:id="3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ČLI</w:t>
      </w:r>
      <w:bookmarkEnd w:id="4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311" w:line="283" w:lineRule="exact"/>
        <w:ind w:left="0" w:right="0" w:firstLine="3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se zemědělskými pozemky specifikovanými v příloze č. 1 této smlouvy vedenými u Katastrálního úřadu pro Jihočeský kraj Katastrálního pracoviště Český BCrumlov. Předmět pachtu přešel do této pachtovní smlouvy část z nájemní smlouvy č. 29N10/33, 12N14/33 a 47N09/33.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č. 1 je nedílnou součástí této smlouvy.</w:t>
      </w:r>
      <w:r>
        <w:br w:type="page"/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73"/>
        <w:ind w:left="4760" w:right="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 II</w:t>
      </w:r>
      <w:bookmarkEnd w:id="5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587" w:line="288" w:lineRule="exact"/>
        <w:ind w:left="1720" w:right="7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přenechává pachtýri pozemky uvedené v ČI. I do užívání za účelem: - provozování zemědělské výroby.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308"/>
        <w:ind w:left="4760" w:right="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 III</w:t>
      </w:r>
      <w:bookmarkEnd w:id="6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269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povinen:</w:t>
      </w:r>
    </w:p>
    <w:p>
      <w:pPr>
        <w:pStyle w:val="Style15"/>
        <w:numPr>
          <w:ilvl w:val="0"/>
          <w:numId w:val="1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6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rostlin.</w:t>
      </w:r>
    </w:p>
    <w:p>
      <w:pPr>
        <w:pStyle w:val="Style15"/>
        <w:numPr>
          <w:ilvl w:val="0"/>
          <w:numId w:val="1"/>
        </w:numPr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4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poviímosti vyplývající ze zákona č. 326/2004 Sb., o rostlinolékařské péči a o změně některých souvisejících zákonů, ve znění pozdějších předpisů,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15"/>
        <w:numPr>
          <w:ilvl w:val="0"/>
          <w:numId w:val="1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2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pozemek,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9" w:line="29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dodržovat poviímosti vyplývající ze zákona č. 449/2001 Sb., o myslivosti, ve znění pozdějších předpisů,</w:t>
      </w:r>
    </w:p>
    <w:p>
      <w:pPr>
        <w:pStyle w:val="Style15"/>
        <w:numPr>
          <w:ilvl w:val="0"/>
          <w:numId w:val="1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5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5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15"/>
        <w:numPr>
          <w:ilvl w:val="0"/>
          <w:numId w:val="1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5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břemena, resp. služebnosti, spojené s pozemky, jež jsou předmětem pachtu,</w:t>
      </w:r>
    </w:p>
    <w:p>
      <w:pPr>
        <w:pStyle w:val="Style15"/>
        <w:numPr>
          <w:ilvl w:val="0"/>
          <w:numId w:val="1"/>
        </w:numPr>
        <w:tabs>
          <w:tab w:leader="none" w:pos="9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7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platit v souladu se zákonnou úpravou daň z nemovité věci za propachtované pozemky, jež jsou předmětem nájmu.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0" w:line="566" w:lineRule="exact"/>
        <w:ind w:left="40" w:right="0" w:firstLine="0"/>
      </w:pPr>
      <w:bookmarkStart w:id="7" w:name="bookmark7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  <w:bookmarkEnd w:id="7"/>
    </w:p>
    <w:p>
      <w:pPr>
        <w:pStyle w:val="Style15"/>
        <w:numPr>
          <w:ilvl w:val="0"/>
          <w:numId w:val="3"/>
        </w:numPr>
        <w:tabs>
          <w:tab w:leader="none" w:pos="10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66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Tato smlouva se uzavírá na dobu určitou od </w:t>
      </w:r>
      <w:r>
        <w:rPr>
          <w:rStyle w:val="CharStyle26"/>
        </w:rPr>
        <w:t>1.7.2015 do 31.12.2020</w:t>
      </w:r>
    </w:p>
    <w:p>
      <w:pPr>
        <w:pStyle w:val="Style15"/>
        <w:numPr>
          <w:ilvl w:val="0"/>
          <w:numId w:val="3"/>
        </w:numPr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66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 založený touto smlouvou lze ukončit dohodou.</w:t>
      </w:r>
    </w:p>
    <w:p>
      <w:pPr>
        <w:pStyle w:val="Style15"/>
        <w:numPr>
          <w:ilvl w:val="0"/>
          <w:numId w:val="3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jejich užívání nebo požívání bez propachtovatelova předchozího souhlasu.</w:t>
      </w:r>
    </w:p>
    <w:p>
      <w:pPr>
        <w:pStyle w:val="Style13"/>
        <w:numPr>
          <w:ilvl w:val="0"/>
          <w:numId w:val="3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4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pachtovní smlouva pozbývá platnosti a účinnosti k 1. 10, 2016 v případě, že pachtýř nejpozději do 30. 6. 2016 nedoloží kladné rozhodnutí SZIF o zařazení do agroenvironmentálně-klimatického opatření nebo opatření ekologické zemědělství.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 w:line="571" w:lineRule="exact"/>
        <w:ind w:left="4720" w:right="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</w:t>
      </w:r>
      <w:bookmarkEnd w:id="8"/>
    </w:p>
    <w:p>
      <w:pPr>
        <w:pStyle w:val="Style15"/>
        <w:numPr>
          <w:ilvl w:val="0"/>
          <w:numId w:val="5"/>
        </w:numPr>
        <w:tabs>
          <w:tab w:leader="none" w:pos="10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71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15"/>
        <w:numPr>
          <w:ilvl w:val="0"/>
          <w:numId w:val="5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71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27"/>
        </w:rPr>
        <w:t>ročně pozadu</w:t>
      </w:r>
      <w:r>
        <w:rPr>
          <w:rStyle w:val="CharStyle26"/>
        </w:rPr>
        <w:t xml:space="preserve">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vždy k 1.10. běžného roku.</w:t>
      </w:r>
    </w:p>
    <w:p>
      <w:pPr>
        <w:pStyle w:val="Style15"/>
        <w:numPr>
          <w:ilvl w:val="0"/>
          <w:numId w:val="5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71" w:lineRule="exact"/>
        <w:ind w:left="940" w:right="2760" w:hanging="2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Roční pachtovné se stanovuje dohodou ve výši 19479,- </w:t>
      </w:r>
      <w:r>
        <w:rPr>
          <w:rStyle w:val="CharStyle26"/>
        </w:rPr>
        <w:t xml:space="preserve">Kč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devatenácttisícčtyřistasedmdesátdevětkorun českých).</w:t>
      </w:r>
    </w:p>
    <w:p>
      <w:pPr>
        <w:pStyle w:val="Style15"/>
        <w:numPr>
          <w:ilvl w:val="0"/>
          <w:numId w:val="5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88" w:lineRule="exact"/>
        <w:ind w:left="940" w:right="0" w:hanging="2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Pachtovné bude hrazeno převodem na účet propachtovatele vedený u České národní banky, </w:t>
      </w:r>
      <w:r>
        <w:rPr>
          <w:rStyle w:val="CharStyle26"/>
        </w:rPr>
        <w:t>číslo účtu 50016-3723001/0710, variabilní symbol 10111533.</w:t>
      </w:r>
    </w:p>
    <w:p>
      <w:pPr>
        <w:pStyle w:val="Style15"/>
        <w:numPr>
          <w:ilvl w:val="0"/>
          <w:numId w:val="5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5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Pachtovné za období od účinnosti smlouvy do 30.9. 2015 včetně činí 4910,- Kč (slovy; čtyřitisícedevětsetdesetkorun českých) a bude uhrazeno k 1.10. 2015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269"/>
        <w:ind w:left="9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Zaplacením se rozumí připsáni placené částky na účet propachtovatele.</w:t>
      </w:r>
    </w:p>
    <w:p>
      <w:pPr>
        <w:pStyle w:val="Style15"/>
        <w:numPr>
          <w:ilvl w:val="0"/>
          <w:numId w:val="5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180013-3723001/0710.</w:t>
      </w:r>
    </w:p>
    <w:p>
      <w:pPr>
        <w:pStyle w:val="Style15"/>
        <w:numPr>
          <w:ilvl w:val="0"/>
          <w:numId w:val="5"/>
        </w:numPr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3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77"/>
        <w:ind w:left="4720" w:right="0" w:firstLine="0"/>
      </w:pPr>
      <w:bookmarkStart w:id="9" w:name="bookmark9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ČI, VI</w:t>
      </w:r>
      <w:bookmarkEnd w:id="9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je na propachtovaném pozemku zřízeno meliorační zařízení, pachtýř se zavazuje;</w:t>
      </w:r>
    </w:p>
    <w:p>
      <w:pPr>
        <w:pStyle w:val="Style15"/>
        <w:numPr>
          <w:ilvl w:val="0"/>
          <w:numId w:val="7"/>
        </w:numPr>
        <w:tabs>
          <w:tab w:leader="none" w:pos="1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10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15"/>
        <w:numPr>
          <w:ilvl w:val="0"/>
          <w:numId w:val="7"/>
        </w:numPr>
        <w:tabs>
          <w:tab w:leader="none" w:pos="1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23" w:line="283" w:lineRule="exact"/>
        <w:ind w:left="10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77"/>
        <w:ind w:left="4720" w:right="0" w:firstLine="0"/>
      </w:pPr>
      <w:bookmarkStart w:id="10" w:name="bookmark1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  <w:bookmarkEnd w:id="10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323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273"/>
        <w:ind w:left="4620" w:right="0" w:firstLine="0"/>
      </w:pPr>
      <w:bookmarkStart w:id="11" w:name="bookmark1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VIII</w:t>
      </w:r>
      <w:bookmarkEnd w:id="11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Pachtýř </w:t>
      </w:r>
      <w:r>
        <w:rPr>
          <w:rStyle w:val="CharStyle26"/>
        </w:rPr>
        <w:t xml:space="preserve">není oprávněn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propachtované pozemky, některé z nich nebo jejich části propachtovat nebo dát do užívání třetí osobě.</w:t>
      </w:r>
      <w:r>
        <w:br w:type="page"/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 w:line="283" w:lineRule="exact"/>
        <w:ind w:left="4740" w:right="0" w:firstLine="0"/>
      </w:pPr>
      <w:bookmarkStart w:id="12" w:name="bookmark1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IX</w:t>
      </w:r>
      <w:bookmarkEnd w:id="12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323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 jako správce dle zákona č. 101/2000 Sb., o ochraně osobních údajů a o změně některých zákonů, ve znění pozdějších předpisů, tímto informuje pachtýře jako subjekt údajů, že jeho údaje uvedené v této smlouvě zpracovává pro účely realizace, výkonu práv a povinností dle této smlouvy, když tyto údaje zpracovává automatizovaně. Propachtovatel tímto poučuje pachtýře, že poskytnutí osobních údajů je dobrovolné. Pachtýř si je vědom svého práva přístupu k osobním údajům, práva na opravu osobních údajů, jakož i dalších práv vyplývajících z ustanovení § 12 a § 21 zákona č. 101/2000 Sb., o ochraně osobních údajů a o změně některých zákonů, ve znění pozdějších předpisů.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/>
        <w:ind w:left="4740" w:right="0" w:firstLine="0"/>
      </w:pPr>
      <w:bookmarkStart w:id="13" w:name="bookmark1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Čl.X</w:t>
      </w:r>
      <w:bookmarkEnd w:id="13"/>
    </w:p>
    <w:p>
      <w:pPr>
        <w:pStyle w:val="Style15"/>
        <w:numPr>
          <w:ilvl w:val="0"/>
          <w:numId w:val="9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 na základě dohody smluvních stran.</w:t>
      </w:r>
    </w:p>
    <w:p>
      <w:pPr>
        <w:pStyle w:val="Style15"/>
        <w:numPr>
          <w:ilvl w:val="0"/>
          <w:numId w:val="9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 w:line="283" w:lineRule="exact"/>
        <w:ind w:left="4740" w:right="0" w:firstLine="0"/>
      </w:pPr>
      <w:bookmarkStart w:id="14" w:name="bookmark1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XI</w:t>
      </w:r>
      <w:bookmarkEnd w:id="14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323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je vyhotovena v třech stejnopisech, z nichž každý má platnost originálu. Dva stejnopisy přebírá pachtýř a jeden je určen pro propachtovatele.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/>
        <w:ind w:left="4740" w:right="0" w:firstLine="0"/>
      </w:pPr>
      <w:bookmarkStart w:id="15" w:name="bookmark1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XII</w:t>
      </w:r>
      <w:bookmarkEnd w:id="15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269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nabývá platnosti dnem jejího podpisu smluvními stranami.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 w:line="283" w:lineRule="exact"/>
        <w:ind w:left="4640" w:right="0" w:firstLine="0"/>
      </w:pPr>
      <w:bookmarkStart w:id="16" w:name="bookmark1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XIII</w:t>
      </w:r>
      <w:bookmarkEnd w:id="16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1151" w:line="283" w:lineRule="exact"/>
        <w:ind w:left="0" w:right="0" w:firstLine="6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1688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Českém Krumlově dne 30.6.2015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8" type="#_x0000_t202" style="position:absolute;margin-left:318.5pt;margin-top:-4.8pt;width:99.85pt;height:16.4pt;z-index:-125829375;mso-wrap-distance-left:161.3pt;mso-wrap-distance-right:5.pt;mso-wrap-distance-bottom:63.3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0" w:right="0" w:firstLine="0"/>
                  </w:pPr>
                  <w:r>
                    <w:rPr>
                      <w:rStyle w:val="CharStyle10"/>
                    </w:rPr>
                    <w:t>n.VJ-á^imír Nedorost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323.3pt;margin-top:34.8pt;width:73.9pt;height:41.55pt;z-index:-125829374;mso-wrap-distance-left:166.1pt;mso-wrap-distance-top:39.6pt;mso-wrap-distance-right:21.1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384" w:lineRule="exact"/>
                    <w:ind w:left="20" w:right="0" w:firstLine="0"/>
                  </w:pPr>
                  <w:r>
                    <w:rPr>
                      <w:rStyle w:val="CharStyle10"/>
                    </w:rPr>
                    <w:t>p.Jiří Nedorost</w:t>
                    <w:br/>
                    <w:t>pachtýř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Ing. Josef Jakeš i/j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vedoucí pobočkyt^eský Krumlov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32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Státní pozemkový úřad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1920" w:line="244" w:lineRule="exact"/>
        <w:ind w:left="0" w:right="2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propachtovatel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402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správnost: Božcná Schnelzerová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podpis</w:t>
      </w:r>
      <w:r>
        <w:br w:type="page"/>
      </w:r>
    </w:p>
    <w:p>
      <w:pPr>
        <w:pStyle w:val="Style31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100"/>
        <w:ind w:left="2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Příloha k nájemní smlouvě č. 101N15/33</w:t>
      </w:r>
    </w:p>
    <w:p>
      <w:pPr>
        <w:pStyle w:val="Style11"/>
        <w:tabs>
          <w:tab w:leader="none" w:pos="3553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00" w:right="0" w:firstLine="0"/>
      </w:pPr>
      <w:r>
        <w:pict>
          <v:shape id="_x0000_s1030" type="#_x0000_t202" style="position:absolute;margin-left:354.5pt;margin-top:-27.4pt;width:59.5pt;height:13.5pt;z-index:-125829373;mso-wrap-distance-left:24.5pt;mso-wrap-distance-right:5.pt;mso-wrap-distance-bottom:40.0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2" w:lineRule="exact"/>
                    <w:ind w:left="0" w:right="0" w:firstLine="0"/>
                  </w:pPr>
                  <w:r>
                    <w:rPr>
                      <w:rStyle w:val="CharStyle12"/>
                    </w:rPr>
                    <w:t>Nedorost Jiří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354.5pt;margin-top:14.6pt;width:37.9pt;height:13.5pt;z-index:-125829372;mso-wrap-distance-left:24.5pt;mso-wrap-distance-top:40.3pt;mso-wrap-distance-right:21.6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2" w:lineRule="exact"/>
                    <w:ind w:left="0" w:right="0" w:firstLine="0"/>
                  </w:pPr>
                  <w:r>
                    <w:rPr>
                      <w:rStyle w:val="CharStyle12"/>
                    </w:rPr>
                    <w:t>Velešín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Variabilní symbol: 10111533</w:t>
        <w:tab/>
        <w:t>Uzavřeno: 30.6.2015 Roční nájem:</w:t>
      </w:r>
    </w:p>
    <w:p>
      <w:pPr>
        <w:pStyle w:val="Style11"/>
        <w:tabs>
          <w:tab w:leader="none" w:pos="1755" w:val="left"/>
          <w:tab w:leader="none" w:pos="3553" w:val="left"/>
          <w:tab w:leader="none" w:pos="5782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Datum tisku:</w:t>
        <w:tab/>
        <w:t>7.7.2015</w:t>
        <w:tab/>
        <w:t>Účinná od: 1.7.2015</w:t>
        <w:tab/>
        <w:t>19 479 Kč</w:t>
      </w:r>
    </w:p>
    <w:p>
      <w:pPr>
        <w:pStyle w:val="Style34"/>
        <w:framePr w:w="9648" w:wrap="notBeside" w:vAnchor="text" w:hAnchor="text" w:xAlign="center" w:y="1"/>
        <w:tabs>
          <w:tab w:leader="none" w:pos="16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Katastr</w:t>
        <w:tab/>
        <w:t>Parcela / Díl Skup. Kultura Číslo LV Cena za ha Výměra % Nájem [Kč]</w:t>
      </w:r>
    </w:p>
    <w:p>
      <w:pPr>
        <w:pStyle w:val="Style34"/>
        <w:framePr w:w="9648" w:wrap="notBeside" w:vAnchor="text" w:hAnchor="text" w:xAlign="center" w:y="1"/>
        <w:tabs>
          <w:tab w:leader="underscore" w:pos="5890" w:val="left"/>
          <w:tab w:leader="underscore" w:pos="7296" w:val="left"/>
          <w:tab w:leader="underscore" w:pos="94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[Kč]</w:t>
        <w:tab/>
        <w:t>[m2]</w:t>
        <w:tab/>
      </w:r>
    </w:p>
    <w:p>
      <w:pPr>
        <w:pStyle w:val="Style34"/>
        <w:framePr w:w="964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Benešov nad Černou</w:t>
      </w:r>
    </w:p>
    <w:tbl>
      <w:tblPr>
        <w:tblOverlap w:val="never"/>
        <w:tblLayout w:type="fixed"/>
        <w:jc w:val="center"/>
      </w:tblPr>
      <w:tblGrid>
        <w:gridCol w:w="2510"/>
        <w:gridCol w:w="403"/>
        <w:gridCol w:w="418"/>
        <w:gridCol w:w="514"/>
        <w:gridCol w:w="706"/>
        <w:gridCol w:w="1190"/>
        <w:gridCol w:w="1157"/>
        <w:gridCol w:w="970"/>
        <w:gridCol w:w="552"/>
        <w:gridCol w:w="1229"/>
      </w:tblGrid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5 579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526,38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4 570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431,18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1 567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147,85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50,76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3 999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377,31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5,28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809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76,33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27 414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2 586,51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2 954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278,71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14 832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1 399,40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30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1 775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167,47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6 099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575,44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5 920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558,55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71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55,67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29,15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191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18,02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174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16,42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902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85,10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4 028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380,04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4 580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432,12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41,70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663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62,55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242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1,70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244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0,47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15,76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5,00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2 280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215,12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25 500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4 059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382,97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7"/>
              </w:rPr>
              <w:t>94 573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8 922,96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Hartunkov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1,32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750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65,77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3 201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280,70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472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41,39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251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22,01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9,65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165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14,47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728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63,84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4,47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42,09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4,82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4,56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28,76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2 203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193,18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2 189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191,95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19,73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171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15,78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Strana 1 ze 2</w:t>
            </w:r>
          </w:p>
        </w:tc>
      </w:tr>
    </w:tbl>
    <w:p>
      <w:pPr>
        <w:framePr w:w="96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left"/>
      </w:tblPr>
      <w:tblGrid>
        <w:gridCol w:w="2534"/>
        <w:gridCol w:w="298"/>
        <w:gridCol w:w="562"/>
        <w:gridCol w:w="442"/>
        <w:gridCol w:w="600"/>
        <w:gridCol w:w="1066"/>
        <w:gridCol w:w="1339"/>
        <w:gridCol w:w="1022"/>
        <w:gridCol w:w="696"/>
        <w:gridCol w:w="1061"/>
      </w:tblGrid>
      <w:tr>
        <w:trPr>
          <w:trHeight w:val="542" w:hRule="exact"/>
        </w:trPr>
        <w:tc>
          <w:tcPr>
            <w:shd w:val="clear" w:color="auto" w:fill="FFFFFF"/>
            <w:gridSpan w:val="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0" w:lineRule="exact"/>
              <w:ind w:left="140" w:right="0" w:firstLine="0"/>
            </w:pPr>
            <w:r>
              <w:rPr>
                <w:rStyle w:val="CharStyle38"/>
              </w:rPr>
              <w:t>Přfloha k nájemní smlouvě č. 101N15/33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60" w:right="0" w:firstLine="0"/>
            </w:pPr>
            <w:r>
              <w:rPr>
                <w:rStyle w:val="CharStyle36"/>
              </w:rPr>
              <w:t>Nedorost Jiří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Variabilní symbol: 10111533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Uzavřeno: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30.6.2015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Roční nájem: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tabs>
                <w:tab w:leader="none" w:pos="15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Datum tisku:</w:t>
              <w:tab/>
              <w:t>7.7.2015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Účinná od: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1.7.2015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19 479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Velešín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tabs>
                <w:tab w:leader="none" w:pos="169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Katastr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/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Díl Skup. Kultura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Cena za 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7"/>
              </w:rPr>
              <w:t>Výměra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7"/>
              </w:rPr>
              <w:t>% Nájem [Kč]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[Kč]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7"/>
              </w:rPr>
              <w:t>[m2]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17,80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39,46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14,21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512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44,90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409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289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25,34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409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1,84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1 999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175,29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447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7,02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397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34,81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476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41,74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489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14,64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2 341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205,28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537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32,18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17 142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1 503,18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6 779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594,45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4 994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437,92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576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172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15,08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596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10 807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947,67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596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2,81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33 881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2 971,02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687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3 380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296,39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721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11,05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724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198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17,36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409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35,87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12,54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286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25,08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349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30,60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859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13 567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1 189,69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263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23,06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917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1 332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116,80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1 741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3 467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304,02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1 749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26,83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1 758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2 876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252,20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1 796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' 23 700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391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34,29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7"/>
              </w:rPr>
              <w:t>119 819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10 506,91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Valtéřov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36 000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8,66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921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6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00" w:right="0" w:firstLine="0"/>
            </w:pPr>
            <w:r>
              <w:rPr>
                <w:rStyle w:val="CharStyle36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2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10 002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240" w:firstLine="0"/>
            </w:pPr>
            <w:r>
              <w:rPr>
                <w:rStyle w:val="CharStyle36"/>
              </w:rPr>
              <w:t>36 000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6"/>
              </w:rPr>
              <w:t>306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2" w:lineRule="exact"/>
              <w:ind w:left="180" w:right="0" w:firstLine="0"/>
            </w:pPr>
            <w:r>
              <w:rPr>
                <w:rStyle w:val="CharStyle36"/>
              </w:rPr>
              <w:t>3,7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6"/>
              </w:rPr>
              <w:t>40,76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180" w:firstLine="0"/>
            </w:pPr>
            <w:r>
              <w:rPr>
                <w:rStyle w:val="CharStyle37"/>
              </w:rPr>
              <w:t>371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619" w:h="12010" w:hSpace="53" w:wrap="notBeside" w:vAnchor="text" w:hAnchor="text" w:x="126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619" w:h="12010" w:hSpace="53" w:wrap="notBeside" w:vAnchor="text" w:hAnchor="text" w:x="126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2" w:lineRule="exact"/>
              <w:ind w:left="0" w:right="0" w:firstLine="0"/>
            </w:pPr>
            <w:r>
              <w:rPr>
                <w:rStyle w:val="CharStyle37"/>
              </w:rPr>
              <w:t>49,42</w:t>
            </w:r>
          </w:p>
        </w:tc>
      </w:tr>
    </w:tbl>
    <w:p>
      <w:pPr>
        <w:pStyle w:val="Style34"/>
        <w:framePr w:w="1085" w:h="270" w:hSpace="53" w:wrap="notBeside" w:vAnchor="text" w:hAnchor="text" w:x="54" w:y="12092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CELKEM:</w:t>
      </w:r>
    </w:p>
    <w:p>
      <w:pPr>
        <w:pStyle w:val="Style34"/>
        <w:framePr w:w="787" w:h="270" w:hSpace="53" w:wrap="notBeside" w:vAnchor="text" w:hAnchor="text" w:x="7072" w:y="12082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214 763</w:t>
      </w:r>
    </w:p>
    <w:p>
      <w:pPr>
        <w:pStyle w:val="Style34"/>
        <w:framePr w:w="979" w:h="265" w:hSpace="53" w:wrap="notBeside" w:vAnchor="text" w:hAnchor="text" w:x="8800" w:y="12087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19 479 Kč</w:t>
      </w: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2001" w:after="0" w:line="22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2 ze 2</w:t>
      </w:r>
    </w:p>
    <w:sectPr>
      <w:type w:val="continuous"/>
      <w:pgSz w:w="11904" w:h="16834"/>
      <w:pgMar w:top="604" w:left="1468" w:right="711" w:bottom="110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spacing w:val="10"/>
    </w:rPr>
  </w:style>
  <w:style w:type="character" w:customStyle="1" w:styleId="CharStyle4">
    <w:name w:val="Char Style 4 Exact"/>
    <w:basedOn w:val="CharStyle3"/>
    <w:rPr>
      <w:i/>
      <w:iCs/>
      <w:sz w:val="13"/>
      <w:szCs w:val="13"/>
      <w:rFonts w:ascii="Times New Roman" w:eastAsia="Times New Roman" w:hAnsi="Times New Roman" w:cs="Times New Roman"/>
      <w:w w:val="66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8">
    <w:name w:val="Char Style 8 Exact"/>
    <w:basedOn w:val="DefaultParagraphFont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0">
    <w:name w:val="Char Style 10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2">
    <w:name w:val="Char Style 12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4">
    <w:name w:val="Char Style 14"/>
    <w:basedOn w:val="DefaultParagraphFont"/>
    <w:link w:val="Style13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9">
    <w:name w:val="Char Style 19"/>
    <w:basedOn w:val="CharStyle18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Char Style 20"/>
    <w:basedOn w:val="DefaultParagraphFont"/>
    <w:link w:val="Style7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21">
    <w:name w:val="Char Style 21"/>
    <w:basedOn w:val="CharStyle20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Char Style 23"/>
    <w:basedOn w:val="DefaultParagraphFont"/>
    <w:link w:val="Style22"/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  <w:style w:type="character" w:customStyle="1" w:styleId="CharStyle25">
    <w:name w:val="Char Style 25"/>
    <w:basedOn w:val="DefaultParagraphFont"/>
    <w:link w:val="Style24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26">
    <w:name w:val="Char Style 26"/>
    <w:basedOn w:val="CharStyle16"/>
    <w:rPr>
      <w:lang w:val="cs-CZ" w:eastAsia="cs-CZ" w:bidi="cs-CZ"/>
      <w:b/>
      <w:bCs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Char Style 27"/>
    <w:basedOn w:val="CharStyle16"/>
    <w:rPr>
      <w:lang w:val="cs-CZ" w:eastAsia="cs-CZ" w:bidi="cs-CZ"/>
      <w:b/>
      <w:bCs/>
      <w:u w:val="single"/>
      <w:sz w:val="23"/>
      <w:szCs w:val="2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8">
    <w:name w:val="Char Style 28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/>
      <w:iCs/>
      <w:u w:val="none"/>
      <w:strike w:val="0"/>
      <w:smallCaps w:val="0"/>
    </w:rPr>
  </w:style>
  <w:style w:type="character" w:customStyle="1" w:styleId="CharStyle32">
    <w:name w:val="Char Style 32"/>
    <w:basedOn w:val="DefaultParagraphFont"/>
    <w:link w:val="Style31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33">
    <w:name w:val="Char Style 33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5">
    <w:name w:val="Char Style 35"/>
    <w:basedOn w:val="DefaultParagraphFont"/>
    <w:link w:val="Style34"/>
    <w:rPr>
      <w:b/>
      <w:bCs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6">
    <w:name w:val="Char Style 36"/>
    <w:basedOn w:val="CharStyle16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Char Style 37"/>
    <w:basedOn w:val="CharStyle16"/>
    <w:rPr>
      <w:lang w:val="cs-CZ" w:eastAsia="cs-CZ" w:bidi="cs-CZ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Char Style 38"/>
    <w:basedOn w:val="CharStyle16"/>
    <w:rPr>
      <w:lang w:val="cs-CZ" w:eastAsia="cs-CZ" w:bidi="cs-CZ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21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spacing w:val="10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168" w:lineRule="exact"/>
    </w:pPr>
    <w:rPr>
      <w:b/>
      <w:bCs/>
      <w:i w:val="0"/>
      <w:iCs w:val="0"/>
      <w:u w:val="none"/>
      <w:strike w:val="0"/>
      <w:smallCaps w:val="0"/>
      <w:sz w:val="14"/>
      <w:szCs w:val="14"/>
    </w:rPr>
  </w:style>
  <w:style w:type="paragraph" w:customStyle="1" w:styleId="Style7">
    <w:name w:val="Style 7"/>
    <w:basedOn w:val="Normal"/>
    <w:link w:val="CharStyle20"/>
    <w:pPr>
      <w:widowControl w:val="0"/>
      <w:shd w:val="clear" w:color="auto" w:fill="FFFFFF"/>
      <w:jc w:val="center"/>
      <w:spacing w:before="640" w:line="35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9">
    <w:name w:val="Style 9"/>
    <w:basedOn w:val="Normal"/>
    <w:link w:val="CharStyle28"/>
    <w:pPr>
      <w:widowControl w:val="0"/>
      <w:shd w:val="clear" w:color="auto" w:fill="FFFFFF"/>
      <w:spacing w:before="1700"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1">
    <w:name w:val="Style 11"/>
    <w:basedOn w:val="Normal"/>
    <w:link w:val="CharStyle33"/>
    <w:pPr>
      <w:widowControl w:val="0"/>
      <w:shd w:val="clear" w:color="auto" w:fill="FFFFFF"/>
      <w:jc w:val="both"/>
      <w:spacing w:before="140" w:line="36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54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44" w:lineRule="exact"/>
      <w:ind w:hanging="106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both"/>
      <w:outlineLvl w:val="0"/>
      <w:spacing w:before="880" w:line="35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jc w:val="center"/>
      <w:outlineLvl w:val="1"/>
      <w:spacing w:line="869" w:lineRule="exact"/>
    </w:pPr>
    <w:rPr>
      <w:b/>
      <w:bCs/>
      <w:i w:val="0"/>
      <w:iCs w:val="0"/>
      <w:u w:val="none"/>
      <w:strike w:val="0"/>
      <w:smallCaps w:val="0"/>
      <w:sz w:val="24"/>
      <w:szCs w:val="24"/>
      <w:spacing w:val="30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outlineLvl w:val="1"/>
      <w:spacing w:after="300" w:line="254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before="420" w:line="266" w:lineRule="exact"/>
    </w:pPr>
    <w:rPr>
      <w:b w:val="0"/>
      <w:bCs w:val="0"/>
      <w:i/>
      <w:iCs/>
      <w:u w:val="none"/>
      <w:strike w:val="0"/>
      <w:smallCaps w:val="0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jc w:val="both"/>
      <w:spacing w:after="140" w:line="31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jc w:val="both"/>
      <w:spacing w:line="235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