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63" w:rsidRPr="00A54E10" w:rsidRDefault="00312E63" w:rsidP="002B49AD">
      <w:pPr>
        <w:pStyle w:val="hlavika"/>
        <w:spacing w:after="12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312E63" w:rsidRPr="00A54E10" w:rsidRDefault="00312E63" w:rsidP="00E04475">
      <w:pPr>
        <w:pStyle w:val="pole"/>
        <w:rPr>
          <w:b/>
        </w:rPr>
        <w:sectPr w:rsidR="00312E63" w:rsidRPr="00A54E10" w:rsidSect="00312E63">
          <w:headerReference w:type="default" r:id="rId11"/>
          <w:footerReference w:type="default" r:id="rId12"/>
          <w:pgSz w:w="11906" w:h="16838" w:code="9"/>
          <w:pgMar w:top="2552" w:right="1418" w:bottom="1418" w:left="1418" w:header="709" w:footer="851" w:gutter="0"/>
          <w:pgNumType w:start="1"/>
          <w:cols w:space="708"/>
          <w:docGrid w:linePitch="360"/>
        </w:sectPr>
      </w:pPr>
    </w:p>
    <w:p w:rsidR="00312E63" w:rsidRDefault="00312E63" w:rsidP="00392CBE">
      <w:pPr>
        <w:pStyle w:val="pole"/>
        <w:tabs>
          <w:tab w:val="clear" w:pos="1701"/>
          <w:tab w:val="left" w:pos="2552"/>
        </w:tabs>
        <w:ind w:left="2340" w:hanging="2340"/>
        <w:rPr>
          <w:lang w:val="cs-CZ"/>
        </w:rPr>
      </w:pPr>
      <w:r w:rsidRPr="00F93A11">
        <w:t>Číslo</w:t>
      </w:r>
      <w:r>
        <w:t xml:space="preserve"> smlouvy u</w:t>
      </w:r>
      <w:r w:rsidRPr="00F93A11">
        <w:t xml:space="preserve"> </w:t>
      </w:r>
      <w:r w:rsidRPr="00BE6839">
        <w:t>poskytovatele</w:t>
      </w:r>
      <w:r w:rsidRPr="00F93A11">
        <w:t>:</w:t>
      </w:r>
      <w:r>
        <w:t xml:space="preserve">        </w:t>
      </w:r>
      <w:r>
        <w:tab/>
      </w:r>
      <w:r w:rsidR="009E0FAD" w:rsidRPr="009E0FAD">
        <w:rPr>
          <w:noProof/>
        </w:rPr>
        <w:t>18/SML4095/SoPP/ZPZ</w:t>
      </w:r>
    </w:p>
    <w:p w:rsidR="00312E63" w:rsidRPr="0028306A" w:rsidRDefault="00312E63" w:rsidP="00392CBE">
      <w:pPr>
        <w:pStyle w:val="pole"/>
        <w:tabs>
          <w:tab w:val="clear" w:pos="1701"/>
          <w:tab w:val="left" w:pos="3544"/>
        </w:tabs>
        <w:ind w:left="2340" w:hanging="2340"/>
        <w:rPr>
          <w:lang w:val="cs-CZ"/>
        </w:rPr>
      </w:pPr>
      <w:r>
        <w:rPr>
          <w:lang w:val="cs-CZ"/>
        </w:rPr>
        <w:t xml:space="preserve">JID smlouvy:                 </w:t>
      </w:r>
      <w:r>
        <w:rPr>
          <w:lang w:val="cs-CZ"/>
        </w:rPr>
        <w:tab/>
      </w:r>
      <w:r>
        <w:rPr>
          <w:lang w:val="cs-CZ"/>
        </w:rPr>
        <w:tab/>
      </w:r>
      <w:r w:rsidR="009E0FAD" w:rsidRPr="009E0FAD">
        <w:rPr>
          <w:noProof/>
        </w:rPr>
        <w:t>119803/2018/KUUK</w:t>
      </w:r>
    </w:p>
    <w:p w:rsidR="00312E63" w:rsidRPr="003F1DD7" w:rsidRDefault="00312E63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 w:rsidRPr="00F93A11">
        <w:t xml:space="preserve">Číslo </w:t>
      </w:r>
      <w:r>
        <w:t>smlouvy u příjemce</w:t>
      </w:r>
      <w:r w:rsidRPr="00F93A11">
        <w:t>:</w:t>
      </w:r>
      <w:r>
        <w:tab/>
      </w:r>
    </w:p>
    <w:p w:rsidR="00312E63" w:rsidRDefault="00312E63" w:rsidP="0033746D">
      <w:pPr>
        <w:pStyle w:val="przdndek"/>
      </w:pPr>
    </w:p>
    <w:p w:rsidR="00312E63" w:rsidRDefault="00312E63" w:rsidP="00E04475">
      <w:pPr>
        <w:pStyle w:val="nadpis-smlouva"/>
      </w:pPr>
      <w:r>
        <w:t>Smlouva O POSKYTNUTÍ příspěvku</w:t>
      </w:r>
    </w:p>
    <w:p w:rsidR="00312E63" w:rsidRPr="00A207E1" w:rsidRDefault="00312E63" w:rsidP="00E04475">
      <w:pPr>
        <w:pStyle w:val="nadpis-smlouva"/>
        <w:rPr>
          <w:b w:val="0"/>
          <w:caps w:val="0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>
        <w:rPr>
          <w:b w:val="0"/>
          <w:caps w:val="0"/>
          <w:sz w:val="22"/>
        </w:rPr>
        <w:t>v souladu s </w:t>
      </w:r>
      <w:proofErr w:type="spellStart"/>
      <w:r>
        <w:rPr>
          <w:b w:val="0"/>
          <w:caps w:val="0"/>
          <w:sz w:val="22"/>
        </w:rPr>
        <w:t>ust</w:t>
      </w:r>
      <w:proofErr w:type="spellEnd"/>
      <w:r>
        <w:rPr>
          <w:b w:val="0"/>
          <w:caps w:val="0"/>
          <w:sz w:val="22"/>
        </w:rPr>
        <w:t>. §10a zákona č. 250/2000 Sb., o rozpočtových pravidlech územních rozpočtů, ve znění pozdějších předpisů (dále jen „zákon č. 250/2000 Sb.“)</w:t>
      </w:r>
    </w:p>
    <w:p w:rsidR="00312E63" w:rsidRPr="00A54E10" w:rsidRDefault="00312E63" w:rsidP="002B49AD">
      <w:pPr>
        <w:pStyle w:val="nadpis-bod"/>
        <w:spacing w:before="360"/>
      </w:pPr>
      <w:r>
        <w:t>Smluvní strany</w:t>
      </w:r>
    </w:p>
    <w:p w:rsidR="00312E63" w:rsidRDefault="00312E63" w:rsidP="00393E31">
      <w:pPr>
        <w:pStyle w:val="adresa"/>
      </w:pPr>
      <w:r>
        <w:t>Poskytovatel</w:t>
      </w:r>
    </w:p>
    <w:p w:rsidR="00312E63" w:rsidRPr="00A54E10" w:rsidRDefault="00312E63" w:rsidP="00393E31">
      <w:pPr>
        <w:pStyle w:val="adresa"/>
      </w:pPr>
      <w:r>
        <w:t>Ústecký kraj</w:t>
      </w:r>
    </w:p>
    <w:p w:rsidR="00312E63" w:rsidRPr="005C12DE" w:rsidRDefault="00312E63" w:rsidP="00393E31">
      <w:pPr>
        <w:pStyle w:val="pole"/>
      </w:pPr>
      <w:r>
        <w:t>Sídlo:</w:t>
      </w:r>
      <w:r>
        <w:tab/>
        <w:t>Velká Hradební 3118/48, 400 02 Ústí nad Labem</w:t>
      </w:r>
    </w:p>
    <w:p w:rsidR="00312E63" w:rsidRPr="00A070EE" w:rsidRDefault="00312E63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cs="Arial"/>
        </w:rPr>
      </w:pPr>
      <w:r>
        <w:t>Zastoupený:</w:t>
      </w:r>
      <w:r>
        <w:tab/>
      </w:r>
      <w:r w:rsidRPr="00F472F4">
        <w:rPr>
          <w:rFonts w:cs="Arial"/>
        </w:rPr>
        <w:t xml:space="preserve">Jitkou </w:t>
      </w:r>
      <w:proofErr w:type="spellStart"/>
      <w:r w:rsidRPr="00F472F4">
        <w:rPr>
          <w:rFonts w:cs="Arial"/>
        </w:rPr>
        <w:t>Sachetovou</w:t>
      </w:r>
      <w:proofErr w:type="spellEnd"/>
      <w:r w:rsidRPr="00F472F4">
        <w:rPr>
          <w:rFonts w:cs="Arial"/>
        </w:rPr>
        <w:t xml:space="preserve">, členkou Rady Ústeckého kraje pro oblast </w:t>
      </w:r>
      <w:r>
        <w:rPr>
          <w:rFonts w:cs="Arial"/>
        </w:rPr>
        <w:tab/>
      </w:r>
      <w:r>
        <w:rPr>
          <w:rFonts w:cs="Arial"/>
        </w:rPr>
        <w:tab/>
        <w:t xml:space="preserve">kultury a památkové </w:t>
      </w:r>
      <w:r w:rsidRPr="00F472F4">
        <w:rPr>
          <w:rFonts w:cs="Arial"/>
        </w:rPr>
        <w:t>péče, zemědělství, životního prostředí a venkova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Kontaktní osoba:</w:t>
      </w:r>
      <w:r>
        <w:tab/>
      </w:r>
      <w:r>
        <w:rPr>
          <w:lang w:val="cs-CZ"/>
        </w:rPr>
        <w:t>Ing. Jakub Skoupý, vedoucí oddělení zemědělství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E-mail/telefon:</w:t>
      </w:r>
      <w:r>
        <w:tab/>
      </w:r>
      <w:hyperlink r:id="rId13" w:history="1">
        <w:r w:rsidRPr="00141EBA">
          <w:rPr>
            <w:rStyle w:val="Hypertextovodkaz"/>
            <w:lang w:val="cs-CZ"/>
          </w:rPr>
          <w:t>skoupy.j@kr-ustecky.cz</w:t>
        </w:r>
      </w:hyperlink>
      <w:r>
        <w:rPr>
          <w:lang w:val="cs-CZ"/>
        </w:rPr>
        <w:t xml:space="preserve"> </w:t>
      </w:r>
      <w:r w:rsidRPr="00392CBE">
        <w:rPr>
          <w:lang w:val="cs-CZ"/>
        </w:rPr>
        <w:t>/ 475</w:t>
      </w:r>
      <w:r w:rsidRPr="00BC2876">
        <w:rPr>
          <w:lang w:val="cs-CZ"/>
        </w:rPr>
        <w:t xml:space="preserve"> 6</w:t>
      </w:r>
      <w:r>
        <w:rPr>
          <w:lang w:val="cs-CZ"/>
        </w:rPr>
        <w:t>57 916</w:t>
      </w:r>
    </w:p>
    <w:p w:rsidR="00312E63" w:rsidRDefault="00312E63" w:rsidP="00393E31">
      <w:pPr>
        <w:pStyle w:val="pole"/>
      </w:pPr>
      <w:r>
        <w:t>IČ:</w:t>
      </w:r>
      <w:r>
        <w:tab/>
        <w:t>70892156</w:t>
      </w:r>
    </w:p>
    <w:p w:rsidR="00312E63" w:rsidRDefault="00312E63" w:rsidP="00393E31">
      <w:pPr>
        <w:pStyle w:val="pole"/>
      </w:pPr>
      <w:r>
        <w:t>DIČ:</w:t>
      </w:r>
      <w:r>
        <w:tab/>
        <w:t>CZ70892156</w:t>
      </w:r>
    </w:p>
    <w:p w:rsidR="00312E63" w:rsidRDefault="00312E63" w:rsidP="00393E31">
      <w:pPr>
        <w:pStyle w:val="pole"/>
      </w:pPr>
      <w:r>
        <w:t>Bank. spojení:</w:t>
      </w:r>
      <w:r>
        <w:tab/>
      </w:r>
      <w:r w:rsidRPr="00BE1DCB">
        <w:t>Česká spořitelna, a.s.</w:t>
      </w:r>
    </w:p>
    <w:p w:rsidR="00312E63" w:rsidRDefault="00312E63" w:rsidP="00393E31">
      <w:pPr>
        <w:pStyle w:val="pole"/>
      </w:pPr>
      <w:r>
        <w:tab/>
        <w:t>číslo účtu:</w:t>
      </w:r>
      <w:r w:rsidRPr="00BE1DCB">
        <w:t xml:space="preserve"> </w:t>
      </w:r>
      <w:r w:rsidRPr="00467D5A">
        <w:rPr>
          <w:rFonts w:cs="Arial"/>
          <w:bCs/>
        </w:rPr>
        <w:t>1630952/0800</w:t>
      </w:r>
    </w:p>
    <w:p w:rsidR="00312E63" w:rsidRDefault="00312E63" w:rsidP="00393E31">
      <w:pPr>
        <w:pStyle w:val="pole"/>
      </w:pPr>
    </w:p>
    <w:p w:rsidR="00312E63" w:rsidRPr="00D63AF3" w:rsidRDefault="00312E63" w:rsidP="00393E31">
      <w:pPr>
        <w:pStyle w:val="pole"/>
        <w:rPr>
          <w:i/>
        </w:rPr>
      </w:pPr>
      <w:r>
        <w:t>(</w:t>
      </w:r>
      <w:r w:rsidRPr="00D63AF3">
        <w:rPr>
          <w:i/>
        </w:rPr>
        <w:t>dále jen ,,poskytovatel“)</w:t>
      </w:r>
    </w:p>
    <w:p w:rsidR="00312E63" w:rsidRPr="00D63AF3" w:rsidRDefault="00312E63" w:rsidP="00D262D0">
      <w:pPr>
        <w:pStyle w:val="adresa"/>
        <w:rPr>
          <w:i/>
        </w:rPr>
      </w:pPr>
    </w:p>
    <w:p w:rsidR="00312E63" w:rsidRDefault="00312E63" w:rsidP="00D262D0">
      <w:pPr>
        <w:pStyle w:val="adresa"/>
      </w:pPr>
      <w:r>
        <w:t>a</w:t>
      </w:r>
    </w:p>
    <w:p w:rsidR="00312E63" w:rsidRPr="005F2306" w:rsidRDefault="00312E63" w:rsidP="00D262D0">
      <w:pPr>
        <w:pStyle w:val="adresa"/>
      </w:pPr>
    </w:p>
    <w:p w:rsidR="001C6C05" w:rsidRDefault="00312E63" w:rsidP="001C6C05">
      <w:pPr>
        <w:pStyle w:val="adresa"/>
        <w:tabs>
          <w:tab w:val="left" w:pos="1701"/>
        </w:tabs>
        <w:rPr>
          <w:rFonts w:cs="Arial"/>
          <w:noProof/>
        </w:rPr>
      </w:pPr>
      <w:r w:rsidRPr="004000BE">
        <w:rPr>
          <w:rFonts w:cs="Arial"/>
        </w:rPr>
        <w:t>Příjemce</w:t>
      </w:r>
      <w:r>
        <w:rPr>
          <w:rFonts w:cs="Arial"/>
        </w:rPr>
        <w:t>:</w:t>
      </w:r>
      <w:r w:rsidRPr="004000BE">
        <w:rPr>
          <w:rFonts w:cs="Arial"/>
          <w:color w:val="0000FF"/>
        </w:rPr>
        <w:t xml:space="preserve"> </w:t>
      </w:r>
      <w:r w:rsidRPr="004000BE">
        <w:rPr>
          <w:rFonts w:cs="Arial"/>
          <w:color w:val="0070C0"/>
        </w:rPr>
        <w:tab/>
      </w:r>
      <w:r w:rsidR="009E0FAD">
        <w:rPr>
          <w:rFonts w:cs="Arial"/>
          <w:noProof/>
        </w:rPr>
        <w:t>FINE DREAM</w:t>
      </w:r>
      <w:r w:rsidR="008D5EFB">
        <w:rPr>
          <w:rFonts w:cs="Arial"/>
          <w:noProof/>
        </w:rPr>
        <w:t>,</w:t>
      </w:r>
      <w:r w:rsidR="009E0FAD">
        <w:rPr>
          <w:rFonts w:cs="Arial"/>
          <w:noProof/>
        </w:rPr>
        <w:t xml:space="preserve"> s.r.o.</w:t>
      </w:r>
    </w:p>
    <w:p w:rsidR="00AB7953" w:rsidRDefault="001C6C05" w:rsidP="00AB7953">
      <w:pPr>
        <w:pStyle w:val="adresa"/>
        <w:tabs>
          <w:tab w:val="left" w:pos="1701"/>
        </w:tabs>
        <w:rPr>
          <w:rFonts w:cs="Arial"/>
          <w:b w:val="0"/>
          <w:noProof/>
        </w:rPr>
      </w:pPr>
      <w:r w:rsidRPr="001C6C05">
        <w:rPr>
          <w:rFonts w:cs="Arial"/>
          <w:b w:val="0"/>
        </w:rPr>
        <w:t>Sídlo</w:t>
      </w:r>
      <w:r w:rsidR="00312E63" w:rsidRPr="001C6C05">
        <w:rPr>
          <w:rFonts w:cs="Arial"/>
          <w:b w:val="0"/>
        </w:rPr>
        <w:t>:</w:t>
      </w:r>
      <w:r w:rsidR="00312E63" w:rsidRPr="00392CBE">
        <w:rPr>
          <w:rFonts w:cs="Arial"/>
        </w:rPr>
        <w:tab/>
      </w:r>
      <w:r w:rsidR="009E0FAD" w:rsidRPr="009E0FAD">
        <w:rPr>
          <w:rFonts w:cs="Arial"/>
          <w:b w:val="0"/>
          <w:noProof/>
        </w:rPr>
        <w:t>Přístavní 321/14</w:t>
      </w:r>
      <w:r w:rsidRPr="001C6C05">
        <w:rPr>
          <w:rFonts w:cs="Arial"/>
          <w:b w:val="0"/>
          <w:noProof/>
        </w:rPr>
        <w:t xml:space="preserve">, </w:t>
      </w:r>
      <w:r w:rsidR="009E0FAD" w:rsidRPr="009E0FAD">
        <w:rPr>
          <w:rFonts w:cs="Arial"/>
          <w:b w:val="0"/>
          <w:noProof/>
        </w:rPr>
        <w:t>170 00 Pra</w:t>
      </w:r>
      <w:r w:rsidR="009E0FAD">
        <w:rPr>
          <w:rFonts w:cs="Arial"/>
          <w:b w:val="0"/>
          <w:noProof/>
        </w:rPr>
        <w:t>ha</w:t>
      </w:r>
    </w:p>
    <w:p w:rsidR="001C6C05" w:rsidRPr="00AB7953" w:rsidRDefault="00312E63" w:rsidP="00AB7953">
      <w:pPr>
        <w:pStyle w:val="adresa"/>
        <w:tabs>
          <w:tab w:val="left" w:pos="1701"/>
        </w:tabs>
        <w:rPr>
          <w:rFonts w:cs="Arial"/>
          <w:b w:val="0"/>
          <w:noProof/>
        </w:rPr>
      </w:pPr>
      <w:r w:rsidRPr="00AB7953">
        <w:rPr>
          <w:rFonts w:cs="Arial"/>
          <w:b w:val="0"/>
        </w:rPr>
        <w:t>Zastoupený:</w:t>
      </w:r>
      <w:r w:rsidRPr="00AB7953">
        <w:rPr>
          <w:rFonts w:cs="Arial"/>
          <w:b w:val="0"/>
        </w:rPr>
        <w:tab/>
      </w:r>
      <w:r w:rsidR="009E0FAD" w:rsidRPr="009E0FAD">
        <w:rPr>
          <w:rFonts w:cs="Arial"/>
          <w:b w:val="0"/>
          <w:noProof/>
        </w:rPr>
        <w:t>Petr Nešetřil, jednatel</w:t>
      </w:r>
    </w:p>
    <w:p w:rsidR="001C6C05" w:rsidRDefault="00312E63" w:rsidP="0033746D">
      <w:pPr>
        <w:pStyle w:val="pole"/>
        <w:rPr>
          <w:rFonts w:cs="Arial"/>
          <w:noProof/>
        </w:rPr>
      </w:pPr>
      <w:r w:rsidRPr="004000BE">
        <w:rPr>
          <w:rFonts w:cs="Arial"/>
        </w:rPr>
        <w:t>Kontaktní osoba:</w:t>
      </w:r>
      <w:r w:rsidRPr="004000BE">
        <w:rPr>
          <w:rFonts w:cs="Arial"/>
        </w:rPr>
        <w:tab/>
      </w:r>
      <w:r w:rsidR="009E0FAD" w:rsidRPr="009E0FAD">
        <w:rPr>
          <w:rFonts w:cs="Arial"/>
          <w:noProof/>
        </w:rPr>
        <w:t>Jiří Hanč</w:t>
      </w:r>
    </w:p>
    <w:p w:rsidR="00312E63" w:rsidRPr="005F64E1" w:rsidRDefault="00312E63" w:rsidP="0033746D">
      <w:pPr>
        <w:pStyle w:val="pole"/>
        <w:rPr>
          <w:rFonts w:cs="Arial"/>
          <w:lang w:val="cs-CZ"/>
        </w:rPr>
      </w:pPr>
      <w:r w:rsidRPr="004000BE">
        <w:rPr>
          <w:rFonts w:cs="Arial"/>
        </w:rPr>
        <w:t>E-mail/telefon:</w:t>
      </w:r>
      <w:r w:rsidRPr="004000BE">
        <w:rPr>
          <w:rFonts w:cs="Arial"/>
        </w:rPr>
        <w:tab/>
      </w:r>
      <w:r w:rsidR="009E0FAD" w:rsidRPr="009E0FAD">
        <w:rPr>
          <w:rStyle w:val="Hypertextovodkaz"/>
          <w:rFonts w:cs="Arial"/>
          <w:noProof/>
        </w:rPr>
        <w:t>j.hanc@centrum.cz</w:t>
      </w:r>
      <w:r w:rsidR="00AB7953">
        <w:rPr>
          <w:rStyle w:val="Hypertextovodkaz"/>
          <w:rFonts w:cs="Arial"/>
          <w:noProof/>
          <w:lang w:val="cs-CZ"/>
        </w:rPr>
        <w:t>,</w:t>
      </w:r>
      <w:r w:rsidR="00AB7953" w:rsidRPr="00AB7953">
        <w:t xml:space="preserve"> </w:t>
      </w:r>
      <w:r w:rsidR="009E0FAD" w:rsidRPr="009E0FAD">
        <w:rPr>
          <w:rFonts w:cs="Arial"/>
          <w:lang w:val="cs-CZ"/>
        </w:rPr>
        <w:t>721</w:t>
      </w:r>
      <w:r w:rsidR="009E0FAD">
        <w:rPr>
          <w:rFonts w:cs="Arial"/>
          <w:lang w:val="cs-CZ"/>
        </w:rPr>
        <w:t> </w:t>
      </w:r>
      <w:r w:rsidR="009E0FAD" w:rsidRPr="009E0FAD">
        <w:rPr>
          <w:rFonts w:cs="Arial"/>
          <w:lang w:val="cs-CZ"/>
        </w:rPr>
        <w:t>940</w:t>
      </w:r>
      <w:r w:rsidR="009E0FAD">
        <w:rPr>
          <w:rFonts w:cs="Arial"/>
          <w:lang w:val="cs-CZ"/>
        </w:rPr>
        <w:t xml:space="preserve"> </w:t>
      </w:r>
      <w:r w:rsidR="009E0FAD" w:rsidRPr="009E0FAD">
        <w:rPr>
          <w:rFonts w:cs="Arial"/>
          <w:lang w:val="cs-CZ"/>
        </w:rPr>
        <w:t>677</w:t>
      </w:r>
    </w:p>
    <w:p w:rsidR="00312E63" w:rsidRDefault="00312E63" w:rsidP="009E0FAD">
      <w:pPr>
        <w:pStyle w:val="pole"/>
        <w:rPr>
          <w:rFonts w:cs="Arial"/>
          <w:noProof/>
        </w:rPr>
      </w:pPr>
      <w:r w:rsidRPr="00392CBE">
        <w:rPr>
          <w:rFonts w:cs="Arial"/>
        </w:rPr>
        <w:t>IČ:</w:t>
      </w:r>
      <w:r w:rsidRPr="00392CBE">
        <w:rPr>
          <w:rFonts w:cs="Arial"/>
        </w:rPr>
        <w:tab/>
      </w:r>
      <w:r w:rsidR="009E0FAD" w:rsidRPr="009E0FAD">
        <w:rPr>
          <w:rFonts w:cs="Arial"/>
          <w:noProof/>
        </w:rPr>
        <w:t>27245039</w:t>
      </w:r>
    </w:p>
    <w:p w:rsidR="0054102A" w:rsidRPr="0071593E" w:rsidRDefault="0054102A" w:rsidP="0054102A">
      <w:pPr>
        <w:pStyle w:val="pole"/>
        <w:rPr>
          <w:rFonts w:cs="Arial"/>
          <w:lang w:val="cs-CZ"/>
        </w:rPr>
      </w:pPr>
      <w:r>
        <w:rPr>
          <w:rFonts w:cs="Arial"/>
          <w:noProof/>
          <w:lang w:val="cs-CZ"/>
        </w:rPr>
        <w:t>DIČ:</w:t>
      </w:r>
      <w:r>
        <w:rPr>
          <w:rFonts w:cs="Arial"/>
          <w:noProof/>
          <w:lang w:val="cs-CZ"/>
        </w:rPr>
        <w:tab/>
      </w:r>
      <w:r w:rsidRPr="0071593E">
        <w:rPr>
          <w:rFonts w:cs="Arial"/>
          <w:noProof/>
        </w:rPr>
        <w:t>CZ27245039</w:t>
      </w:r>
    </w:p>
    <w:p w:rsidR="001C6C05" w:rsidRDefault="00312E63" w:rsidP="0033746D">
      <w:pPr>
        <w:pStyle w:val="pole"/>
        <w:rPr>
          <w:rFonts w:cs="Arial"/>
          <w:noProof/>
        </w:rPr>
      </w:pPr>
      <w:r w:rsidRPr="004000BE">
        <w:rPr>
          <w:rFonts w:cs="Arial"/>
        </w:rPr>
        <w:t>Bank. spojení:</w:t>
      </w:r>
      <w:r w:rsidRPr="004000BE">
        <w:rPr>
          <w:rFonts w:cs="Arial"/>
        </w:rPr>
        <w:tab/>
      </w:r>
      <w:r w:rsidR="009E0FAD" w:rsidRPr="009E0FAD">
        <w:rPr>
          <w:rFonts w:cs="Arial"/>
          <w:noProof/>
        </w:rPr>
        <w:t>Raiffeisenbank a.s.</w:t>
      </w:r>
    </w:p>
    <w:p w:rsidR="00312E63" w:rsidRDefault="00312E63" w:rsidP="00AB7953">
      <w:pPr>
        <w:pStyle w:val="pole"/>
        <w:rPr>
          <w:rFonts w:cs="Arial"/>
          <w:noProof/>
        </w:rPr>
      </w:pPr>
      <w:r w:rsidRPr="004000BE">
        <w:rPr>
          <w:rFonts w:cs="Arial"/>
        </w:rPr>
        <w:tab/>
        <w:t>číslo účtu:</w:t>
      </w:r>
      <w:r>
        <w:rPr>
          <w:rFonts w:cs="Arial"/>
          <w:lang w:val="cs-CZ"/>
        </w:rPr>
        <w:t xml:space="preserve"> </w:t>
      </w:r>
      <w:r w:rsidR="009E0FAD" w:rsidRPr="009E0FAD">
        <w:rPr>
          <w:rFonts w:cs="Arial"/>
          <w:noProof/>
        </w:rPr>
        <w:t>5080117702/5500</w:t>
      </w:r>
    </w:p>
    <w:p w:rsidR="00AB7953" w:rsidRDefault="00AB7953" w:rsidP="00AB7953">
      <w:pPr>
        <w:pStyle w:val="pole"/>
        <w:rPr>
          <w:rFonts w:cs="Arial"/>
          <w:color w:val="0070C0"/>
          <w:lang w:val="cs-CZ"/>
        </w:rPr>
      </w:pPr>
    </w:p>
    <w:p w:rsidR="008D5EFB" w:rsidRPr="00D57E1F" w:rsidRDefault="008D5EFB" w:rsidP="008D5EFB">
      <w:pPr>
        <w:pStyle w:val="pole"/>
        <w:jc w:val="center"/>
        <w:rPr>
          <w:rFonts w:cs="Arial"/>
        </w:rPr>
      </w:pPr>
      <w:r w:rsidRPr="00D57E1F">
        <w:rPr>
          <w:rFonts w:cs="Arial"/>
        </w:rPr>
        <w:t xml:space="preserve">zapsaný v obchodním rejstříku u </w:t>
      </w:r>
      <w:r w:rsidRPr="00D57E1F">
        <w:rPr>
          <w:rFonts w:cs="Arial"/>
          <w:lang w:val="cs-CZ"/>
        </w:rPr>
        <w:t>Městského soudu v Praze</w:t>
      </w:r>
      <w:r w:rsidRPr="00D57E1F">
        <w:rPr>
          <w:rFonts w:cs="Arial"/>
        </w:rPr>
        <w:t xml:space="preserve">, pod </w:t>
      </w:r>
      <w:proofErr w:type="spellStart"/>
      <w:r w:rsidRPr="00D57E1F">
        <w:rPr>
          <w:rFonts w:cs="Arial"/>
        </w:rPr>
        <w:t>sp</w:t>
      </w:r>
      <w:proofErr w:type="spellEnd"/>
      <w:r w:rsidRPr="00D57E1F">
        <w:rPr>
          <w:rFonts w:cs="Arial"/>
        </w:rPr>
        <w:t xml:space="preserve">. zn. </w:t>
      </w:r>
      <w:r>
        <w:rPr>
          <w:rFonts w:cs="Arial"/>
          <w:lang w:val="cs-CZ"/>
        </w:rPr>
        <w:t>C</w:t>
      </w:r>
      <w:r w:rsidRPr="00D57E1F">
        <w:rPr>
          <w:rFonts w:cs="Arial"/>
          <w:lang w:val="cs-CZ"/>
        </w:rPr>
        <w:t xml:space="preserve"> 107256</w:t>
      </w:r>
    </w:p>
    <w:p w:rsidR="008D5EFB" w:rsidRPr="00D57E1F" w:rsidRDefault="008D5EFB" w:rsidP="008D5EFB">
      <w:pPr>
        <w:pStyle w:val="pole"/>
        <w:tabs>
          <w:tab w:val="clear" w:pos="1701"/>
          <w:tab w:val="left" w:pos="0"/>
        </w:tabs>
        <w:ind w:left="0" w:firstLine="0"/>
        <w:jc w:val="center"/>
        <w:rPr>
          <w:rFonts w:cs="Arial"/>
        </w:rPr>
      </w:pPr>
      <w:r w:rsidRPr="00D57E1F">
        <w:rPr>
          <w:rFonts w:cs="Arial"/>
        </w:rPr>
        <w:t>(kopie výpisu z obchodního rejstříku tvoří přílohu č. 1 k této smlouvě)</w:t>
      </w:r>
    </w:p>
    <w:p w:rsidR="00312E6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  <w:i/>
        </w:rPr>
      </w:pPr>
    </w:p>
    <w:p w:rsidR="00312E63" w:rsidRPr="00D63AF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4000BE">
        <w:rPr>
          <w:rFonts w:cs="Arial"/>
          <w:i/>
        </w:rPr>
        <w:t xml:space="preserve"> (dále jen ,,příjemce“)</w:t>
      </w:r>
    </w:p>
    <w:p w:rsidR="00312E63" w:rsidRDefault="00312E63" w:rsidP="00E04475">
      <w:pPr>
        <w:pStyle w:val="pole"/>
      </w:pPr>
    </w:p>
    <w:p w:rsidR="00312E63" w:rsidRDefault="00312E63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312E63" w:rsidRDefault="00312E63" w:rsidP="009123FB">
      <w:pPr>
        <w:pStyle w:val="nadpis-smlouva"/>
      </w:pPr>
      <w:r>
        <w:t>SmlouvU O POSKYTNUTÍ příspěvku</w:t>
      </w:r>
    </w:p>
    <w:p w:rsidR="00312E63" w:rsidRPr="009123FB" w:rsidRDefault="00312E63" w:rsidP="000448DD">
      <w:pPr>
        <w:pStyle w:val="pole"/>
        <w:jc w:val="center"/>
        <w:rPr>
          <w:b/>
          <w:lang w:val="cs-CZ"/>
        </w:rPr>
      </w:pPr>
      <w:r w:rsidRPr="009123FB">
        <w:rPr>
          <w:b/>
          <w:lang w:val="cs-CZ"/>
        </w:rPr>
        <w:t>na obnovu, zajištění a výchovu lesních porostů</w:t>
      </w:r>
    </w:p>
    <w:p w:rsidR="00312E63" w:rsidRPr="009123FB" w:rsidRDefault="00312E63" w:rsidP="00E04475">
      <w:pPr>
        <w:pStyle w:val="pole"/>
        <w:rPr>
          <w:lang w:val="cs-CZ"/>
        </w:rPr>
      </w:pPr>
    </w:p>
    <w:p w:rsidR="00312E63" w:rsidRPr="00526B4B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„smlouva“)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101D13">
      <w:pPr>
        <w:pStyle w:val="Zkladntext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Preambule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  <w:r w:rsidRPr="00526B4B">
        <w:rPr>
          <w:rFonts w:ascii="Arial" w:hAnsi="Arial" w:cs="Arial"/>
          <w:sz w:val="22"/>
          <w:szCs w:val="22"/>
        </w:rPr>
        <w:t>Pro účely poskytování dotací byly usnesením</w:t>
      </w:r>
      <w:r w:rsidRPr="00526B4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526B4B">
        <w:rPr>
          <w:rFonts w:ascii="Arial" w:hAnsi="Arial" w:cs="Arial"/>
          <w:sz w:val="22"/>
          <w:szCs w:val="22"/>
        </w:rPr>
        <w:t xml:space="preserve"> Ústeckého kraje </w:t>
      </w:r>
      <w:r>
        <w:rPr>
          <w:rFonts w:ascii="Arial" w:hAnsi="Arial" w:cs="Arial"/>
          <w:sz w:val="22"/>
          <w:szCs w:val="22"/>
        </w:rPr>
        <w:br/>
      </w:r>
      <w:r w:rsidRPr="00F60896">
        <w:rPr>
          <w:rFonts w:ascii="Arial" w:hAnsi="Arial" w:cs="Arial"/>
          <w:sz w:val="22"/>
          <w:szCs w:val="22"/>
        </w:rPr>
        <w:t>č. 28/24Z/2015</w:t>
      </w:r>
      <w:r w:rsidRPr="00F60896">
        <w:rPr>
          <w:rFonts w:ascii="Arial" w:hAnsi="Arial" w:cs="Arial"/>
          <w:b/>
          <w:sz w:val="22"/>
          <w:szCs w:val="22"/>
        </w:rPr>
        <w:t xml:space="preserve"> </w:t>
      </w:r>
      <w:r w:rsidRPr="00F60896">
        <w:rPr>
          <w:rFonts w:ascii="Arial" w:hAnsi="Arial" w:cs="Arial"/>
          <w:sz w:val="22"/>
          <w:szCs w:val="22"/>
        </w:rPr>
        <w:t>ze</w:t>
      </w:r>
      <w:r w:rsidRPr="00BE6839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 7. 9. </w:t>
      </w:r>
      <w:r w:rsidRPr="00BE6839">
        <w:rPr>
          <w:rFonts w:ascii="Arial" w:hAnsi="Arial" w:cs="Arial"/>
          <w:sz w:val="22"/>
          <w:szCs w:val="22"/>
        </w:rPr>
        <w:t>2015</w:t>
      </w:r>
      <w:r w:rsidRPr="00526B4B">
        <w:rPr>
          <w:rFonts w:ascii="Arial" w:hAnsi="Arial" w:cs="Arial"/>
          <w:b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schváleny Zásady pro poskytování</w:t>
      </w:r>
      <w:r>
        <w:rPr>
          <w:rFonts w:ascii="Arial" w:hAnsi="Arial" w:cs="Arial"/>
          <w:sz w:val="22"/>
          <w:szCs w:val="22"/>
        </w:rPr>
        <w:t xml:space="preserve"> dotací a návratných finančních výpomocí</w:t>
      </w:r>
      <w:r w:rsidRPr="00526B4B">
        <w:rPr>
          <w:rFonts w:ascii="Arial" w:hAnsi="Arial" w:cs="Arial"/>
          <w:sz w:val="22"/>
          <w:szCs w:val="22"/>
        </w:rPr>
        <w:t xml:space="preserve"> z rozpočtu Ústeckého kraje</w:t>
      </w:r>
      <w:r>
        <w:rPr>
          <w:rFonts w:ascii="Arial" w:hAnsi="Arial" w:cs="Arial"/>
          <w:sz w:val="22"/>
          <w:szCs w:val="22"/>
        </w:rPr>
        <w:t xml:space="preserve"> (dále jen „Zásady“)</w:t>
      </w:r>
      <w:r w:rsidRPr="00526B4B">
        <w:rPr>
          <w:rFonts w:ascii="Arial" w:hAnsi="Arial" w:cs="Arial"/>
          <w:sz w:val="22"/>
          <w:szCs w:val="22"/>
        </w:rPr>
        <w:t xml:space="preserve">. Smlouva se uzavírá v souladu s těmito </w:t>
      </w:r>
      <w:r>
        <w:rPr>
          <w:rFonts w:ascii="Arial" w:hAnsi="Arial" w:cs="Arial"/>
          <w:sz w:val="22"/>
          <w:szCs w:val="22"/>
        </w:rPr>
        <w:t>Z</w:t>
      </w:r>
      <w:r w:rsidRPr="00526B4B">
        <w:rPr>
          <w:rFonts w:ascii="Arial" w:hAnsi="Arial" w:cs="Arial"/>
          <w:sz w:val="22"/>
          <w:szCs w:val="22"/>
        </w:rPr>
        <w:t>ásadami</w:t>
      </w:r>
      <w:r>
        <w:rPr>
          <w:rFonts w:ascii="Arial" w:hAnsi="Arial" w:cs="Arial"/>
          <w:sz w:val="22"/>
          <w:szCs w:val="22"/>
        </w:rPr>
        <w:t>, které jsou pro příjemce závazné ve věcech touto smlouvou neupravených</w:t>
      </w:r>
      <w:r w:rsidRPr="00526B4B">
        <w:rPr>
          <w:rFonts w:ascii="Arial" w:hAnsi="Arial" w:cs="Arial"/>
          <w:sz w:val="22"/>
          <w:szCs w:val="22"/>
        </w:rPr>
        <w:t>.</w:t>
      </w:r>
    </w:p>
    <w:p w:rsidR="00312E63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</w:p>
    <w:p w:rsidR="00312E63" w:rsidRPr="00526B4B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:rsidR="00312E63" w:rsidRDefault="00312E63" w:rsidP="00101D13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ředmět smlouvy, účel a výše dotace</w:t>
      </w:r>
    </w:p>
    <w:p w:rsidR="00312E63" w:rsidRDefault="00312E63" w:rsidP="00634FCF">
      <w:pPr>
        <w:numPr>
          <w:ilvl w:val="0"/>
          <w:numId w:val="13"/>
        </w:numPr>
        <w:spacing w:after="120" w:line="80" w:lineRule="atLeast"/>
        <w:ind w:left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>
        <w:rPr>
          <w:rFonts w:cs="Arial"/>
        </w:rPr>
        <w:t>v souladu s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usnesením </w:t>
      </w:r>
      <w:r w:rsidR="001C6C05">
        <w:rPr>
          <w:rFonts w:cs="Arial"/>
        </w:rPr>
        <w:t>Zas</w:t>
      </w:r>
      <w:r w:rsidR="00C6348B">
        <w:rPr>
          <w:rFonts w:cs="Arial"/>
        </w:rPr>
        <w:t xml:space="preserve">tupitelstva </w:t>
      </w:r>
      <w:r w:rsidRPr="00634FCF">
        <w:rPr>
          <w:rFonts w:cs="Arial"/>
        </w:rPr>
        <w:t>Ústeckého kraje č.</w:t>
      </w:r>
      <w:r w:rsidR="00C6348B">
        <w:rPr>
          <w:rFonts w:cs="Arial"/>
        </w:rPr>
        <w:t>069/13Z/</w:t>
      </w:r>
      <w:r>
        <w:rPr>
          <w:rFonts w:cs="Arial"/>
        </w:rPr>
        <w:t xml:space="preserve">2018 </w:t>
      </w:r>
      <w:r w:rsidRPr="00634FCF">
        <w:rPr>
          <w:rFonts w:cs="Arial"/>
        </w:rPr>
        <w:t>ze dne</w:t>
      </w:r>
      <w:r w:rsidR="00C6348B">
        <w:rPr>
          <w:rFonts w:cs="Arial"/>
        </w:rPr>
        <w:t xml:space="preserve"> 25. 6</w:t>
      </w:r>
      <w:r>
        <w:rPr>
          <w:rFonts w:cs="Arial"/>
        </w:rPr>
        <w:t>. 2018</w:t>
      </w:r>
      <w:r w:rsidRPr="00634FCF">
        <w:rPr>
          <w:rFonts w:cs="Arial"/>
        </w:rPr>
        <w:t xml:space="preserve"> </w:t>
      </w:r>
      <w:r>
        <w:rPr>
          <w:rFonts w:cs="Arial"/>
        </w:rPr>
        <w:t xml:space="preserve">poskytuje příjemci z </w:t>
      </w:r>
      <w:r w:rsidRPr="00634FCF">
        <w:rPr>
          <w:rFonts w:cs="Arial"/>
        </w:rPr>
        <w:t>Program</w:t>
      </w:r>
      <w:r>
        <w:rPr>
          <w:rFonts w:cs="Arial"/>
        </w:rPr>
        <w:t>u</w:t>
      </w:r>
      <w:r w:rsidRPr="00634FCF">
        <w:rPr>
          <w:rFonts w:cs="Arial"/>
        </w:rPr>
        <w:t xml:space="preserve"> pro poskytování příspěvků na hospodaření v lesích Ústeckého kraje na období 2014 až 2020 </w:t>
      </w:r>
      <w:r>
        <w:rPr>
          <w:rFonts w:cs="Arial"/>
        </w:rPr>
        <w:t>příspěvek (dále též „</w:t>
      </w:r>
      <w:r w:rsidRPr="00AE6785">
        <w:rPr>
          <w:rFonts w:cs="Arial"/>
        </w:rPr>
        <w:t>dotac</w:t>
      </w:r>
      <w:r>
        <w:rPr>
          <w:rFonts w:cs="Arial"/>
        </w:rPr>
        <w:t>e“)</w:t>
      </w:r>
      <w:r w:rsidRPr="00526B4B">
        <w:rPr>
          <w:rFonts w:cs="Arial"/>
        </w:rPr>
        <w:t xml:space="preserve"> ve v</w:t>
      </w:r>
      <w:r>
        <w:rPr>
          <w:rFonts w:cs="Arial"/>
        </w:rPr>
        <w:t xml:space="preserve">ýši </w:t>
      </w:r>
      <w:r w:rsidR="009E0FAD">
        <w:rPr>
          <w:rFonts w:cs="Arial"/>
          <w:b/>
          <w:noProof/>
        </w:rPr>
        <w:t>255 500</w:t>
      </w:r>
      <w:r w:rsidRPr="00526B4B">
        <w:rPr>
          <w:rFonts w:cs="Arial"/>
        </w:rPr>
        <w:t xml:space="preserve">,- Kč (slovy: </w:t>
      </w:r>
      <w:proofErr w:type="spellStart"/>
      <w:r w:rsidR="009E0FAD">
        <w:rPr>
          <w:rFonts w:cs="Arial"/>
        </w:rPr>
        <w:t>dvěstěpadesátpěttisícpětset</w:t>
      </w:r>
      <w:proofErr w:type="spellEnd"/>
      <w:r w:rsidR="009E0FAD">
        <w:rPr>
          <w:rFonts w:cs="Arial"/>
        </w:rPr>
        <w:t xml:space="preserve"> </w:t>
      </w:r>
      <w:r w:rsidR="00C6348B">
        <w:rPr>
          <w:rFonts w:cs="Arial"/>
        </w:rPr>
        <w:t xml:space="preserve"> </w:t>
      </w:r>
      <w:r w:rsidRPr="00526B4B">
        <w:rPr>
          <w:rFonts w:cs="Arial"/>
        </w:rPr>
        <w:t>korun českých), která bude převedena bezhotovostně na účet příjemce</w:t>
      </w:r>
      <w:r>
        <w:rPr>
          <w:rFonts w:cs="Arial"/>
        </w:rPr>
        <w:t xml:space="preserve"> uvedený v záhlaví této smlouvy</w:t>
      </w:r>
      <w:r w:rsidRPr="00526B4B">
        <w:rPr>
          <w:rFonts w:cs="Arial"/>
        </w:rPr>
        <w:t xml:space="preserve">, pod UZ (účelovým znakem) </w:t>
      </w:r>
      <w:r>
        <w:rPr>
          <w:rFonts w:cs="Arial"/>
        </w:rPr>
        <w:t>00028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 podmínky, že ji příjemce stanoveným způsobem použije nejpozději do</w:t>
      </w:r>
      <w:r>
        <w:rPr>
          <w:rFonts w:cs="Arial"/>
          <w:b/>
        </w:rPr>
        <w:t xml:space="preserve"> </w:t>
      </w:r>
      <w:r w:rsidR="008D5EFB">
        <w:rPr>
          <w:rFonts w:cs="Arial"/>
          <w:b/>
        </w:rPr>
        <w:t>31. 10. 2018.</w:t>
      </w:r>
    </w:p>
    <w:p w:rsidR="00312E63" w:rsidRPr="00AB7953" w:rsidRDefault="00312E63" w:rsidP="00AB7953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Dotace je poskytnuta na základě žádosti o poskytnutí dotace 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0FAD">
        <w:rPr>
          <w:rFonts w:ascii="Arial" w:hAnsi="Arial" w:cs="Arial"/>
          <w:b/>
          <w:sz w:val="22"/>
          <w:szCs w:val="22"/>
        </w:rPr>
        <w:t>13</w:t>
      </w:r>
      <w:r w:rsidR="009E0FAD">
        <w:rPr>
          <w:rFonts w:ascii="Arial" w:hAnsi="Arial" w:cs="Arial"/>
          <w:b/>
          <w:noProof/>
          <w:sz w:val="22"/>
        </w:rPr>
        <w:t>.2</w:t>
      </w:r>
      <w:r w:rsidRPr="00AB7953">
        <w:rPr>
          <w:rFonts w:ascii="Arial" w:hAnsi="Arial" w:cs="Arial"/>
          <w:b/>
          <w:noProof/>
          <w:sz w:val="22"/>
        </w:rPr>
        <w:t>.2018</w:t>
      </w:r>
      <w:proofErr w:type="gramEnd"/>
      <w:r w:rsidRPr="00AB7953">
        <w:rPr>
          <w:rFonts w:ascii="Arial" w:hAnsi="Arial" w:cs="Arial"/>
          <w:b/>
          <w:noProof/>
          <w:sz w:val="22"/>
        </w:rPr>
        <w:t>.</w:t>
      </w:r>
    </w:p>
    <w:p w:rsidR="00312E63" w:rsidRPr="004B6459" w:rsidRDefault="00312E63" w:rsidP="004660E7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B6459">
        <w:rPr>
          <w:rFonts w:ascii="Arial" w:hAnsi="Arial" w:cs="Arial"/>
          <w:b/>
          <w:sz w:val="22"/>
          <w:szCs w:val="22"/>
        </w:rPr>
        <w:t>Dotace je slučitelnou podporou ve smyslu čl. 107 Smlouvy o fungování Evropské unie.</w:t>
      </w:r>
    </w:p>
    <w:p w:rsidR="00312E63" w:rsidRDefault="00312E63" w:rsidP="00101D13">
      <w:pPr>
        <w:numPr>
          <w:ilvl w:val="0"/>
          <w:numId w:val="13"/>
        </w:numPr>
        <w:spacing w:after="120" w:line="80" w:lineRule="atLeast"/>
        <w:ind w:left="425" w:hanging="425"/>
        <w:jc w:val="both"/>
      </w:pPr>
      <w:r w:rsidRPr="004B6459">
        <w:t>Dotace je slučitelná s dotací poskytnutou z rozpočtu jiných územních samosprávných celků, státního rozpočtu nebo fondů EU, pokud to pravidla pro poskytnutí těchto podpor nevylučují.</w:t>
      </w:r>
    </w:p>
    <w:p w:rsidR="00312E63" w:rsidRPr="001A6D66" w:rsidRDefault="00312E63" w:rsidP="003A152D">
      <w:pPr>
        <w:spacing w:after="120" w:line="80" w:lineRule="atLeast"/>
        <w:ind w:left="425"/>
        <w:jc w:val="both"/>
        <w:rPr>
          <w:sz w:val="16"/>
          <w:szCs w:val="16"/>
        </w:rPr>
      </w:pPr>
    </w:p>
    <w:p w:rsidR="00312E63" w:rsidRPr="00526B4B" w:rsidRDefault="00312E63" w:rsidP="004660E7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použití dotace, 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doba, v níž má být dosaženo účelu,</w:t>
      </w:r>
    </w:p>
    <w:p w:rsidR="00312E63" w:rsidRPr="00526B4B" w:rsidRDefault="00312E63" w:rsidP="003A152D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:rsidR="00312E63" w:rsidRPr="00CF1025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CF1025">
        <w:rPr>
          <w:rFonts w:cs="Arial"/>
        </w:rPr>
        <w:t>Dotace je příjemci poskytnuta ve výši dle čl. I. odst. 1 smlouvy za účelem </w:t>
      </w:r>
      <w:r>
        <w:t xml:space="preserve"> zlepšení stavu lesů v Ústeckém kraji</w:t>
      </w:r>
      <w:r w:rsidRPr="00CF1025">
        <w:rPr>
          <w:rFonts w:cs="Arial"/>
        </w:rPr>
        <w:t>, dle poskytovatelem odsouhlaseného rozpočtu všech plánovaných prací v Příloze L3 Programu a žádosti o dotaci Příloha L2 Programu předložených příjemcem v projektu a jsou nedílnou součástí této smlouvy jako příloha č. 2</w:t>
      </w:r>
      <w:r>
        <w:rPr>
          <w:rFonts w:cs="Arial"/>
        </w:rPr>
        <w:t>.</w:t>
      </w:r>
    </w:p>
    <w:p w:rsidR="00312E63" w:rsidRPr="00E178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E1784B">
        <w:rPr>
          <w:rFonts w:cs="Arial"/>
        </w:rPr>
        <w:t xml:space="preserve">Pracemi se rozumí činnosti uvedené jako předmět příspěvku v Příloze L3 Programu v rámci </w:t>
      </w:r>
      <w:r w:rsidR="008D5EFB" w:rsidRPr="00676714">
        <w:rPr>
          <w:rFonts w:cs="Arial"/>
          <w:noProof/>
        </w:rPr>
        <w:t>příspěvku na obnovu, zajištění a výchovu lesních porostů.</w:t>
      </w:r>
    </w:p>
    <w:p w:rsidR="00312E63" w:rsidRPr="00526B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 xml:space="preserve">Přesun prostředků mezi jednotlivými předměty příspěvku </w:t>
      </w:r>
      <w:r w:rsidRPr="00526B4B">
        <w:rPr>
          <w:rFonts w:cs="Arial"/>
        </w:rPr>
        <w:t xml:space="preserve">je možné provádět </w:t>
      </w:r>
      <w:r>
        <w:rPr>
          <w:rFonts w:cs="Arial"/>
        </w:rPr>
        <w:t xml:space="preserve">pouze za podmínek stanovených čl. VIII. odst. 7 Zásad </w:t>
      </w:r>
      <w:r w:rsidRPr="00526B4B">
        <w:rPr>
          <w:rFonts w:cs="Arial"/>
        </w:rPr>
        <w:t xml:space="preserve">za předpokladu </w:t>
      </w:r>
      <w:r>
        <w:rPr>
          <w:rFonts w:cs="Arial"/>
        </w:rPr>
        <w:t>předchozího písemného souhlasu příslušného odboru krajského úřadu (dále též „odbor ZPZ“). V těchto případech nebude uzavírán dodatek ke smlouvě.</w:t>
      </w:r>
    </w:p>
    <w:p w:rsidR="00312E63" w:rsidRPr="00526B4B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Nejzazším t</w:t>
      </w:r>
      <w:r w:rsidRPr="00526B4B">
        <w:rPr>
          <w:rFonts w:cs="Arial"/>
        </w:rPr>
        <w:t>ermín</w:t>
      </w:r>
      <w:r>
        <w:rPr>
          <w:rFonts w:cs="Arial"/>
        </w:rPr>
        <w:t>em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pro </w:t>
      </w:r>
      <w:r w:rsidRPr="00526B4B">
        <w:rPr>
          <w:rFonts w:cs="Arial"/>
        </w:rPr>
        <w:t xml:space="preserve">ukončení realizace </w:t>
      </w:r>
      <w:r>
        <w:rPr>
          <w:rFonts w:cs="Arial"/>
        </w:rPr>
        <w:t>prací</w:t>
      </w:r>
      <w:r w:rsidRPr="00526B4B">
        <w:rPr>
          <w:rFonts w:cs="Arial"/>
        </w:rPr>
        <w:t xml:space="preserve"> je </w:t>
      </w:r>
      <w:r>
        <w:rPr>
          <w:rFonts w:cs="Arial"/>
        </w:rPr>
        <w:t xml:space="preserve">31. říjen kalendářního roku, ve kterém bude příspěvek poskytnut. </w:t>
      </w:r>
      <w:r w:rsidRPr="00526B4B">
        <w:rPr>
          <w:rFonts w:cs="Arial"/>
        </w:rPr>
        <w:t>Pro příjemce je tento termín stanoven jako závazný ukazatel.</w:t>
      </w:r>
    </w:p>
    <w:p w:rsidR="00312E63" w:rsidRPr="00526B4B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111CE">
        <w:rPr>
          <w:rFonts w:cs="Arial"/>
        </w:rPr>
        <w:t xml:space="preserve">Dotace je poskytnuta účelově (viz čl. II. odst. 1.) a lze ji použít pouze na úhradu </w:t>
      </w:r>
      <w:r w:rsidRPr="002D6617">
        <w:rPr>
          <w:rFonts w:cs="Arial"/>
        </w:rPr>
        <w:t>prací uvedených v</w:t>
      </w:r>
      <w:r>
        <w:rPr>
          <w:rFonts w:cs="Arial"/>
        </w:rPr>
        <w:t>e vyplněné</w:t>
      </w:r>
      <w:r w:rsidRPr="000857A7">
        <w:rPr>
          <w:rFonts w:cs="Arial"/>
        </w:rPr>
        <w:t> </w:t>
      </w:r>
      <w:r w:rsidRPr="005516E2">
        <w:rPr>
          <w:rFonts w:cs="Arial"/>
        </w:rPr>
        <w:t xml:space="preserve">Příloze </w:t>
      </w:r>
      <w:r w:rsidRPr="006660BE">
        <w:rPr>
          <w:rFonts w:cs="Arial"/>
        </w:rPr>
        <w:t>L3 Programu</w:t>
      </w:r>
      <w:r>
        <w:rPr>
          <w:rFonts w:cs="Arial"/>
        </w:rPr>
        <w:t>, která je součástí přílohy č. 2 smlouvy,</w:t>
      </w:r>
      <w:r w:rsidRPr="006660BE">
        <w:rPr>
          <w:rFonts w:cs="Arial"/>
        </w:rPr>
        <w:t xml:space="preserve"> a </w:t>
      </w:r>
      <w:r w:rsidRPr="007D4B4D">
        <w:rPr>
          <w:rFonts w:cs="Arial"/>
        </w:rPr>
        <w:t>provedených</w:t>
      </w:r>
      <w:r>
        <w:rPr>
          <w:rFonts w:cs="Arial"/>
        </w:rPr>
        <w:t xml:space="preserve"> </w:t>
      </w:r>
      <w:r w:rsidRPr="007F1346">
        <w:rPr>
          <w:rFonts w:cs="Arial"/>
        </w:rPr>
        <w:t xml:space="preserve">po dni </w:t>
      </w:r>
      <w:r w:rsidRPr="00DC528C">
        <w:rPr>
          <w:rFonts w:cs="Arial"/>
        </w:rPr>
        <w:t>po dni podání žádosti.</w:t>
      </w:r>
      <w:r>
        <w:rPr>
          <w:rFonts w:cs="Arial"/>
        </w:rPr>
        <w:t xml:space="preserve"> </w:t>
      </w:r>
      <w:r w:rsidRPr="00526B4B" w:rsidDel="000111CE">
        <w:rPr>
          <w:rFonts w:cs="Arial"/>
        </w:rPr>
        <w:t xml:space="preserve"> </w:t>
      </w:r>
    </w:p>
    <w:p w:rsidR="00312E63" w:rsidRPr="009E0D20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Dotace bude poskytnuta prostřednictvím sazeb na technickou jednotku. Maximální sazby za technické jednotky jsou uvedeny v Dotačním rámci, který je Přílohou L1 Programu. V případě sazbových příspěvků se skutečně vynaložené náklady neprokazují.</w:t>
      </w:r>
    </w:p>
    <w:p w:rsidR="00312E63" w:rsidRPr="00414B18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414B18">
        <w:rPr>
          <w:rFonts w:cs="Arial"/>
        </w:rPr>
        <w:lastRenderedPageBreak/>
        <w:t xml:space="preserve">Dotace bude poskytnuta bankovním převodem na účet příjemce uvedený v záhlaví této smlouvy </w:t>
      </w:r>
      <w:r w:rsidRPr="00323918">
        <w:rPr>
          <w:rFonts w:cs="Arial"/>
          <w:b/>
          <w:noProof/>
        </w:rPr>
        <w:t>jednorázově</w:t>
      </w:r>
      <w:r w:rsidRPr="00414B18">
        <w:rPr>
          <w:rFonts w:cs="Arial"/>
        </w:rPr>
        <w:t xml:space="preserve"> dle požadavku uvedeného příjemcem v žádosti o poskytnutí dotace v návaznosti na termíny dle čl. 3 odst. 3 písm. e) Programu. Dotace bude poskytnuta na základě: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a) </w:t>
      </w:r>
      <w:r w:rsidRPr="009C2096">
        <w:rPr>
          <w:rFonts w:cs="Arial"/>
        </w:rPr>
        <w:tab/>
        <w:t>Podaného avíza o ukončení prací do 5 dnů po jejich ukončení dle č. 3 odst. 3 písm. e) Programu včetně následujících dokladů: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Písemného vyjádření odborného lesního hospodáře (dále jen „OLH“) dle přílohy L6 Programu o provedení prací v rozsahu odpovídajícím výši poskytnuté dotace a sazbě na příslušnou technickou jednotku a v kvalitě dle příslušných právních předpisů upravujících hospodaření v lesích;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Průvodního listu použitého reprodukčního materiálu nebo listu o původu sadebního materiálu pokud je předmětem dotace umělá obnova;</w:t>
      </w:r>
    </w:p>
    <w:p w:rsidR="00312E63" w:rsidRPr="009C2096" w:rsidRDefault="00312E63" w:rsidP="00DB7F9A">
      <w:p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b) </w:t>
      </w:r>
      <w:r w:rsidRPr="009C2096">
        <w:rPr>
          <w:rFonts w:cs="Arial"/>
        </w:rPr>
        <w:tab/>
        <w:t xml:space="preserve">Fyzického převzetí realizovaných prací, které jsou předmětem dotace, za přítomnosti OLH a zástupce delegovaného odborem ZPZ a doloženého oboustranně stvrzeným protokolem. </w:t>
      </w:r>
    </w:p>
    <w:p w:rsidR="00312E63" w:rsidRPr="00DB7F9A" w:rsidRDefault="00312E63" w:rsidP="00DB7F9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DB7F9A">
        <w:rPr>
          <w:rFonts w:cs="Arial"/>
        </w:rPr>
        <w:t>8. Dotace je splatná nejdéle do 30 dnů od stvrzení protokolu dle přílohy L7 Programu.</w:t>
      </w:r>
    </w:p>
    <w:p w:rsidR="00312E63" w:rsidRPr="001A6D66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:rsidR="00312E63" w:rsidRPr="00526B4B" w:rsidRDefault="00312E63" w:rsidP="00DB7F9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</w:t>
      </w:r>
      <w:r w:rsidRPr="00526B4B">
        <w:rPr>
          <w:rFonts w:ascii="Arial" w:hAnsi="Arial" w:cs="Arial"/>
          <w:b/>
          <w:bCs/>
          <w:sz w:val="22"/>
          <w:szCs w:val="22"/>
        </w:rPr>
        <w:t>ovinnosti</w:t>
      </w:r>
      <w:r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:rsidR="00312E63" w:rsidRPr="00526B4B" w:rsidRDefault="00312E63" w:rsidP="00442148">
      <w:pPr>
        <w:spacing w:after="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:rsidR="00312E63" w:rsidRPr="002221C6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projektu, pro který byla dotace poskytnuta, a v souladu s</w:t>
      </w:r>
      <w:r>
        <w:rPr>
          <w:rFonts w:cs="Arial"/>
        </w:rPr>
        <w:t> podmínkami sjednanými v</w:t>
      </w:r>
      <w:r w:rsidRPr="002221C6">
        <w:rPr>
          <w:rFonts w:cs="Arial"/>
        </w:rPr>
        <w:t> t</w:t>
      </w:r>
      <w:r>
        <w:rPr>
          <w:rFonts w:cs="Arial"/>
        </w:rPr>
        <w:t>éto</w:t>
      </w:r>
      <w:r w:rsidRPr="002221C6">
        <w:rPr>
          <w:rFonts w:cs="Arial"/>
        </w:rPr>
        <w:t xml:space="preserve"> smlouv</w:t>
      </w:r>
      <w:r>
        <w:rPr>
          <w:rFonts w:cs="Arial"/>
        </w:rPr>
        <w:t>ě</w:t>
      </w:r>
      <w:r w:rsidRPr="002221C6">
        <w:rPr>
          <w:rFonts w:cs="Arial"/>
        </w:rPr>
        <w:t xml:space="preserve">. </w:t>
      </w:r>
    </w:p>
    <w:p w:rsidR="00312E63" w:rsidRPr="00526B4B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Odpovídat za </w:t>
      </w:r>
      <w:r>
        <w:rPr>
          <w:rFonts w:cs="Arial"/>
        </w:rPr>
        <w:t xml:space="preserve">realizaci lesnických prací v souladu s přílohou L3 Programu. Provést práce uvedené v příloze L3 Programu nejpozději do 31. října kalendářního roku, ve kterém byla dotace poskytnuta. </w:t>
      </w:r>
    </w:p>
    <w:p w:rsidR="00312E63" w:rsidRPr="001B6D11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Pokud není fyzickou osobou nepodnikající realizaci prací řádně odděleně sledovat v </w:t>
      </w:r>
      <w:r w:rsidRPr="00526B4B">
        <w:rPr>
          <w:rFonts w:cs="Arial"/>
        </w:rPr>
        <w:t xml:space="preserve">účetnictví, </w:t>
      </w:r>
      <w:r>
        <w:rPr>
          <w:rFonts w:cs="Arial"/>
        </w:rPr>
        <w:t xml:space="preserve">v případě obcí </w:t>
      </w:r>
      <w:r w:rsidRPr="00526B4B">
        <w:rPr>
          <w:rFonts w:cs="Arial"/>
        </w:rPr>
        <w:t>pod daným účelovým znakem (UZ), vedené</w:t>
      </w:r>
      <w:r>
        <w:rPr>
          <w:rFonts w:cs="Arial"/>
        </w:rPr>
        <w:t>m</w:t>
      </w:r>
      <w:r w:rsidRPr="00526B4B">
        <w:rPr>
          <w:rFonts w:cs="Arial"/>
        </w:rPr>
        <w:t xml:space="preserve"> v souladu se zákonem č. 563/1991 Sb., o účetnictví, v</w:t>
      </w:r>
      <w:r>
        <w:rPr>
          <w:rFonts w:cs="Arial"/>
        </w:rPr>
        <w:t>e</w:t>
      </w:r>
      <w:r w:rsidRPr="00526B4B">
        <w:rPr>
          <w:rFonts w:cs="Arial"/>
        </w:rPr>
        <w:t xml:space="preserve"> znění</w:t>
      </w:r>
      <w:r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poskytnuté výše dotace, tak i z hlediska nákladů celého projektu.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Uvádět na všech účetních dokladech účelový znak kraje. Označovat originály účetních dokladů textem „Lesnické práce podpořeny Ústeckým krajem“. </w:t>
      </w:r>
    </w:p>
    <w:p w:rsidR="00312E63" w:rsidRPr="00526B4B" w:rsidRDefault="00312E63" w:rsidP="00B21FB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Předat poskytovateli </w:t>
      </w:r>
      <w:r>
        <w:rPr>
          <w:rFonts w:cs="Arial"/>
        </w:rPr>
        <w:t xml:space="preserve">doklady ve smyslu č. II odst. 7 smlouvy, </w:t>
      </w:r>
      <w:r w:rsidRPr="00526B4B">
        <w:rPr>
          <w:rFonts w:cs="Arial"/>
        </w:rPr>
        <w:t xml:space="preserve">a to </w:t>
      </w:r>
      <w:r>
        <w:rPr>
          <w:rFonts w:cs="Arial"/>
        </w:rPr>
        <w:t xml:space="preserve">nejpozději </w:t>
      </w:r>
      <w:r w:rsidRPr="00526B4B">
        <w:rPr>
          <w:rFonts w:cs="Arial"/>
        </w:rPr>
        <w:t xml:space="preserve">do </w:t>
      </w:r>
      <w:r>
        <w:rPr>
          <w:rFonts w:cs="Arial"/>
        </w:rPr>
        <w:t>5 dnů</w:t>
      </w:r>
      <w:r w:rsidRPr="00526B4B">
        <w:rPr>
          <w:rFonts w:cs="Arial"/>
        </w:rPr>
        <w:t xml:space="preserve"> o</w:t>
      </w:r>
      <w:r>
        <w:rPr>
          <w:rFonts w:cs="Arial"/>
        </w:rPr>
        <w:t>d</w:t>
      </w:r>
      <w:r w:rsidRPr="00526B4B">
        <w:rPr>
          <w:rFonts w:cs="Arial"/>
        </w:rPr>
        <w:t xml:space="preserve"> ukončení realizace </w:t>
      </w:r>
      <w:r>
        <w:rPr>
          <w:rFonts w:cs="Arial"/>
        </w:rPr>
        <w:t>předmětu dotace</w:t>
      </w:r>
      <w:r w:rsidRPr="00526B4B">
        <w:rPr>
          <w:rFonts w:cs="Arial"/>
        </w:rPr>
        <w:t>.</w:t>
      </w:r>
      <w:r>
        <w:rPr>
          <w:rFonts w:cs="Arial"/>
        </w:rPr>
        <w:t xml:space="preserve"> 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Pokud byl předmět dotace realizován před uzavřením této smlouvy, je příjemce povinen předat poskytovateli doklady dle čl. II odst. 7 smlouvy do 5 dnů od uzavření smlouvy. </w:t>
      </w:r>
      <w:r w:rsidRPr="00526B4B">
        <w:rPr>
          <w:rFonts w:cs="Arial"/>
        </w:rPr>
        <w:t xml:space="preserve">Ze závažných důvodů může být termín </w:t>
      </w:r>
      <w:r>
        <w:rPr>
          <w:rFonts w:cs="Arial"/>
        </w:rPr>
        <w:t xml:space="preserve">předložení závěrečné zprávy </w:t>
      </w:r>
      <w:r w:rsidRPr="00526B4B">
        <w:rPr>
          <w:rFonts w:cs="Arial"/>
        </w:rPr>
        <w:t>na žádost příjemce</w:t>
      </w:r>
      <w:r>
        <w:rPr>
          <w:rFonts w:cs="Arial"/>
        </w:rPr>
        <w:t>,</w:t>
      </w:r>
      <w:r w:rsidRPr="00526B4B">
        <w:rPr>
          <w:rFonts w:cs="Arial"/>
        </w:rPr>
        <w:t xml:space="preserve"> </w:t>
      </w:r>
      <w:r>
        <w:rPr>
          <w:rFonts w:cs="Arial"/>
        </w:rPr>
        <w:t>postupem dle Zásad, prodloužen, maximálně však do 5. 11. kalendářního roku, ve kterém bude příspěvek poskytnut:</w:t>
      </w:r>
    </w:p>
    <w:p w:rsidR="00312E63" w:rsidRPr="00526B4B" w:rsidRDefault="00312E63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  <w:t>Příloha L6</w:t>
      </w:r>
      <w:r w:rsidRPr="00526B4B">
        <w:rPr>
          <w:rFonts w:cs="Arial"/>
          <w:u w:val="single"/>
        </w:rPr>
        <w:t xml:space="preserve"> musí obsahovat: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příjemce,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>
        <w:rPr>
          <w:rFonts w:cs="Arial"/>
        </w:rPr>
        <w:t>.</w:t>
      </w:r>
      <w:r w:rsidRPr="00526B4B">
        <w:rPr>
          <w:rFonts w:cs="Arial"/>
        </w:rPr>
        <w:t xml:space="preserve"> straně</w:t>
      </w:r>
      <w:r>
        <w:rPr>
          <w:rFonts w:cs="Arial"/>
        </w:rPr>
        <w:t xml:space="preserve"> smlouvy,</w:t>
      </w:r>
    </w:p>
    <w:p w:rsidR="00312E63" w:rsidRPr="00414B18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Pr="00526B4B">
        <w:rPr>
          <w:rFonts w:cs="Arial"/>
        </w:rPr>
        <w:t xml:space="preserve"> dotace</w:t>
      </w:r>
      <w:r>
        <w:rPr>
          <w:rFonts w:cs="Arial"/>
        </w:rPr>
        <w:t>.</w:t>
      </w:r>
    </w:p>
    <w:p w:rsidR="00312E63" w:rsidRPr="00526B4B" w:rsidRDefault="00312E63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>
        <w:rPr>
          <w:rFonts w:cs="Arial"/>
          <w:u w:val="single"/>
        </w:rPr>
        <w:t>Příloha L3 (přehled o čerpání a použití poskytnuté dotace)</w:t>
      </w:r>
      <w:r w:rsidRPr="00526B4B">
        <w:rPr>
          <w:rFonts w:cs="Arial"/>
          <w:u w:val="single"/>
        </w:rPr>
        <w:t xml:space="preserve"> musí obsahovat:</w:t>
      </w:r>
    </w:p>
    <w:p w:rsidR="00312E63" w:rsidRDefault="00312E63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526B4B">
        <w:rPr>
          <w:rFonts w:cs="Arial"/>
        </w:rPr>
        <w:t>přehled</w:t>
      </w:r>
      <w:r>
        <w:rPr>
          <w:rFonts w:cs="Arial"/>
        </w:rPr>
        <w:t xml:space="preserve"> všech provedených prací,</w:t>
      </w:r>
    </w:p>
    <w:p w:rsidR="00312E63" w:rsidRPr="00526B4B" w:rsidRDefault="00312E63" w:rsidP="0090634A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20"/>
        <w:ind w:left="1080" w:hanging="357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přehled neuskutečněných prací.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</w:t>
      </w:r>
      <w:r>
        <w:rPr>
          <w:rFonts w:cs="Arial"/>
        </w:rPr>
        <w:t xml:space="preserve"> k realizaci lesnických prací </w:t>
      </w:r>
      <w:r w:rsidRPr="00526B4B">
        <w:rPr>
          <w:rFonts w:cs="Arial"/>
        </w:rPr>
        <w:t xml:space="preserve">v návaznosti na </w:t>
      </w:r>
      <w:r>
        <w:rPr>
          <w:rFonts w:cs="Arial"/>
        </w:rPr>
        <w:t>Přílohu L3 Programu</w:t>
      </w:r>
      <w:r w:rsidRPr="00526B4B">
        <w:rPr>
          <w:rFonts w:cs="Arial"/>
        </w:rPr>
        <w:t xml:space="preserve"> a v této souvislosti jim umožnit nahlížet do účetní evidence.</w:t>
      </w:r>
      <w:r>
        <w:rPr>
          <w:rFonts w:cs="Arial"/>
        </w:rPr>
        <w:t xml:space="preserve"> Umožnit provádět kontrolu jak v průběhu, tak i po ukončení realizace projektu.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Neprodleně písemně informovat odbor </w:t>
      </w:r>
      <w:r>
        <w:rPr>
          <w:rFonts w:cs="Arial"/>
        </w:rPr>
        <w:t xml:space="preserve">ZPZ </w:t>
      </w:r>
      <w:r w:rsidRPr="00526B4B">
        <w:rPr>
          <w:rFonts w:cs="Arial"/>
        </w:rPr>
        <w:t>k</w:t>
      </w:r>
      <w:r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>
        <w:rPr>
          <w:rFonts w:cs="Arial"/>
        </w:rPr>
        <w:t xml:space="preserve"> </w:t>
      </w:r>
      <w:r w:rsidRPr="00B46AE6">
        <w:t>nejpozději však do 7 dnů</w:t>
      </w:r>
      <w:r>
        <w:t xml:space="preserve"> ode dne jejich vzniku</w:t>
      </w:r>
      <w:r w:rsidRPr="00526B4B">
        <w:rPr>
          <w:rFonts w:cs="Arial"/>
        </w:rPr>
        <w:t>.</w:t>
      </w:r>
    </w:p>
    <w:p w:rsidR="00312E63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>Respektovat z</w:t>
      </w:r>
      <w:r>
        <w:rPr>
          <w:rFonts w:cs="Arial"/>
        </w:rPr>
        <w:t>ávěry kontroly provedené v souladu se zákonem a dle čl. XI. Zásad</w:t>
      </w:r>
      <w:r w:rsidRPr="00526B4B">
        <w:rPr>
          <w:rFonts w:cs="Arial"/>
        </w:rPr>
        <w:t xml:space="preserve">. </w:t>
      </w:r>
    </w:p>
    <w:p w:rsidR="00312E63" w:rsidRPr="00C91FCC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>
        <w:t>Z</w:t>
      </w:r>
      <w:r w:rsidRPr="009F10B1">
        <w:t>adávat veřejné zakázky v souladu se zákonem č. 137/2006 Sb., o veřejných zakázkách, ve znění pozdějších předpisů, jestliže se příjemce stal dotovaným zadavatelem ve smyslu ustanovení § 2 odst. 3 tohoto zákona</w:t>
      </w:r>
      <w:r>
        <w:t xml:space="preserve"> a dodržovat v souvislosti s čerpáním dotace veškeré další obecně závazné právní předpisy.</w:t>
      </w:r>
    </w:p>
    <w:p w:rsidR="00312E63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312E63" w:rsidRPr="00B63D16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t>Příjemce je povinen s poskytovatelem spolupracovat při plnění jeho povinnosti vůči Úřadu pro ochranu hospodářské soutěže a Evropské komisi.</w:t>
      </w:r>
    </w:p>
    <w:p w:rsidR="00312E63" w:rsidRPr="001A6D66" w:rsidRDefault="00312E6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90634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:rsidR="00312E63" w:rsidRPr="00526B4B" w:rsidRDefault="00312E63" w:rsidP="0090634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:rsidR="00312E63" w:rsidRPr="00047A3B" w:rsidRDefault="00312E63" w:rsidP="0090634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(§ 22 odst. 1 až 3 zákona č. 250/2000 Sb.). </w:t>
      </w:r>
      <w:r w:rsidRPr="00047A3B">
        <w:rPr>
          <w:rFonts w:cs="Arial"/>
        </w:rPr>
        <w:t xml:space="preserve">V případě, že </w:t>
      </w:r>
      <w:r>
        <w:rPr>
          <w:rFonts w:cs="Arial"/>
        </w:rPr>
        <w:t>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:rsidR="00312E63" w:rsidRDefault="00312E63" w:rsidP="0090634A">
      <w:pPr>
        <w:numPr>
          <w:ilvl w:val="0"/>
          <w:numId w:val="12"/>
        </w:numPr>
        <w:spacing w:after="120"/>
        <w:jc w:val="both"/>
        <w:rPr>
          <w:rFonts w:ascii="Times New Roman" w:hAnsi="Times New Roman"/>
        </w:rPr>
      </w:pPr>
      <w:r w:rsidRPr="00047A3B">
        <w:rPr>
          <w:rFonts w:cs="Arial"/>
        </w:rPr>
        <w:t>Pokud příjemce</w:t>
      </w:r>
      <w:r>
        <w:rPr>
          <w:rFonts w:cs="Arial"/>
        </w:rPr>
        <w:t xml:space="preserve"> předloží Přílohu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včetně Přílohy L3 Programu </w:t>
      </w:r>
      <w:r w:rsidRPr="00047A3B">
        <w:rPr>
          <w:rFonts w:cs="Arial"/>
        </w:rPr>
        <w:t xml:space="preserve">v termínu stanoveném ve smlouvě, ale </w:t>
      </w:r>
      <w:r>
        <w:rPr>
          <w:rFonts w:cs="Arial"/>
        </w:rPr>
        <w:t>příloha L3</w:t>
      </w:r>
      <w:r w:rsidRPr="00047A3B">
        <w:rPr>
          <w:rFonts w:cs="Arial"/>
        </w:rPr>
        <w:t xml:space="preserve"> nebo </w:t>
      </w:r>
      <w:r>
        <w:rPr>
          <w:rFonts w:cs="Arial"/>
        </w:rPr>
        <w:t>Příloha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Programu </w:t>
      </w:r>
      <w:r w:rsidRPr="00047A3B">
        <w:rPr>
          <w:rFonts w:cs="Arial"/>
        </w:rPr>
        <w:t>nebudou obsahovat všechny náležitosti stanovené ve smlouvě</w:t>
      </w:r>
      <w:r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>
        <w:rPr>
          <w:rFonts w:cs="Arial"/>
        </w:rPr>
        <w:t>že nedoplní Přílohu L6 nebo Přílohu L3 Programu ani po marném uplynutí náhradní lhůty</w:t>
      </w:r>
      <w:r w:rsidRPr="00047A3B">
        <w:rPr>
          <w:rFonts w:cs="Arial"/>
        </w:rPr>
        <w:t xml:space="preserve"> 1</w:t>
      </w:r>
      <w:r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>
        <w:rPr>
          <w:rFonts w:cs="Arial"/>
        </w:rPr>
        <w:t>e k nápravě</w:t>
      </w:r>
      <w:r>
        <w:rPr>
          <w:rFonts w:ascii="Times New Roman" w:hAnsi="Times New Roman"/>
        </w:rPr>
        <w:t>.</w:t>
      </w:r>
    </w:p>
    <w:p w:rsidR="00312E63" w:rsidRPr="002A4FE9" w:rsidRDefault="00312E63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2A4FE9">
        <w:rPr>
          <w:rFonts w:cs="Arial"/>
        </w:rPr>
        <w:t>Poskytovatel nevyplatí poměrnou část dotace:</w:t>
      </w:r>
    </w:p>
    <w:p w:rsidR="00312E63" w:rsidRPr="002A4FE9" w:rsidRDefault="00312E63" w:rsidP="0091757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a) </w:t>
      </w:r>
      <w:r>
        <w:rPr>
          <w:rFonts w:cs="Arial"/>
        </w:rPr>
        <w:tab/>
      </w:r>
      <w:r w:rsidRPr="002A4FE9">
        <w:rPr>
          <w:rFonts w:cs="Arial"/>
        </w:rPr>
        <w:t xml:space="preserve">Pokud příjemce nedoloží provedení prací v rozsahu a způsobem dle </w:t>
      </w:r>
      <w:r>
        <w:rPr>
          <w:rFonts w:cs="Arial"/>
        </w:rPr>
        <w:t>čl</w:t>
      </w:r>
      <w:r w:rsidRPr="002A4FE9">
        <w:rPr>
          <w:rFonts w:cs="Arial"/>
        </w:rPr>
        <w:t xml:space="preserve">. II odst. 7 smlouvy a zástupce odboru ZPZ fyzicky nepřevezme realizované práce dle čl. II odst. 7 smlouvy. </w:t>
      </w:r>
    </w:p>
    <w:p w:rsidR="00312E63" w:rsidRPr="002A4FE9" w:rsidRDefault="00312E63" w:rsidP="0090634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b) V případě, že příjemce disponuje dřívější podporou, která byla rozhodnutím Evropské komise prohlášena za protiprávní a neslučitelnou s vnitřním trhem </w:t>
      </w:r>
      <w:r>
        <w:rPr>
          <w:rFonts w:cs="Arial"/>
        </w:rPr>
        <w:t>na</w:t>
      </w:r>
      <w:r w:rsidRPr="002A4FE9">
        <w:rPr>
          <w:rFonts w:cs="Arial"/>
        </w:rPr>
        <w:t xml:space="preserve"> níž se vztahuje rozhodnutí o </w:t>
      </w:r>
      <w:proofErr w:type="gramStart"/>
      <w:r w:rsidRPr="002A4FE9">
        <w:rPr>
          <w:rFonts w:cs="Arial"/>
        </w:rPr>
        <w:t>vrácení.</w:t>
      </w:r>
      <w:r>
        <w:t>**</w:t>
      </w:r>
      <w:proofErr w:type="gramEnd"/>
    </w:p>
    <w:p w:rsidR="00312E63" w:rsidRPr="0029378A" w:rsidRDefault="00312E63" w:rsidP="0090634A">
      <w:pPr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 za tato porušení procentem z celkové částky poskytnuté dotace následovně: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Přílohy L6 do 15 kalendářních dnů po lhůtě stanovené smlouvou – výše odvodu činí 5 %.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lastRenderedPageBreak/>
        <w:t>předložení Přílohy L6 do 30 kalendářních dnů po lhůtě stanovené smlouvou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doplněné Přílohy L6 do 15 kalendářních dnů od uplynutí náhradní lhůty uvedené ve výzvě poskytovatele dle odst. 2 tohoto článku – výše odvodu činí 3 %.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doplněné Přílohy L6 do 30 kalendářních dnů od uplynutí náhradní lhůty uvedené ve výzvě poskytovatele dle odst. 2 tohoto článku – výše odvodu činí 6 %.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vést dotaci v odděleném účetnictví – výše odvodu činí 10 %.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označovat originály účetních dokladů informací o tom, že projekt je spolufinancován Ústeckým krajem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publicity v případě informování sdělovacích prostředků – výše odvodu činí 5 %.</w:t>
      </w:r>
    </w:p>
    <w:p w:rsidR="00312E63" w:rsidRDefault="00312E63" w:rsidP="00D1036D">
      <w:pPr>
        <w:numPr>
          <w:ilvl w:val="0"/>
          <w:numId w:val="14"/>
        </w:numPr>
        <w:spacing w:after="120"/>
        <w:ind w:left="703" w:hanging="357"/>
        <w:jc w:val="both"/>
      </w:pPr>
      <w:r>
        <w:t xml:space="preserve">nedodržení povinnosti publicity neoznačením publikací, internetových stránek či jiných </w:t>
      </w:r>
      <w:proofErr w:type="gramStart"/>
      <w:r>
        <w:t>nosičů ,,sponzorským</w:t>
      </w:r>
      <w:proofErr w:type="gramEnd"/>
      <w:r>
        <w:t xml:space="preserve"> vzkazem“ – výše odvodu činí 5 %.</w:t>
      </w:r>
    </w:p>
    <w:p w:rsidR="00312E63" w:rsidRDefault="00312E63" w:rsidP="00D103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</w:pPr>
      <w:r w:rsidRPr="00DF6779">
        <w:t xml:space="preserve"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</w:t>
      </w:r>
      <w:r>
        <w:t xml:space="preserve">dle § 22 odst. 2 písm. a) nebo b) zákona č. 250/2000 Sb. </w:t>
      </w:r>
      <w:r w:rsidRPr="00DF6779">
        <w:t xml:space="preserve">odpovídá odvod za porušení rozpočtové kázně výši poskytnutých prostředků, mimo případů, kdy se podle této smlouvy (odst. </w:t>
      </w:r>
      <w:r>
        <w:t>4</w:t>
      </w:r>
      <w:r w:rsidRPr="00DF6779">
        <w:t xml:space="preserve"> tohoto čl.) za porušení méně závažné povinnosti uloží odvod nižší. Při porušení několika méně závažných povinností se odvody za porušení rozpočtové kázně sčítají</w:t>
      </w:r>
      <w:r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>
        <w:t xml:space="preserve"> peněžních prostředků</w:t>
      </w:r>
      <w:r w:rsidRPr="00C3715D">
        <w:t xml:space="preserve">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:rsidR="00312E63" w:rsidRPr="001A6D66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  <w:sz w:val="16"/>
          <w:szCs w:val="16"/>
        </w:rPr>
      </w:pP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Pr="00526B4B">
        <w:rPr>
          <w:rFonts w:cs="Arial"/>
          <w:b/>
          <w:bCs/>
        </w:rPr>
        <w:t xml:space="preserve">V. </w:t>
      </w: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Výpověď a zrušení smlouvy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7D4B4D">
        <w:rPr>
          <w:rFonts w:cs="Arial"/>
        </w:rPr>
        <w:t xml:space="preserve">Poskytovatel je oprávněn </w:t>
      </w:r>
      <w:r w:rsidRPr="00874B7D">
        <w:rPr>
          <w:rFonts w:cs="Arial"/>
        </w:rPr>
        <w:t xml:space="preserve">vypovědět </w:t>
      </w:r>
      <w:r w:rsidRPr="007F1346">
        <w:rPr>
          <w:rFonts w:cs="Arial"/>
        </w:rPr>
        <w:t>smlouv</w:t>
      </w:r>
      <w:r w:rsidRPr="009E0D20">
        <w:rPr>
          <w:rFonts w:cs="Arial"/>
        </w:rPr>
        <w:t xml:space="preserve">u v případě, že příjemce porušil smluvní povinnost stanovenou touto smlouvou. </w:t>
      </w:r>
      <w:r w:rsidRPr="00D1036D">
        <w:rPr>
          <w:rFonts w:cs="Arial"/>
        </w:rPr>
        <w:t>Výpověď musí mít písemnou formu a nabývá účinnosti uplynutím výpovědní lhůty, která činí 15 dnů od doručení výpovědi.</w:t>
      </w:r>
      <w:r w:rsidRPr="009E0D20">
        <w:rPr>
          <w:rFonts w:cs="Arial"/>
          <w:color w:val="002060"/>
        </w:rPr>
        <w:t xml:space="preserve"> 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D441A9">
        <w:rPr>
          <w:rFonts w:cs="Arial"/>
        </w:rP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Smlouvu lze ukončit také na základě písemné dohody smluvních stran.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:rsidR="00C6348B" w:rsidRDefault="00C6348B" w:rsidP="00C6348B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cs="Arial"/>
        </w:rPr>
      </w:pPr>
    </w:p>
    <w:p w:rsidR="00312E63" w:rsidRPr="001A6D66" w:rsidRDefault="00312E63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312E63" w:rsidRDefault="00312E63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lastRenderedPageBreak/>
        <w:t>Článek VI.</w:t>
      </w:r>
    </w:p>
    <w:p w:rsidR="00312E63" w:rsidRDefault="00312E63" w:rsidP="0015116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E131E">
        <w:rPr>
          <w:rFonts w:ascii="Arial" w:hAnsi="Arial" w:cs="Arial"/>
          <w:sz w:val="22"/>
          <w:szCs w:val="22"/>
        </w:rPr>
        <w:t xml:space="preserve">říjemce je povinen v případě informování sdělovacích prostředků o </w:t>
      </w:r>
      <w:r>
        <w:rPr>
          <w:rFonts w:ascii="Arial" w:hAnsi="Arial" w:cs="Arial"/>
          <w:sz w:val="22"/>
          <w:szCs w:val="22"/>
        </w:rPr>
        <w:t>realizaci lesnických prací (dále jen „projekt“)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>
        <w:rPr>
          <w:rFonts w:ascii="Arial" w:hAnsi="Arial" w:cs="Arial"/>
          <w:sz w:val="22"/>
          <w:szCs w:val="22"/>
        </w:rPr>
        <w:t>t, že projekt byl podpořen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 xml:space="preserve">respektující </w:t>
      </w:r>
      <w:proofErr w:type="spellStart"/>
      <w:r>
        <w:rPr>
          <w:rFonts w:ascii="Arial" w:hAnsi="Arial" w:cs="Arial"/>
          <w:sz w:val="22"/>
          <w:szCs w:val="22"/>
        </w:rPr>
        <w:t>logomanuál</w:t>
      </w:r>
      <w:proofErr w:type="spellEnd"/>
      <w:r>
        <w:rPr>
          <w:rFonts w:ascii="Arial" w:hAnsi="Arial" w:cs="Arial"/>
          <w:sz w:val="22"/>
          <w:szCs w:val="22"/>
        </w:rPr>
        <w:t xml:space="preserve">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</w:t>
      </w:r>
      <w:proofErr w:type="spellStart"/>
      <w:r>
        <w:rPr>
          <w:rFonts w:ascii="Arial" w:hAnsi="Arial" w:cs="Arial"/>
          <w:sz w:val="22"/>
          <w:szCs w:val="22"/>
        </w:rPr>
        <w:t>logomanuálem</w:t>
      </w:r>
      <w:proofErr w:type="spellEnd"/>
      <w:r>
        <w:rPr>
          <w:rFonts w:ascii="Arial" w:hAnsi="Arial" w:cs="Arial"/>
          <w:sz w:val="22"/>
          <w:szCs w:val="22"/>
        </w:rPr>
        <w:t xml:space="preserve"> seznámil.</w:t>
      </w:r>
    </w:p>
    <w:p w:rsidR="00312E63" w:rsidRPr="000B03A0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 ke schválení poskytovateli, případně upravit návrh podle námitek poskytovatele a předložit ho poskytovateli ke konečnému schválení. Za poskytovatele rozhoduje kontaktní osoba uvedená v označení smluvních stran.</w:t>
      </w:r>
    </w:p>
    <w:p w:rsidR="00312E63" w:rsidRPr="00DE131E" w:rsidRDefault="00312E63" w:rsidP="00CF1025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4.  </w:t>
      </w:r>
      <w:r>
        <w:rPr>
          <w:rFonts w:cs="Arial"/>
          <w:szCs w:val="22"/>
          <w:lang w:val="cs-CZ"/>
        </w:rPr>
        <w:tab/>
      </w:r>
      <w:r w:rsidRPr="00DE131E">
        <w:rPr>
          <w:rFonts w:cs="Arial"/>
          <w:szCs w:val="22"/>
          <w:lang w:val="cs-CZ"/>
        </w:rPr>
        <w:t xml:space="preserve">Příjemce </w:t>
      </w:r>
      <w:r>
        <w:rPr>
          <w:rFonts w:cs="Arial"/>
          <w:szCs w:val="22"/>
          <w:lang w:val="cs-CZ"/>
        </w:rPr>
        <w:t>je povinen prezentovat poskytovatele</w:t>
      </w:r>
      <w:r w:rsidRPr="00DE131E">
        <w:rPr>
          <w:rFonts w:cs="Arial"/>
          <w:szCs w:val="22"/>
          <w:lang w:val="cs-CZ"/>
        </w:rPr>
        <w:t xml:space="preserve"> v následujícím rozsahu, a to nejméně po dobu </w:t>
      </w:r>
      <w:r>
        <w:rPr>
          <w:rFonts w:cs="Arial"/>
          <w:szCs w:val="22"/>
          <w:lang w:val="cs-CZ"/>
        </w:rPr>
        <w:t>jednoho roku: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logo poskytovatele umístěné, v souladu s </w:t>
      </w:r>
      <w:proofErr w:type="spellStart"/>
      <w:r w:rsidRPr="003A152D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Pr="003A152D">
        <w:rPr>
          <w:rFonts w:ascii="Arial" w:hAnsi="Arial" w:cs="Arial"/>
          <w:b w:val="0"/>
          <w:sz w:val="22"/>
          <w:szCs w:val="22"/>
        </w:rPr>
        <w:t>, na – pozvánkách, plakátech, programech, vstupenkách souvisejících s akcí (projektem),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verbální prezentace poskytovatele v médiích a na tiskových konferencích pořádaných u příležitosti akce (projektu),</w:t>
      </w:r>
    </w:p>
    <w:p w:rsidR="00312E63" w:rsidRPr="003A152D" w:rsidRDefault="00312E63" w:rsidP="00CA0045">
      <w:pPr>
        <w:pStyle w:val="odrzka"/>
        <w:numPr>
          <w:ilvl w:val="1"/>
          <w:numId w:val="11"/>
        </w:numPr>
        <w:tabs>
          <w:tab w:val="left" w:pos="851"/>
        </w:tabs>
        <w:spacing w:after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4" w:history="1">
        <w:r w:rsidRPr="003A152D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</w:rPr>
          <w:t>www.kr-ustecky.cz</w:t>
        </w:r>
      </w:hyperlink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3A152D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realizací projektu.</w:t>
      </w:r>
    </w:p>
    <w:p w:rsidR="00312E63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r w:rsidRPr="00DE131E">
        <w:rPr>
          <w:rFonts w:ascii="Arial" w:hAnsi="Arial" w:cs="Arial"/>
          <w:sz w:val="22"/>
          <w:szCs w:val="22"/>
        </w:rPr>
        <w:t xml:space="preserve">Logo </w:t>
      </w:r>
      <w:r>
        <w:rPr>
          <w:rFonts w:ascii="Arial" w:hAnsi="Arial" w:cs="Arial"/>
          <w:sz w:val="22"/>
          <w:szCs w:val="22"/>
        </w:rPr>
        <w:t>Ústeckého k</w:t>
      </w:r>
      <w:r w:rsidRPr="00DE131E">
        <w:rPr>
          <w:rFonts w:ascii="Arial" w:hAnsi="Arial" w:cs="Arial"/>
          <w:sz w:val="22"/>
          <w:szCs w:val="22"/>
        </w:rPr>
        <w:t xml:space="preserve">raje </w:t>
      </w:r>
      <w:r>
        <w:rPr>
          <w:rFonts w:ascii="Arial" w:hAnsi="Arial" w:cs="Arial"/>
          <w:sz w:val="22"/>
          <w:szCs w:val="22"/>
        </w:rPr>
        <w:t xml:space="preserve">(poskytovatele) </w:t>
      </w:r>
      <w:r w:rsidRPr="00DE131E">
        <w:rPr>
          <w:rFonts w:ascii="Arial" w:hAnsi="Arial" w:cs="Arial"/>
          <w:sz w:val="22"/>
          <w:szCs w:val="22"/>
        </w:rPr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312E63" w:rsidRPr="001A6D66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16"/>
          <w:szCs w:val="16"/>
        </w:rPr>
      </w:pPr>
    </w:p>
    <w:p w:rsidR="00312E63" w:rsidRPr="00526B4B" w:rsidRDefault="00312E63" w:rsidP="00CA004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>
        <w:rPr>
          <w:rFonts w:cs="Arial"/>
          <w:b/>
          <w:bCs/>
        </w:rPr>
        <w:t>II</w:t>
      </w:r>
      <w:r w:rsidRPr="00526B4B">
        <w:rPr>
          <w:rFonts w:cs="Arial"/>
          <w:b/>
          <w:bCs/>
        </w:rPr>
        <w:t>.</w:t>
      </w:r>
    </w:p>
    <w:p w:rsidR="00312E63" w:rsidRDefault="00312E63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  <w:r w:rsidRPr="0009673A">
        <w:rPr>
          <w:rFonts w:cs="Arial"/>
          <w:b/>
          <w:bCs/>
        </w:rPr>
        <w:t>Ostatní ujednání</w:t>
      </w:r>
    </w:p>
    <w:p w:rsidR="006A437F" w:rsidRPr="00312E63" w:rsidRDefault="006A437F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</w:p>
    <w:p w:rsidR="00312E63" w:rsidRPr="006A437F" w:rsidRDefault="00312E63" w:rsidP="006A437F">
      <w:pPr>
        <w:tabs>
          <w:tab w:val="left" w:pos="0"/>
        </w:tabs>
        <w:overflowPunct w:val="0"/>
        <w:autoSpaceDE w:val="0"/>
        <w:autoSpaceDN w:val="0"/>
        <w:adjustRightInd w:val="0"/>
        <w:spacing w:after="100"/>
        <w:ind w:left="360" w:hanging="360"/>
        <w:jc w:val="both"/>
        <w:textAlignment w:val="baseline"/>
        <w:rPr>
          <w:rFonts w:cs="Arial"/>
          <w:i/>
          <w:color w:val="0070C0"/>
        </w:rPr>
      </w:pPr>
      <w:r w:rsidRPr="006A437F">
        <w:rPr>
          <w:rFonts w:cs="Arial"/>
        </w:rPr>
        <w:t xml:space="preserve">1. </w:t>
      </w:r>
      <w:r w:rsidR="009E0FAD" w:rsidRPr="008D5EFB">
        <w:rPr>
          <w:rFonts w:cs="Arial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byla zaslána příjemci do datové schránky ID: </w:t>
      </w:r>
      <w:r w:rsidR="008D5EFB" w:rsidRPr="008D5EFB">
        <w:rPr>
          <w:rFonts w:cs="Arial"/>
        </w:rPr>
        <w:t>fcx6dqk</w:t>
      </w:r>
      <w:r w:rsidR="009E0FAD" w:rsidRPr="008D5EFB">
        <w:rPr>
          <w:rFonts w:cs="Arial"/>
        </w:rPr>
        <w:t>. Smlouva nabývá platnosti dnem jejího uzavření a účinnosti dnem uveřejnění v registru smluv.</w:t>
      </w:r>
    </w:p>
    <w:p w:rsidR="00312E63" w:rsidRPr="00526B4B" w:rsidRDefault="00312E6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</w:t>
      </w:r>
      <w:r w:rsidRPr="0009673A">
        <w:rPr>
          <w:rFonts w:cs="Arial"/>
        </w:rPr>
        <w:t>.</w:t>
      </w:r>
      <w:r w:rsidRPr="0009673A">
        <w:rPr>
          <w:rFonts w:cs="Arial"/>
        </w:rPr>
        <w:tab/>
        <w:t>Tuto smlouvu lze měnit či doplňovat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:rsidR="00312E63" w:rsidRDefault="00312E63" w:rsidP="00CA0045">
      <w:pPr>
        <w:pStyle w:val="Zkladntext"/>
        <w:tabs>
          <w:tab w:val="left" w:pos="360"/>
        </w:tabs>
        <w:spacing w:after="120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zákona č. 250/2000 Sb., </w:t>
      </w:r>
      <w:r w:rsidRPr="009C7F8F">
        <w:rPr>
          <w:rFonts w:ascii="Arial" w:hAnsi="Arial" w:cs="Arial"/>
          <w:sz w:val="22"/>
          <w:szCs w:val="22"/>
        </w:rPr>
        <w:t>správního řádu</w:t>
      </w:r>
      <w:r>
        <w:rPr>
          <w:rFonts w:ascii="Arial" w:hAnsi="Arial" w:cs="Arial"/>
          <w:sz w:val="22"/>
          <w:szCs w:val="22"/>
        </w:rPr>
        <w:t xml:space="preserve">, případně příslušná ustanovení občanského zákoníku s výjimkou uvedenou v § 170 správního řádu. </w:t>
      </w:r>
    </w:p>
    <w:p w:rsidR="00312E63" w:rsidRDefault="00312E63" w:rsidP="006A437F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526B4B">
        <w:rPr>
          <w:rFonts w:cs="Arial"/>
        </w:rPr>
        <w:t xml:space="preserve">Tato smlouva je vyhotovena ve </w:t>
      </w:r>
      <w:r>
        <w:rPr>
          <w:rFonts w:cs="Arial"/>
        </w:rPr>
        <w:t>4</w:t>
      </w:r>
      <w:r w:rsidRPr="00526B4B">
        <w:rPr>
          <w:rFonts w:cs="Arial"/>
        </w:rPr>
        <w:t xml:space="preserve"> vyhotoveních s platností originálu, přičemž každá ze smluvních stran obdrží </w:t>
      </w:r>
      <w:r>
        <w:rPr>
          <w:rFonts w:cs="Arial"/>
        </w:rPr>
        <w:t xml:space="preserve">2 </w:t>
      </w:r>
      <w:r w:rsidRPr="00526B4B">
        <w:rPr>
          <w:rFonts w:cs="Arial"/>
        </w:rPr>
        <w:t>vyhotovení.</w:t>
      </w:r>
    </w:p>
    <w:p w:rsidR="00312E63" w:rsidRDefault="00C6348B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 xml:space="preserve">5. </w:t>
      </w:r>
      <w:r w:rsidR="00312E63">
        <w:rPr>
          <w:rFonts w:cs="Arial"/>
        </w:rPr>
        <w:t>O poskytnutí dotace a uzavření té</w:t>
      </w:r>
      <w:r w:rsidR="00312E63" w:rsidRPr="00526B4B">
        <w:rPr>
          <w:rFonts w:cs="Arial"/>
        </w:rPr>
        <w:t>to smlouv</w:t>
      </w:r>
      <w:r w:rsidR="00312E63">
        <w:rPr>
          <w:rFonts w:cs="Arial"/>
        </w:rPr>
        <w:t>y</w:t>
      </w:r>
      <w:r w:rsidR="00312E63" w:rsidRPr="00526B4B">
        <w:rPr>
          <w:rFonts w:cs="Arial"/>
        </w:rPr>
        <w:t xml:space="preserve"> </w:t>
      </w:r>
      <w:r w:rsidR="00312E63">
        <w:rPr>
          <w:rFonts w:cs="Arial"/>
        </w:rPr>
        <w:t xml:space="preserve">bylo rozhodnuto </w:t>
      </w:r>
      <w:proofErr w:type="gramStart"/>
      <w:r>
        <w:rPr>
          <w:rFonts w:cs="Arial"/>
        </w:rPr>
        <w:t xml:space="preserve">Zastupitelstvem </w:t>
      </w:r>
      <w:r w:rsidR="00312E63">
        <w:rPr>
          <w:rFonts w:cs="Arial"/>
          <w:color w:val="0070C0"/>
        </w:rPr>
        <w:t xml:space="preserve"> </w:t>
      </w:r>
      <w:r w:rsidR="00312E63">
        <w:rPr>
          <w:rFonts w:cs="Arial"/>
        </w:rPr>
        <w:t>Ústeckého</w:t>
      </w:r>
      <w:proofErr w:type="gramEnd"/>
      <w:r w:rsidR="00312E63">
        <w:rPr>
          <w:rFonts w:cs="Arial"/>
        </w:rPr>
        <w:t xml:space="preserve"> kraje</w:t>
      </w:r>
      <w:r w:rsidR="00312E63" w:rsidRPr="00526B4B">
        <w:rPr>
          <w:rFonts w:cs="Arial"/>
        </w:rPr>
        <w:t xml:space="preserve"> usnesení</w:t>
      </w:r>
      <w:r w:rsidR="00312E63">
        <w:rPr>
          <w:rFonts w:cs="Arial"/>
        </w:rPr>
        <w:t>m</w:t>
      </w:r>
      <w:r w:rsidR="00312E63" w:rsidRPr="00526B4B">
        <w:rPr>
          <w:rFonts w:cs="Arial"/>
        </w:rPr>
        <w:t xml:space="preserve"> č. </w:t>
      </w:r>
      <w:r>
        <w:rPr>
          <w:rFonts w:cs="Arial"/>
        </w:rPr>
        <w:t>069/13Z</w:t>
      </w:r>
      <w:r w:rsidR="00312E63">
        <w:rPr>
          <w:rFonts w:cs="Arial"/>
        </w:rPr>
        <w:t xml:space="preserve">/2018 </w:t>
      </w:r>
      <w:r w:rsidR="00312E63" w:rsidRPr="00526B4B">
        <w:rPr>
          <w:rFonts w:cs="Arial"/>
        </w:rPr>
        <w:t xml:space="preserve">ze dne </w:t>
      </w:r>
      <w:r>
        <w:rPr>
          <w:rFonts w:cs="Arial"/>
        </w:rPr>
        <w:t>25. 6</w:t>
      </w:r>
      <w:r w:rsidR="00312E63">
        <w:rPr>
          <w:rFonts w:cs="Arial"/>
        </w:rPr>
        <w:t>. 2018.</w:t>
      </w:r>
    </w:p>
    <w:p w:rsidR="006A437F" w:rsidRDefault="006A437F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</w:p>
    <w:p w:rsidR="006A437F" w:rsidRDefault="006A437F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367"/>
      </w:tblGrid>
      <w:tr w:rsidR="00312E63" w:rsidRPr="00A070EE" w:rsidTr="00331E02">
        <w:tc>
          <w:tcPr>
            <w:tcW w:w="4403" w:type="dxa"/>
          </w:tcPr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 Ústí nad Labem dne …………………</w:t>
            </w:r>
          </w:p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458" w:type="dxa"/>
          </w:tcPr>
          <w:p w:rsidR="00312E63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</w:t>
            </w:r>
            <w:r>
              <w:rPr>
                <w:rFonts w:cs="Arial"/>
              </w:rPr>
              <w:t>……….</w:t>
            </w:r>
            <w:r w:rsidRPr="00A070EE">
              <w:rPr>
                <w:rFonts w:cs="Arial"/>
              </w:rPr>
              <w:t xml:space="preserve">……… dne </w:t>
            </w:r>
            <w:proofErr w:type="gramStart"/>
            <w:r w:rsidRPr="00A070EE">
              <w:rPr>
                <w:rFonts w:cs="Arial"/>
              </w:rPr>
              <w:t>…</w:t>
            </w:r>
            <w:r>
              <w:rPr>
                <w:rFonts w:cs="Arial"/>
              </w:rPr>
              <w:t>..</w:t>
            </w:r>
            <w:r w:rsidRPr="00A070EE">
              <w:rPr>
                <w:rFonts w:cs="Arial"/>
              </w:rPr>
              <w:t>…</w:t>
            </w:r>
            <w:proofErr w:type="gramEnd"/>
            <w:r w:rsidRPr="00A070EE">
              <w:rPr>
                <w:rFonts w:cs="Arial"/>
              </w:rPr>
              <w:t>…..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458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:rsidR="00312E63" w:rsidRPr="00AB65E4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B65E4">
              <w:rPr>
                <w:rFonts w:cs="Arial"/>
              </w:rPr>
              <w:t xml:space="preserve">Jitka </w:t>
            </w:r>
            <w:proofErr w:type="spellStart"/>
            <w:r w:rsidRPr="00AB65E4">
              <w:rPr>
                <w:rFonts w:cs="Arial"/>
              </w:rPr>
              <w:t>Sachetová</w:t>
            </w:r>
            <w:proofErr w:type="spellEnd"/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B65E4">
              <w:rPr>
                <w:rFonts w:cs="Arial"/>
              </w:rPr>
              <w:t>členka Rady Ústeckého kraje pro oblast kultury a památkové péče, zemědělství, životního prostředí a venkova, na základě pověření dle usnesení Rady Ústeckého kraje č. 067/18R/2017 ze dne 28. 6. 2017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58" w:type="dxa"/>
          </w:tcPr>
          <w:p w:rsidR="00312E63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:rsidR="009E0FAD" w:rsidRDefault="009E0FAD" w:rsidP="00C6348B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FINE DREAM</w:t>
            </w:r>
            <w:r w:rsidR="0054102A">
              <w:rPr>
                <w:rFonts w:cs="Arial"/>
                <w:noProof/>
              </w:rPr>
              <w:t>,</w:t>
            </w:r>
            <w:bookmarkStart w:id="0" w:name="_GoBack"/>
            <w:bookmarkEnd w:id="0"/>
            <w:r>
              <w:rPr>
                <w:rFonts w:cs="Arial"/>
                <w:noProof/>
              </w:rPr>
              <w:t xml:space="preserve"> s.r.</w:t>
            </w:r>
            <w:r w:rsidRPr="009E0FAD">
              <w:rPr>
                <w:rFonts w:cs="Arial"/>
                <w:noProof/>
              </w:rPr>
              <w:t>o</w:t>
            </w:r>
            <w:r>
              <w:rPr>
                <w:rFonts w:cs="Arial"/>
                <w:noProof/>
              </w:rPr>
              <w:t>.</w:t>
            </w:r>
          </w:p>
          <w:p w:rsidR="00312E63" w:rsidRPr="00C6348B" w:rsidRDefault="009E0FAD" w:rsidP="00C6348B">
            <w:pPr>
              <w:jc w:val="center"/>
              <w:rPr>
                <w:rFonts w:cs="Arial"/>
              </w:rPr>
            </w:pPr>
            <w:r w:rsidRPr="009E0FAD">
              <w:rPr>
                <w:rFonts w:cs="Arial"/>
                <w:noProof/>
                <w:lang w:val="x-none"/>
              </w:rPr>
              <w:t>Petr Nešetřil, jednatel</w:t>
            </w:r>
          </w:p>
        </w:tc>
      </w:tr>
    </w:tbl>
    <w:p w:rsidR="00312E63" w:rsidRPr="00526B4B" w:rsidRDefault="00312E63" w:rsidP="00331E02">
      <w:pPr>
        <w:spacing w:after="0"/>
        <w:rPr>
          <w:rFonts w:cs="Arial"/>
        </w:rPr>
      </w:pPr>
      <w:r w:rsidRPr="00526B4B">
        <w:rPr>
          <w:rFonts w:cs="Arial"/>
        </w:rPr>
        <w:t>Přílohy:</w:t>
      </w:r>
    </w:p>
    <w:p w:rsidR="008D5EFB" w:rsidRDefault="008D5EFB" w:rsidP="008D5EFB">
      <w:pPr>
        <w:spacing w:after="0"/>
        <w:rPr>
          <w:rFonts w:cs="Arial"/>
        </w:rPr>
      </w:pPr>
      <w:r w:rsidRPr="008A78A1">
        <w:rPr>
          <w:rFonts w:cs="Arial"/>
          <w:color w:val="000000"/>
        </w:rPr>
        <w:t xml:space="preserve">Příloha č. 1 - </w:t>
      </w:r>
      <w:r w:rsidRPr="001A6D66">
        <w:rPr>
          <w:rFonts w:cs="Arial"/>
        </w:rPr>
        <w:t>Kopie výpisu z</w:t>
      </w:r>
      <w:r>
        <w:rPr>
          <w:rFonts w:cs="Arial"/>
        </w:rPr>
        <w:t> obchodního rejstříku</w:t>
      </w:r>
    </w:p>
    <w:p w:rsidR="00312E63" w:rsidRDefault="00312E63" w:rsidP="00331E02">
      <w:pPr>
        <w:spacing w:after="0"/>
        <w:rPr>
          <w:rFonts w:cs="Arial"/>
          <w:color w:val="000000"/>
        </w:rPr>
      </w:pPr>
      <w:r w:rsidRPr="00B91EFE">
        <w:rPr>
          <w:rFonts w:cs="Arial"/>
          <w:iCs/>
          <w:color w:val="000000"/>
        </w:rPr>
        <w:t xml:space="preserve">Příloha č. 2 - </w:t>
      </w:r>
      <w:r>
        <w:rPr>
          <w:rFonts w:cs="Arial"/>
          <w:color w:val="000000"/>
        </w:rPr>
        <w:t>Kopie příloh Žádosti L2, L3</w:t>
      </w:r>
    </w:p>
    <w:p w:rsidR="00312E63" w:rsidRDefault="00312E63" w:rsidP="00331E02">
      <w:pPr>
        <w:spacing w:after="0"/>
        <w:rPr>
          <w:rFonts w:cs="Arial"/>
          <w:color w:val="000000"/>
        </w:rPr>
      </w:pPr>
    </w:p>
    <w:p w:rsidR="00312E63" w:rsidRPr="00526B4B" w:rsidRDefault="00312E63" w:rsidP="00852A7C">
      <w:pPr>
        <w:overflowPunct w:val="0"/>
        <w:autoSpaceDE w:val="0"/>
        <w:autoSpaceDN w:val="0"/>
        <w:adjustRightInd w:val="0"/>
        <w:spacing w:after="160"/>
        <w:ind w:left="-709"/>
        <w:jc w:val="both"/>
        <w:textAlignment w:val="baseline"/>
        <w:rPr>
          <w:rFonts w:cs="Arial"/>
        </w:rPr>
      </w:pPr>
      <w:r>
        <w:t>**</w:t>
      </w:r>
      <w:r w:rsidRPr="002B65EA">
        <w:rPr>
          <w:sz w:val="16"/>
          <w:szCs w:val="16"/>
        </w:rPr>
        <w:t xml:space="preserve">Odkaz na rozhodnutí Soudu prvního stupně ze dne 13. září 1996 ve spojených věcech T-244/93 a T-486/93, </w:t>
      </w:r>
      <w:proofErr w:type="spellStart"/>
      <w:r w:rsidRPr="002B65EA">
        <w:rPr>
          <w:sz w:val="16"/>
          <w:szCs w:val="16"/>
        </w:rPr>
        <w:t>Textilwerke</w:t>
      </w:r>
      <w:proofErr w:type="spellEnd"/>
      <w:r w:rsidRPr="002B65EA">
        <w:rPr>
          <w:sz w:val="16"/>
          <w:szCs w:val="16"/>
        </w:rPr>
        <w:t xml:space="preserve"> </w:t>
      </w:r>
      <w:proofErr w:type="spellStart"/>
      <w:r w:rsidRPr="002B65EA">
        <w:rPr>
          <w:sz w:val="16"/>
          <w:szCs w:val="16"/>
        </w:rPr>
        <w:t>Deggendorf</w:t>
      </w:r>
      <w:proofErr w:type="spellEnd"/>
      <w:r w:rsidRPr="002B65EA">
        <w:rPr>
          <w:sz w:val="16"/>
          <w:szCs w:val="16"/>
        </w:rPr>
        <w:t xml:space="preserve"> </w:t>
      </w:r>
      <w:proofErr w:type="spellStart"/>
      <w:r w:rsidRPr="002B65EA">
        <w:rPr>
          <w:sz w:val="16"/>
          <w:szCs w:val="16"/>
        </w:rPr>
        <w:t>GmbH</w:t>
      </w:r>
      <w:proofErr w:type="spellEnd"/>
      <w:r w:rsidRPr="002B65EA">
        <w:rPr>
          <w:sz w:val="16"/>
          <w:szCs w:val="16"/>
        </w:rPr>
        <w:t xml:space="preserve"> (dále jen „TWD“) versus Komise; rozhodnutí Evropského soudního dvora ze dne 15. května 1997 ve věci C-355/95 P, TWD versus Komise</w:t>
      </w:r>
    </w:p>
    <w:p w:rsidR="00312E63" w:rsidRPr="008459C7" w:rsidRDefault="00312E63" w:rsidP="00E04475">
      <w:pPr>
        <w:pStyle w:val="przdndek"/>
        <w:rPr>
          <w:rFonts w:cs="Arial"/>
        </w:rPr>
        <w:sectPr w:rsidR="00312E63" w:rsidRPr="008459C7" w:rsidSect="00335113">
          <w:headerReference w:type="default" r:id="rId15"/>
          <w:footerReference w:type="default" r:id="rId16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</w:p>
    <w:p w:rsidR="00312E63" w:rsidRDefault="00312E63" w:rsidP="004D3884">
      <w:pPr>
        <w:pStyle w:val="podpis"/>
        <w:jc w:val="left"/>
        <w:sectPr w:rsidR="00312E63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312E63" w:rsidRPr="008459C7" w:rsidRDefault="00312E63" w:rsidP="004D3884">
      <w:pPr>
        <w:pStyle w:val="podpis"/>
        <w:jc w:val="left"/>
      </w:pPr>
    </w:p>
    <w:sectPr w:rsidR="00312E63" w:rsidRPr="008459C7" w:rsidSect="00312E63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71" w:rsidRDefault="00297071">
      <w:r>
        <w:separator/>
      </w:r>
    </w:p>
  </w:endnote>
  <w:endnote w:type="continuationSeparator" w:id="0">
    <w:p w:rsidR="00297071" w:rsidRDefault="0029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4102A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6D0EF9">
      <w:rPr>
        <w:noProof/>
      </w:rPr>
      <w:fldChar w:fldCharType="begin"/>
    </w:r>
    <w:r w:rsidR="006D0EF9">
      <w:rPr>
        <w:noProof/>
      </w:rPr>
      <w:instrText xml:space="preserve"> NUMPAGES </w:instrText>
    </w:r>
    <w:r w:rsidR="006D0EF9">
      <w:rPr>
        <w:noProof/>
      </w:rPr>
      <w:fldChar w:fldCharType="separate"/>
    </w:r>
    <w:r w:rsidR="0054102A">
      <w:rPr>
        <w:noProof/>
      </w:rPr>
      <w:t>7</w:t>
    </w:r>
    <w:r w:rsidR="006D0EF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4102A">
      <w:rPr>
        <w:noProof/>
      </w:rPr>
      <w:t>7</w:t>
    </w:r>
    <w:r>
      <w:fldChar w:fldCharType="end"/>
    </w:r>
    <w:r w:rsidRPr="00BB624C">
      <w:t xml:space="preserve"> /</w:t>
    </w:r>
    <w:r>
      <w:t xml:space="preserve"> </w:t>
    </w:r>
    <w:r w:rsidR="006D0EF9">
      <w:rPr>
        <w:noProof/>
      </w:rPr>
      <w:fldChar w:fldCharType="begin"/>
    </w:r>
    <w:r w:rsidR="006D0EF9">
      <w:rPr>
        <w:noProof/>
      </w:rPr>
      <w:instrText xml:space="preserve"> NUMPAGES </w:instrText>
    </w:r>
    <w:r w:rsidR="006D0EF9">
      <w:rPr>
        <w:noProof/>
      </w:rPr>
      <w:fldChar w:fldCharType="separate"/>
    </w:r>
    <w:r w:rsidR="0054102A">
      <w:rPr>
        <w:noProof/>
      </w:rPr>
      <w:t>7</w:t>
    </w:r>
    <w:r w:rsidR="006D0E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71" w:rsidRDefault="00297071">
      <w:r>
        <w:separator/>
      </w:r>
    </w:p>
  </w:footnote>
  <w:footnote w:type="continuationSeparator" w:id="0">
    <w:p w:rsidR="00297071" w:rsidRDefault="0029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Default="00312E63" w:rsidP="006F61CC">
    <w:pPr>
      <w:jc w:val="right"/>
      <w:rPr>
        <w:b/>
      </w:rPr>
    </w:pPr>
  </w:p>
  <w:p w:rsidR="00312E63" w:rsidRDefault="00312E63" w:rsidP="006F61CC">
    <w:pPr>
      <w:jc w:val="right"/>
      <w:rPr>
        <w:b/>
      </w:rPr>
    </w:pPr>
  </w:p>
  <w:p w:rsidR="00312E63" w:rsidRPr="00656E72" w:rsidRDefault="00312E63" w:rsidP="006F61CC">
    <w:pPr>
      <w:jc w:val="right"/>
      <w:rPr>
        <w:b/>
      </w:rPr>
    </w:pPr>
    <w:r w:rsidRPr="00656E72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933A64" w:rsidRDefault="00312E63" w:rsidP="00E04475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1">
    <w:nsid w:val="12766A18"/>
    <w:multiLevelType w:val="hybridMultilevel"/>
    <w:tmpl w:val="295E796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1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48B6B05"/>
    <w:multiLevelType w:val="hybridMultilevel"/>
    <w:tmpl w:val="FE6C13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1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1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1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45AA4E8E"/>
    <w:multiLevelType w:val="multilevel"/>
    <w:tmpl w:val="DFBA770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1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1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1" w15:restartNumberingAfterBreak="1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1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4" w15:restartNumberingAfterBreak="1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1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1D77"/>
    <w:rsid w:val="00002E16"/>
    <w:rsid w:val="00003052"/>
    <w:rsid w:val="00006A3A"/>
    <w:rsid w:val="0000710A"/>
    <w:rsid w:val="0000777D"/>
    <w:rsid w:val="000111CE"/>
    <w:rsid w:val="00011A2D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1E00"/>
    <w:rsid w:val="00032400"/>
    <w:rsid w:val="00034760"/>
    <w:rsid w:val="00034F18"/>
    <w:rsid w:val="00034FA3"/>
    <w:rsid w:val="00037442"/>
    <w:rsid w:val="000378A7"/>
    <w:rsid w:val="00041894"/>
    <w:rsid w:val="000418D2"/>
    <w:rsid w:val="00043310"/>
    <w:rsid w:val="00043A5E"/>
    <w:rsid w:val="000448DD"/>
    <w:rsid w:val="000454E6"/>
    <w:rsid w:val="00046DDF"/>
    <w:rsid w:val="000474D9"/>
    <w:rsid w:val="00047A3B"/>
    <w:rsid w:val="000509CF"/>
    <w:rsid w:val="00052F59"/>
    <w:rsid w:val="0006007B"/>
    <w:rsid w:val="00061D3A"/>
    <w:rsid w:val="00063052"/>
    <w:rsid w:val="00063ECA"/>
    <w:rsid w:val="000659B9"/>
    <w:rsid w:val="0006787A"/>
    <w:rsid w:val="000706B7"/>
    <w:rsid w:val="00071EF7"/>
    <w:rsid w:val="00073117"/>
    <w:rsid w:val="00073151"/>
    <w:rsid w:val="0007646A"/>
    <w:rsid w:val="00080857"/>
    <w:rsid w:val="0008546D"/>
    <w:rsid w:val="000857A7"/>
    <w:rsid w:val="00087161"/>
    <w:rsid w:val="00087F15"/>
    <w:rsid w:val="00087F29"/>
    <w:rsid w:val="0009195B"/>
    <w:rsid w:val="00091F0F"/>
    <w:rsid w:val="0009250F"/>
    <w:rsid w:val="0009380D"/>
    <w:rsid w:val="000941C5"/>
    <w:rsid w:val="000948B4"/>
    <w:rsid w:val="0009536B"/>
    <w:rsid w:val="000956EE"/>
    <w:rsid w:val="0009673A"/>
    <w:rsid w:val="000967D8"/>
    <w:rsid w:val="000971B1"/>
    <w:rsid w:val="000A2C18"/>
    <w:rsid w:val="000A2DE2"/>
    <w:rsid w:val="000B03A0"/>
    <w:rsid w:val="000B07BD"/>
    <w:rsid w:val="000B3061"/>
    <w:rsid w:val="000B4908"/>
    <w:rsid w:val="000C0E44"/>
    <w:rsid w:val="000C1FF3"/>
    <w:rsid w:val="000C2AC5"/>
    <w:rsid w:val="000C33E7"/>
    <w:rsid w:val="000C7C65"/>
    <w:rsid w:val="000D234F"/>
    <w:rsid w:val="000D2549"/>
    <w:rsid w:val="000D33FE"/>
    <w:rsid w:val="000D6C16"/>
    <w:rsid w:val="000E10B0"/>
    <w:rsid w:val="000E2104"/>
    <w:rsid w:val="000E28D3"/>
    <w:rsid w:val="000E2CE0"/>
    <w:rsid w:val="000E2F6F"/>
    <w:rsid w:val="000E347E"/>
    <w:rsid w:val="000E4A2F"/>
    <w:rsid w:val="000E5A19"/>
    <w:rsid w:val="000E6362"/>
    <w:rsid w:val="000F00DC"/>
    <w:rsid w:val="000F0E67"/>
    <w:rsid w:val="000F2344"/>
    <w:rsid w:val="000F3472"/>
    <w:rsid w:val="000F55C9"/>
    <w:rsid w:val="000F5684"/>
    <w:rsid w:val="000F745E"/>
    <w:rsid w:val="00101379"/>
    <w:rsid w:val="00101A9C"/>
    <w:rsid w:val="00101D13"/>
    <w:rsid w:val="00101FBF"/>
    <w:rsid w:val="001020A5"/>
    <w:rsid w:val="00104B71"/>
    <w:rsid w:val="001051A1"/>
    <w:rsid w:val="0011597D"/>
    <w:rsid w:val="00116A17"/>
    <w:rsid w:val="00121A0C"/>
    <w:rsid w:val="00121DE5"/>
    <w:rsid w:val="00124FB4"/>
    <w:rsid w:val="00125F4A"/>
    <w:rsid w:val="001343C4"/>
    <w:rsid w:val="001344D1"/>
    <w:rsid w:val="00142AAE"/>
    <w:rsid w:val="00144F7A"/>
    <w:rsid w:val="0014535B"/>
    <w:rsid w:val="00146C64"/>
    <w:rsid w:val="00147020"/>
    <w:rsid w:val="001477DD"/>
    <w:rsid w:val="00151163"/>
    <w:rsid w:val="00151F39"/>
    <w:rsid w:val="001536CC"/>
    <w:rsid w:val="001547FC"/>
    <w:rsid w:val="00155790"/>
    <w:rsid w:val="00155B7D"/>
    <w:rsid w:val="00155E69"/>
    <w:rsid w:val="00176232"/>
    <w:rsid w:val="0017677D"/>
    <w:rsid w:val="001779DA"/>
    <w:rsid w:val="00182766"/>
    <w:rsid w:val="001837D2"/>
    <w:rsid w:val="0018451F"/>
    <w:rsid w:val="00184686"/>
    <w:rsid w:val="00184695"/>
    <w:rsid w:val="001851F0"/>
    <w:rsid w:val="001870D6"/>
    <w:rsid w:val="00192259"/>
    <w:rsid w:val="001944C8"/>
    <w:rsid w:val="00194804"/>
    <w:rsid w:val="001950AF"/>
    <w:rsid w:val="0019590A"/>
    <w:rsid w:val="00197100"/>
    <w:rsid w:val="001A102B"/>
    <w:rsid w:val="001A22AA"/>
    <w:rsid w:val="001A3666"/>
    <w:rsid w:val="001A67CE"/>
    <w:rsid w:val="001A6D66"/>
    <w:rsid w:val="001A6D68"/>
    <w:rsid w:val="001A7E24"/>
    <w:rsid w:val="001B2907"/>
    <w:rsid w:val="001B6D11"/>
    <w:rsid w:val="001C032F"/>
    <w:rsid w:val="001C2107"/>
    <w:rsid w:val="001C2991"/>
    <w:rsid w:val="001C2B7F"/>
    <w:rsid w:val="001C365F"/>
    <w:rsid w:val="001C466C"/>
    <w:rsid w:val="001C5B8F"/>
    <w:rsid w:val="001C5BBA"/>
    <w:rsid w:val="001C6C05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3DA"/>
    <w:rsid w:val="00215815"/>
    <w:rsid w:val="002209D8"/>
    <w:rsid w:val="002210C6"/>
    <w:rsid w:val="0022216B"/>
    <w:rsid w:val="002221C6"/>
    <w:rsid w:val="00226060"/>
    <w:rsid w:val="0022642E"/>
    <w:rsid w:val="00227C47"/>
    <w:rsid w:val="00231FF2"/>
    <w:rsid w:val="00232EF1"/>
    <w:rsid w:val="002332CE"/>
    <w:rsid w:val="0023421D"/>
    <w:rsid w:val="00234CEF"/>
    <w:rsid w:val="00235A05"/>
    <w:rsid w:val="00235F14"/>
    <w:rsid w:val="00237963"/>
    <w:rsid w:val="00237B5F"/>
    <w:rsid w:val="00242A0E"/>
    <w:rsid w:val="002438F8"/>
    <w:rsid w:val="00246B08"/>
    <w:rsid w:val="00250855"/>
    <w:rsid w:val="00251B41"/>
    <w:rsid w:val="00251C27"/>
    <w:rsid w:val="00254410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7494A"/>
    <w:rsid w:val="002752AB"/>
    <w:rsid w:val="00275AF7"/>
    <w:rsid w:val="002804C4"/>
    <w:rsid w:val="00282EA6"/>
    <w:rsid w:val="00283328"/>
    <w:rsid w:val="002843CA"/>
    <w:rsid w:val="002846CC"/>
    <w:rsid w:val="00285379"/>
    <w:rsid w:val="00286476"/>
    <w:rsid w:val="0028663B"/>
    <w:rsid w:val="00286D71"/>
    <w:rsid w:val="002915FF"/>
    <w:rsid w:val="0029378A"/>
    <w:rsid w:val="00294945"/>
    <w:rsid w:val="00295314"/>
    <w:rsid w:val="002967EF"/>
    <w:rsid w:val="00297071"/>
    <w:rsid w:val="00297630"/>
    <w:rsid w:val="00297861"/>
    <w:rsid w:val="002A387D"/>
    <w:rsid w:val="002A392E"/>
    <w:rsid w:val="002A46CB"/>
    <w:rsid w:val="002A4FE9"/>
    <w:rsid w:val="002B224D"/>
    <w:rsid w:val="002B2451"/>
    <w:rsid w:val="002B3955"/>
    <w:rsid w:val="002B3DFB"/>
    <w:rsid w:val="002B4806"/>
    <w:rsid w:val="002B49AD"/>
    <w:rsid w:val="002B5B2F"/>
    <w:rsid w:val="002B6C00"/>
    <w:rsid w:val="002B7C65"/>
    <w:rsid w:val="002C0DC3"/>
    <w:rsid w:val="002C27BD"/>
    <w:rsid w:val="002C4A4A"/>
    <w:rsid w:val="002C4B4D"/>
    <w:rsid w:val="002D0D3D"/>
    <w:rsid w:val="002D454D"/>
    <w:rsid w:val="002D6617"/>
    <w:rsid w:val="002D6738"/>
    <w:rsid w:val="002D70FE"/>
    <w:rsid w:val="002E1313"/>
    <w:rsid w:val="002E4D5F"/>
    <w:rsid w:val="002E56C7"/>
    <w:rsid w:val="002E6661"/>
    <w:rsid w:val="002F20BD"/>
    <w:rsid w:val="002F2B72"/>
    <w:rsid w:val="002F4076"/>
    <w:rsid w:val="002F51D8"/>
    <w:rsid w:val="002F5201"/>
    <w:rsid w:val="002F603D"/>
    <w:rsid w:val="002F67E8"/>
    <w:rsid w:val="002F760F"/>
    <w:rsid w:val="0030034D"/>
    <w:rsid w:val="00301206"/>
    <w:rsid w:val="003035B1"/>
    <w:rsid w:val="00307609"/>
    <w:rsid w:val="00311476"/>
    <w:rsid w:val="0031161A"/>
    <w:rsid w:val="00312E63"/>
    <w:rsid w:val="00314DEC"/>
    <w:rsid w:val="00317794"/>
    <w:rsid w:val="0031797E"/>
    <w:rsid w:val="0032117D"/>
    <w:rsid w:val="003250D3"/>
    <w:rsid w:val="0032630B"/>
    <w:rsid w:val="00331438"/>
    <w:rsid w:val="00331E02"/>
    <w:rsid w:val="00332889"/>
    <w:rsid w:val="00335113"/>
    <w:rsid w:val="00335A73"/>
    <w:rsid w:val="00335C8A"/>
    <w:rsid w:val="00336F58"/>
    <w:rsid w:val="0033746D"/>
    <w:rsid w:val="0034118B"/>
    <w:rsid w:val="003450CD"/>
    <w:rsid w:val="00346EC1"/>
    <w:rsid w:val="00347739"/>
    <w:rsid w:val="00350321"/>
    <w:rsid w:val="00350608"/>
    <w:rsid w:val="003514CC"/>
    <w:rsid w:val="00352608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66C32"/>
    <w:rsid w:val="003702E2"/>
    <w:rsid w:val="0037117A"/>
    <w:rsid w:val="0037140A"/>
    <w:rsid w:val="0037211A"/>
    <w:rsid w:val="003740DB"/>
    <w:rsid w:val="0037415B"/>
    <w:rsid w:val="00375A59"/>
    <w:rsid w:val="00376F5F"/>
    <w:rsid w:val="00377437"/>
    <w:rsid w:val="0038089F"/>
    <w:rsid w:val="00380D29"/>
    <w:rsid w:val="0038275C"/>
    <w:rsid w:val="003827BD"/>
    <w:rsid w:val="0038282F"/>
    <w:rsid w:val="00384856"/>
    <w:rsid w:val="00385752"/>
    <w:rsid w:val="003917F1"/>
    <w:rsid w:val="00392CBE"/>
    <w:rsid w:val="00393E31"/>
    <w:rsid w:val="00395E8E"/>
    <w:rsid w:val="00395FC8"/>
    <w:rsid w:val="003965C4"/>
    <w:rsid w:val="00396D20"/>
    <w:rsid w:val="00396DA0"/>
    <w:rsid w:val="003A152D"/>
    <w:rsid w:val="003A29D0"/>
    <w:rsid w:val="003A4419"/>
    <w:rsid w:val="003A579D"/>
    <w:rsid w:val="003B03EC"/>
    <w:rsid w:val="003B0902"/>
    <w:rsid w:val="003B2347"/>
    <w:rsid w:val="003B2BA5"/>
    <w:rsid w:val="003B3742"/>
    <w:rsid w:val="003B6538"/>
    <w:rsid w:val="003B6B3C"/>
    <w:rsid w:val="003C6CA2"/>
    <w:rsid w:val="003C6D15"/>
    <w:rsid w:val="003D0B35"/>
    <w:rsid w:val="003D1747"/>
    <w:rsid w:val="003D17C4"/>
    <w:rsid w:val="003D31E7"/>
    <w:rsid w:val="003D3492"/>
    <w:rsid w:val="003D45DC"/>
    <w:rsid w:val="003E198A"/>
    <w:rsid w:val="003E33C8"/>
    <w:rsid w:val="003E3929"/>
    <w:rsid w:val="003E4499"/>
    <w:rsid w:val="003E594D"/>
    <w:rsid w:val="003E62F3"/>
    <w:rsid w:val="003F06FE"/>
    <w:rsid w:val="003F27D5"/>
    <w:rsid w:val="003F301A"/>
    <w:rsid w:val="003F4D65"/>
    <w:rsid w:val="003F54AB"/>
    <w:rsid w:val="003F77B4"/>
    <w:rsid w:val="00400659"/>
    <w:rsid w:val="00407421"/>
    <w:rsid w:val="0041020E"/>
    <w:rsid w:val="0041201A"/>
    <w:rsid w:val="004142F9"/>
    <w:rsid w:val="0041492A"/>
    <w:rsid w:val="00414AA6"/>
    <w:rsid w:val="00414B18"/>
    <w:rsid w:val="004150E1"/>
    <w:rsid w:val="00417B37"/>
    <w:rsid w:val="0042122C"/>
    <w:rsid w:val="00422016"/>
    <w:rsid w:val="00422778"/>
    <w:rsid w:val="00422D3B"/>
    <w:rsid w:val="00424890"/>
    <w:rsid w:val="00424D2A"/>
    <w:rsid w:val="0042721F"/>
    <w:rsid w:val="00430085"/>
    <w:rsid w:val="0043018C"/>
    <w:rsid w:val="00432668"/>
    <w:rsid w:val="0043656E"/>
    <w:rsid w:val="004372D2"/>
    <w:rsid w:val="00437F92"/>
    <w:rsid w:val="00442148"/>
    <w:rsid w:val="0044692B"/>
    <w:rsid w:val="00450936"/>
    <w:rsid w:val="00450FBD"/>
    <w:rsid w:val="004516DC"/>
    <w:rsid w:val="004547D0"/>
    <w:rsid w:val="00461846"/>
    <w:rsid w:val="00463E62"/>
    <w:rsid w:val="004660E7"/>
    <w:rsid w:val="0046772C"/>
    <w:rsid w:val="004700C1"/>
    <w:rsid w:val="004700F5"/>
    <w:rsid w:val="00477FCF"/>
    <w:rsid w:val="00480D0C"/>
    <w:rsid w:val="004813FD"/>
    <w:rsid w:val="00482739"/>
    <w:rsid w:val="00484A85"/>
    <w:rsid w:val="00486365"/>
    <w:rsid w:val="00490D74"/>
    <w:rsid w:val="00492B8D"/>
    <w:rsid w:val="00493608"/>
    <w:rsid w:val="0049522A"/>
    <w:rsid w:val="00497DD3"/>
    <w:rsid w:val="004A3C96"/>
    <w:rsid w:val="004A4373"/>
    <w:rsid w:val="004A55C9"/>
    <w:rsid w:val="004A7675"/>
    <w:rsid w:val="004B1346"/>
    <w:rsid w:val="004B25B5"/>
    <w:rsid w:val="004B3F30"/>
    <w:rsid w:val="004B6459"/>
    <w:rsid w:val="004C0EB1"/>
    <w:rsid w:val="004C0FB5"/>
    <w:rsid w:val="004C10A6"/>
    <w:rsid w:val="004C3F25"/>
    <w:rsid w:val="004C3F78"/>
    <w:rsid w:val="004C4B70"/>
    <w:rsid w:val="004C6005"/>
    <w:rsid w:val="004C7362"/>
    <w:rsid w:val="004D072D"/>
    <w:rsid w:val="004D1ADE"/>
    <w:rsid w:val="004D1ED9"/>
    <w:rsid w:val="004D2B01"/>
    <w:rsid w:val="004D2FD1"/>
    <w:rsid w:val="004D348A"/>
    <w:rsid w:val="004D3884"/>
    <w:rsid w:val="004D3A90"/>
    <w:rsid w:val="004D40B6"/>
    <w:rsid w:val="004D5FAA"/>
    <w:rsid w:val="004D6274"/>
    <w:rsid w:val="004D6A85"/>
    <w:rsid w:val="004D6B19"/>
    <w:rsid w:val="004E3E0E"/>
    <w:rsid w:val="004E3FEB"/>
    <w:rsid w:val="004E40FF"/>
    <w:rsid w:val="004E5C04"/>
    <w:rsid w:val="004E5E53"/>
    <w:rsid w:val="004E6AC7"/>
    <w:rsid w:val="004E71D8"/>
    <w:rsid w:val="004E77A7"/>
    <w:rsid w:val="004F3E94"/>
    <w:rsid w:val="004F623B"/>
    <w:rsid w:val="004F6FCC"/>
    <w:rsid w:val="00500AEE"/>
    <w:rsid w:val="00501C24"/>
    <w:rsid w:val="0050292B"/>
    <w:rsid w:val="00502DE7"/>
    <w:rsid w:val="0050359E"/>
    <w:rsid w:val="00512DE5"/>
    <w:rsid w:val="0051454B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4CF"/>
    <w:rsid w:val="00536B44"/>
    <w:rsid w:val="00536E17"/>
    <w:rsid w:val="00537722"/>
    <w:rsid w:val="00537B69"/>
    <w:rsid w:val="0054044C"/>
    <w:rsid w:val="0054072D"/>
    <w:rsid w:val="0054102A"/>
    <w:rsid w:val="00541439"/>
    <w:rsid w:val="005429E4"/>
    <w:rsid w:val="00544C6D"/>
    <w:rsid w:val="00544D8F"/>
    <w:rsid w:val="005516E2"/>
    <w:rsid w:val="00551781"/>
    <w:rsid w:val="005537E7"/>
    <w:rsid w:val="005554AE"/>
    <w:rsid w:val="005560E5"/>
    <w:rsid w:val="005569F4"/>
    <w:rsid w:val="00557847"/>
    <w:rsid w:val="005604C0"/>
    <w:rsid w:val="00561E5A"/>
    <w:rsid w:val="005637FB"/>
    <w:rsid w:val="0056662E"/>
    <w:rsid w:val="00567184"/>
    <w:rsid w:val="00570059"/>
    <w:rsid w:val="0057009E"/>
    <w:rsid w:val="005721FD"/>
    <w:rsid w:val="005724F1"/>
    <w:rsid w:val="00572838"/>
    <w:rsid w:val="00573625"/>
    <w:rsid w:val="0057401C"/>
    <w:rsid w:val="005759C2"/>
    <w:rsid w:val="005831BB"/>
    <w:rsid w:val="00583358"/>
    <w:rsid w:val="005855A6"/>
    <w:rsid w:val="00585B35"/>
    <w:rsid w:val="00586CED"/>
    <w:rsid w:val="005873F0"/>
    <w:rsid w:val="005878AE"/>
    <w:rsid w:val="00591B1C"/>
    <w:rsid w:val="0059541B"/>
    <w:rsid w:val="00595C97"/>
    <w:rsid w:val="0059794E"/>
    <w:rsid w:val="00597A49"/>
    <w:rsid w:val="005A112D"/>
    <w:rsid w:val="005A13ED"/>
    <w:rsid w:val="005A25D1"/>
    <w:rsid w:val="005A339D"/>
    <w:rsid w:val="005A4E0A"/>
    <w:rsid w:val="005A568F"/>
    <w:rsid w:val="005A7C3F"/>
    <w:rsid w:val="005B00F3"/>
    <w:rsid w:val="005B08EB"/>
    <w:rsid w:val="005B49BC"/>
    <w:rsid w:val="005B528C"/>
    <w:rsid w:val="005B7FFD"/>
    <w:rsid w:val="005C12DE"/>
    <w:rsid w:val="005C257A"/>
    <w:rsid w:val="005C5CB8"/>
    <w:rsid w:val="005C61D7"/>
    <w:rsid w:val="005C7277"/>
    <w:rsid w:val="005C758A"/>
    <w:rsid w:val="005C7C43"/>
    <w:rsid w:val="005D20F7"/>
    <w:rsid w:val="005D32D7"/>
    <w:rsid w:val="005D52CE"/>
    <w:rsid w:val="005D5650"/>
    <w:rsid w:val="005D7A2C"/>
    <w:rsid w:val="005E0B03"/>
    <w:rsid w:val="005E0DB1"/>
    <w:rsid w:val="005E4162"/>
    <w:rsid w:val="005E4F59"/>
    <w:rsid w:val="005E596F"/>
    <w:rsid w:val="005E7DD2"/>
    <w:rsid w:val="005F217C"/>
    <w:rsid w:val="005F64E1"/>
    <w:rsid w:val="005F6ECB"/>
    <w:rsid w:val="00600A10"/>
    <w:rsid w:val="00600ABA"/>
    <w:rsid w:val="00600EC1"/>
    <w:rsid w:val="00601A6D"/>
    <w:rsid w:val="00602CA1"/>
    <w:rsid w:val="006036D3"/>
    <w:rsid w:val="00604464"/>
    <w:rsid w:val="00604749"/>
    <w:rsid w:val="00606A09"/>
    <w:rsid w:val="006110FA"/>
    <w:rsid w:val="00611796"/>
    <w:rsid w:val="00614201"/>
    <w:rsid w:val="00620E11"/>
    <w:rsid w:val="006212FC"/>
    <w:rsid w:val="0063253D"/>
    <w:rsid w:val="00633CBB"/>
    <w:rsid w:val="00634FCF"/>
    <w:rsid w:val="00636A99"/>
    <w:rsid w:val="006374B9"/>
    <w:rsid w:val="0064116A"/>
    <w:rsid w:val="00642033"/>
    <w:rsid w:val="00642E32"/>
    <w:rsid w:val="00646726"/>
    <w:rsid w:val="006472EB"/>
    <w:rsid w:val="006526EC"/>
    <w:rsid w:val="00653CC4"/>
    <w:rsid w:val="00656057"/>
    <w:rsid w:val="00656E72"/>
    <w:rsid w:val="006577F0"/>
    <w:rsid w:val="00660E9B"/>
    <w:rsid w:val="00660FBE"/>
    <w:rsid w:val="00661087"/>
    <w:rsid w:val="006611D0"/>
    <w:rsid w:val="00661EAF"/>
    <w:rsid w:val="00665895"/>
    <w:rsid w:val="006660BE"/>
    <w:rsid w:val="006713CC"/>
    <w:rsid w:val="00672465"/>
    <w:rsid w:val="0067321B"/>
    <w:rsid w:val="0067384B"/>
    <w:rsid w:val="006739BB"/>
    <w:rsid w:val="0067480C"/>
    <w:rsid w:val="00675276"/>
    <w:rsid w:val="006757B8"/>
    <w:rsid w:val="006770AB"/>
    <w:rsid w:val="0068084D"/>
    <w:rsid w:val="00681EFC"/>
    <w:rsid w:val="00684979"/>
    <w:rsid w:val="00685E8D"/>
    <w:rsid w:val="00686681"/>
    <w:rsid w:val="00692D9D"/>
    <w:rsid w:val="00693107"/>
    <w:rsid w:val="0069361B"/>
    <w:rsid w:val="00693FE8"/>
    <w:rsid w:val="006943D2"/>
    <w:rsid w:val="00695A51"/>
    <w:rsid w:val="00696B61"/>
    <w:rsid w:val="00697AD3"/>
    <w:rsid w:val="006A2AB7"/>
    <w:rsid w:val="006A437F"/>
    <w:rsid w:val="006A4EED"/>
    <w:rsid w:val="006A5B74"/>
    <w:rsid w:val="006A61AF"/>
    <w:rsid w:val="006A6648"/>
    <w:rsid w:val="006A7587"/>
    <w:rsid w:val="006A7B6F"/>
    <w:rsid w:val="006B071D"/>
    <w:rsid w:val="006B1F0A"/>
    <w:rsid w:val="006B39A6"/>
    <w:rsid w:val="006B43E9"/>
    <w:rsid w:val="006B489B"/>
    <w:rsid w:val="006B5875"/>
    <w:rsid w:val="006B6C08"/>
    <w:rsid w:val="006B70CD"/>
    <w:rsid w:val="006C0431"/>
    <w:rsid w:val="006C1F1B"/>
    <w:rsid w:val="006C21E4"/>
    <w:rsid w:val="006C2571"/>
    <w:rsid w:val="006C3585"/>
    <w:rsid w:val="006C4435"/>
    <w:rsid w:val="006C676A"/>
    <w:rsid w:val="006C68E2"/>
    <w:rsid w:val="006C6E19"/>
    <w:rsid w:val="006D0988"/>
    <w:rsid w:val="006D0EF9"/>
    <w:rsid w:val="006D11F2"/>
    <w:rsid w:val="006D29DD"/>
    <w:rsid w:val="006D3A40"/>
    <w:rsid w:val="006D61CD"/>
    <w:rsid w:val="006D665A"/>
    <w:rsid w:val="006D6D2C"/>
    <w:rsid w:val="006D746A"/>
    <w:rsid w:val="006E0D9C"/>
    <w:rsid w:val="006E2E59"/>
    <w:rsid w:val="006E3595"/>
    <w:rsid w:val="006E4331"/>
    <w:rsid w:val="006E613E"/>
    <w:rsid w:val="006E6AF8"/>
    <w:rsid w:val="006E7F8F"/>
    <w:rsid w:val="006F03BB"/>
    <w:rsid w:val="006F390B"/>
    <w:rsid w:val="006F61CC"/>
    <w:rsid w:val="0070041A"/>
    <w:rsid w:val="007025B5"/>
    <w:rsid w:val="00702D54"/>
    <w:rsid w:val="0070787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2DE0"/>
    <w:rsid w:val="007459AA"/>
    <w:rsid w:val="0074673B"/>
    <w:rsid w:val="007478B7"/>
    <w:rsid w:val="00750ABC"/>
    <w:rsid w:val="00752596"/>
    <w:rsid w:val="00752BBC"/>
    <w:rsid w:val="007538D8"/>
    <w:rsid w:val="00754EB0"/>
    <w:rsid w:val="00755E84"/>
    <w:rsid w:val="00756372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65B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4F9"/>
    <w:rsid w:val="007A3D11"/>
    <w:rsid w:val="007A3EB3"/>
    <w:rsid w:val="007A47A9"/>
    <w:rsid w:val="007A62E5"/>
    <w:rsid w:val="007B0BA8"/>
    <w:rsid w:val="007B1104"/>
    <w:rsid w:val="007B1B99"/>
    <w:rsid w:val="007B1FF4"/>
    <w:rsid w:val="007B7610"/>
    <w:rsid w:val="007B7780"/>
    <w:rsid w:val="007C200C"/>
    <w:rsid w:val="007C3D5E"/>
    <w:rsid w:val="007C5332"/>
    <w:rsid w:val="007C67BF"/>
    <w:rsid w:val="007D0ACC"/>
    <w:rsid w:val="007D1853"/>
    <w:rsid w:val="007D1937"/>
    <w:rsid w:val="007D43BE"/>
    <w:rsid w:val="007D4B4D"/>
    <w:rsid w:val="007D7DFB"/>
    <w:rsid w:val="007E2D3F"/>
    <w:rsid w:val="007F1346"/>
    <w:rsid w:val="007F151F"/>
    <w:rsid w:val="007F34E9"/>
    <w:rsid w:val="007F3510"/>
    <w:rsid w:val="007F5B75"/>
    <w:rsid w:val="00803F9C"/>
    <w:rsid w:val="0080409D"/>
    <w:rsid w:val="00804AE8"/>
    <w:rsid w:val="00805070"/>
    <w:rsid w:val="00807A54"/>
    <w:rsid w:val="008106EB"/>
    <w:rsid w:val="00811701"/>
    <w:rsid w:val="00811A36"/>
    <w:rsid w:val="008120AF"/>
    <w:rsid w:val="008145C8"/>
    <w:rsid w:val="00815901"/>
    <w:rsid w:val="00817C77"/>
    <w:rsid w:val="0082062F"/>
    <w:rsid w:val="00820D04"/>
    <w:rsid w:val="008236FD"/>
    <w:rsid w:val="00826DAB"/>
    <w:rsid w:val="0083047F"/>
    <w:rsid w:val="00833E2E"/>
    <w:rsid w:val="00836FF0"/>
    <w:rsid w:val="00837A84"/>
    <w:rsid w:val="00841D5B"/>
    <w:rsid w:val="00842E7A"/>
    <w:rsid w:val="00843586"/>
    <w:rsid w:val="0084394D"/>
    <w:rsid w:val="008459C7"/>
    <w:rsid w:val="00845B3D"/>
    <w:rsid w:val="0084712A"/>
    <w:rsid w:val="0085056F"/>
    <w:rsid w:val="00850D06"/>
    <w:rsid w:val="00851D57"/>
    <w:rsid w:val="00852A7C"/>
    <w:rsid w:val="00852BA5"/>
    <w:rsid w:val="00852F1B"/>
    <w:rsid w:val="00855E0D"/>
    <w:rsid w:val="00856163"/>
    <w:rsid w:val="00856229"/>
    <w:rsid w:val="0086399B"/>
    <w:rsid w:val="00864824"/>
    <w:rsid w:val="0086486D"/>
    <w:rsid w:val="00865698"/>
    <w:rsid w:val="00866384"/>
    <w:rsid w:val="0087166A"/>
    <w:rsid w:val="00871CB9"/>
    <w:rsid w:val="008729BA"/>
    <w:rsid w:val="00872DBE"/>
    <w:rsid w:val="00874197"/>
    <w:rsid w:val="00874B7D"/>
    <w:rsid w:val="00875D76"/>
    <w:rsid w:val="00876D94"/>
    <w:rsid w:val="00877C0F"/>
    <w:rsid w:val="00881294"/>
    <w:rsid w:val="0088187E"/>
    <w:rsid w:val="00883A3C"/>
    <w:rsid w:val="00883FAF"/>
    <w:rsid w:val="00884804"/>
    <w:rsid w:val="00884F4A"/>
    <w:rsid w:val="00885E2A"/>
    <w:rsid w:val="008901F5"/>
    <w:rsid w:val="00890DBD"/>
    <w:rsid w:val="0089155A"/>
    <w:rsid w:val="0089197B"/>
    <w:rsid w:val="0089765A"/>
    <w:rsid w:val="008A1732"/>
    <w:rsid w:val="008A1EB2"/>
    <w:rsid w:val="008A362D"/>
    <w:rsid w:val="008A6D38"/>
    <w:rsid w:val="008A78A1"/>
    <w:rsid w:val="008B5104"/>
    <w:rsid w:val="008B65A7"/>
    <w:rsid w:val="008B707C"/>
    <w:rsid w:val="008C0228"/>
    <w:rsid w:val="008C11BA"/>
    <w:rsid w:val="008C2E08"/>
    <w:rsid w:val="008C4513"/>
    <w:rsid w:val="008C5879"/>
    <w:rsid w:val="008C64B1"/>
    <w:rsid w:val="008C729E"/>
    <w:rsid w:val="008C7A43"/>
    <w:rsid w:val="008D2548"/>
    <w:rsid w:val="008D3318"/>
    <w:rsid w:val="008D5EFB"/>
    <w:rsid w:val="008D6842"/>
    <w:rsid w:val="008D6B42"/>
    <w:rsid w:val="008D72E6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B08"/>
    <w:rsid w:val="008F3217"/>
    <w:rsid w:val="008F4EF1"/>
    <w:rsid w:val="008F754C"/>
    <w:rsid w:val="008F7ECB"/>
    <w:rsid w:val="009034D5"/>
    <w:rsid w:val="009062D4"/>
    <w:rsid w:val="0090634A"/>
    <w:rsid w:val="00910CF2"/>
    <w:rsid w:val="009112A5"/>
    <w:rsid w:val="009118F3"/>
    <w:rsid w:val="009123FB"/>
    <w:rsid w:val="00914757"/>
    <w:rsid w:val="0091757A"/>
    <w:rsid w:val="009201A6"/>
    <w:rsid w:val="00920F2E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7258"/>
    <w:rsid w:val="00947C71"/>
    <w:rsid w:val="0095018C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74B7"/>
    <w:rsid w:val="00970376"/>
    <w:rsid w:val="0097139E"/>
    <w:rsid w:val="00971923"/>
    <w:rsid w:val="00972BCB"/>
    <w:rsid w:val="00973F85"/>
    <w:rsid w:val="00976513"/>
    <w:rsid w:val="00981583"/>
    <w:rsid w:val="009830FC"/>
    <w:rsid w:val="009835BD"/>
    <w:rsid w:val="009840BE"/>
    <w:rsid w:val="00984BF5"/>
    <w:rsid w:val="009861D4"/>
    <w:rsid w:val="009868BD"/>
    <w:rsid w:val="009874BA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6E18"/>
    <w:rsid w:val="009A7C51"/>
    <w:rsid w:val="009B3611"/>
    <w:rsid w:val="009B375C"/>
    <w:rsid w:val="009B6D9E"/>
    <w:rsid w:val="009C1D5E"/>
    <w:rsid w:val="009C2096"/>
    <w:rsid w:val="009C385A"/>
    <w:rsid w:val="009C7F8F"/>
    <w:rsid w:val="009D0B8E"/>
    <w:rsid w:val="009D1ECA"/>
    <w:rsid w:val="009D4651"/>
    <w:rsid w:val="009D62D8"/>
    <w:rsid w:val="009E0361"/>
    <w:rsid w:val="009E0D20"/>
    <w:rsid w:val="009E0FAD"/>
    <w:rsid w:val="009E18B0"/>
    <w:rsid w:val="009E220D"/>
    <w:rsid w:val="009E2607"/>
    <w:rsid w:val="009E29C8"/>
    <w:rsid w:val="009E2AB4"/>
    <w:rsid w:val="009E3D3A"/>
    <w:rsid w:val="009E444A"/>
    <w:rsid w:val="009E539C"/>
    <w:rsid w:val="009E65EC"/>
    <w:rsid w:val="009E69E1"/>
    <w:rsid w:val="009E7821"/>
    <w:rsid w:val="009F28C8"/>
    <w:rsid w:val="009F3588"/>
    <w:rsid w:val="009F61A4"/>
    <w:rsid w:val="00A016E0"/>
    <w:rsid w:val="00A02418"/>
    <w:rsid w:val="00A0321D"/>
    <w:rsid w:val="00A070EE"/>
    <w:rsid w:val="00A072EC"/>
    <w:rsid w:val="00A078AF"/>
    <w:rsid w:val="00A07CF2"/>
    <w:rsid w:val="00A207E1"/>
    <w:rsid w:val="00A21991"/>
    <w:rsid w:val="00A22561"/>
    <w:rsid w:val="00A23EC8"/>
    <w:rsid w:val="00A24769"/>
    <w:rsid w:val="00A2670C"/>
    <w:rsid w:val="00A30B86"/>
    <w:rsid w:val="00A312AA"/>
    <w:rsid w:val="00A3197B"/>
    <w:rsid w:val="00A330A7"/>
    <w:rsid w:val="00A40BDD"/>
    <w:rsid w:val="00A43207"/>
    <w:rsid w:val="00A43F96"/>
    <w:rsid w:val="00A44427"/>
    <w:rsid w:val="00A45FDA"/>
    <w:rsid w:val="00A474CE"/>
    <w:rsid w:val="00A5066F"/>
    <w:rsid w:val="00A50FCD"/>
    <w:rsid w:val="00A5364A"/>
    <w:rsid w:val="00A5385E"/>
    <w:rsid w:val="00A551BB"/>
    <w:rsid w:val="00A55BC8"/>
    <w:rsid w:val="00A62491"/>
    <w:rsid w:val="00A640C5"/>
    <w:rsid w:val="00A6449F"/>
    <w:rsid w:val="00A661A2"/>
    <w:rsid w:val="00A66D38"/>
    <w:rsid w:val="00A72AED"/>
    <w:rsid w:val="00A73061"/>
    <w:rsid w:val="00A74FE8"/>
    <w:rsid w:val="00A81B2E"/>
    <w:rsid w:val="00A83EB6"/>
    <w:rsid w:val="00A84255"/>
    <w:rsid w:val="00A90AF4"/>
    <w:rsid w:val="00A91AC1"/>
    <w:rsid w:val="00A92622"/>
    <w:rsid w:val="00A933E8"/>
    <w:rsid w:val="00A955D0"/>
    <w:rsid w:val="00AA13AC"/>
    <w:rsid w:val="00AA19D9"/>
    <w:rsid w:val="00AA2E1F"/>
    <w:rsid w:val="00AA5D6C"/>
    <w:rsid w:val="00AA6187"/>
    <w:rsid w:val="00AA7107"/>
    <w:rsid w:val="00AB0465"/>
    <w:rsid w:val="00AB0FAB"/>
    <w:rsid w:val="00AB2588"/>
    <w:rsid w:val="00AB3A8B"/>
    <w:rsid w:val="00AB787F"/>
    <w:rsid w:val="00AB7953"/>
    <w:rsid w:val="00AC028B"/>
    <w:rsid w:val="00AC1BB6"/>
    <w:rsid w:val="00AC216A"/>
    <w:rsid w:val="00AC4E73"/>
    <w:rsid w:val="00AC6EEC"/>
    <w:rsid w:val="00AC7FA5"/>
    <w:rsid w:val="00AD159E"/>
    <w:rsid w:val="00AD15F6"/>
    <w:rsid w:val="00AD2E2F"/>
    <w:rsid w:val="00AD7307"/>
    <w:rsid w:val="00AD7E82"/>
    <w:rsid w:val="00AD7FD8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6785"/>
    <w:rsid w:val="00AE70F7"/>
    <w:rsid w:val="00AE7E02"/>
    <w:rsid w:val="00AF2636"/>
    <w:rsid w:val="00AF28A2"/>
    <w:rsid w:val="00AF5E9B"/>
    <w:rsid w:val="00AF7D27"/>
    <w:rsid w:val="00B0218A"/>
    <w:rsid w:val="00B07DFA"/>
    <w:rsid w:val="00B11A01"/>
    <w:rsid w:val="00B130B8"/>
    <w:rsid w:val="00B13D7A"/>
    <w:rsid w:val="00B14773"/>
    <w:rsid w:val="00B1685C"/>
    <w:rsid w:val="00B20C5A"/>
    <w:rsid w:val="00B21119"/>
    <w:rsid w:val="00B21FBB"/>
    <w:rsid w:val="00B25288"/>
    <w:rsid w:val="00B2754B"/>
    <w:rsid w:val="00B3173D"/>
    <w:rsid w:val="00B3562D"/>
    <w:rsid w:val="00B36FE5"/>
    <w:rsid w:val="00B40829"/>
    <w:rsid w:val="00B42544"/>
    <w:rsid w:val="00B45025"/>
    <w:rsid w:val="00B464B1"/>
    <w:rsid w:val="00B46F0E"/>
    <w:rsid w:val="00B51206"/>
    <w:rsid w:val="00B54649"/>
    <w:rsid w:val="00B55E9B"/>
    <w:rsid w:val="00B569A1"/>
    <w:rsid w:val="00B603F3"/>
    <w:rsid w:val="00B620A3"/>
    <w:rsid w:val="00B62AA2"/>
    <w:rsid w:val="00B62B09"/>
    <w:rsid w:val="00B648D9"/>
    <w:rsid w:val="00B65D26"/>
    <w:rsid w:val="00B674C4"/>
    <w:rsid w:val="00B70B51"/>
    <w:rsid w:val="00B71A19"/>
    <w:rsid w:val="00B73B4C"/>
    <w:rsid w:val="00B74B8F"/>
    <w:rsid w:val="00B74EBC"/>
    <w:rsid w:val="00B7564A"/>
    <w:rsid w:val="00B756D7"/>
    <w:rsid w:val="00B75CF1"/>
    <w:rsid w:val="00B8058A"/>
    <w:rsid w:val="00B82DD8"/>
    <w:rsid w:val="00B8380A"/>
    <w:rsid w:val="00B83E4C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7FCB"/>
    <w:rsid w:val="00BA1B6A"/>
    <w:rsid w:val="00BA2AAF"/>
    <w:rsid w:val="00BB0429"/>
    <w:rsid w:val="00BB23D4"/>
    <w:rsid w:val="00BB36EC"/>
    <w:rsid w:val="00BB3B21"/>
    <w:rsid w:val="00BC2876"/>
    <w:rsid w:val="00BC348E"/>
    <w:rsid w:val="00BC3696"/>
    <w:rsid w:val="00BD015E"/>
    <w:rsid w:val="00BD111D"/>
    <w:rsid w:val="00BD3D37"/>
    <w:rsid w:val="00BD78DA"/>
    <w:rsid w:val="00BD7BD9"/>
    <w:rsid w:val="00BE20E8"/>
    <w:rsid w:val="00BE261A"/>
    <w:rsid w:val="00BE4DFD"/>
    <w:rsid w:val="00BE4E8E"/>
    <w:rsid w:val="00BE574A"/>
    <w:rsid w:val="00BE6839"/>
    <w:rsid w:val="00BE7087"/>
    <w:rsid w:val="00BF0DF1"/>
    <w:rsid w:val="00BF1FB9"/>
    <w:rsid w:val="00BF4332"/>
    <w:rsid w:val="00BF48B5"/>
    <w:rsid w:val="00BF6A5E"/>
    <w:rsid w:val="00C01AED"/>
    <w:rsid w:val="00C02C5B"/>
    <w:rsid w:val="00C11642"/>
    <w:rsid w:val="00C12A3F"/>
    <w:rsid w:val="00C13C10"/>
    <w:rsid w:val="00C1771D"/>
    <w:rsid w:val="00C178BF"/>
    <w:rsid w:val="00C17F61"/>
    <w:rsid w:val="00C202C9"/>
    <w:rsid w:val="00C20705"/>
    <w:rsid w:val="00C21B1F"/>
    <w:rsid w:val="00C225D8"/>
    <w:rsid w:val="00C22797"/>
    <w:rsid w:val="00C235D1"/>
    <w:rsid w:val="00C259BC"/>
    <w:rsid w:val="00C26A49"/>
    <w:rsid w:val="00C27D33"/>
    <w:rsid w:val="00C30304"/>
    <w:rsid w:val="00C34F22"/>
    <w:rsid w:val="00C35ADA"/>
    <w:rsid w:val="00C35B93"/>
    <w:rsid w:val="00C3715D"/>
    <w:rsid w:val="00C412FE"/>
    <w:rsid w:val="00C428D2"/>
    <w:rsid w:val="00C463E7"/>
    <w:rsid w:val="00C4731F"/>
    <w:rsid w:val="00C47A72"/>
    <w:rsid w:val="00C47E7E"/>
    <w:rsid w:val="00C47FD5"/>
    <w:rsid w:val="00C54FDF"/>
    <w:rsid w:val="00C551A3"/>
    <w:rsid w:val="00C57772"/>
    <w:rsid w:val="00C61082"/>
    <w:rsid w:val="00C61BAA"/>
    <w:rsid w:val="00C61C10"/>
    <w:rsid w:val="00C623B6"/>
    <w:rsid w:val="00C630A2"/>
    <w:rsid w:val="00C6348B"/>
    <w:rsid w:val="00C64462"/>
    <w:rsid w:val="00C67034"/>
    <w:rsid w:val="00C71164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045"/>
    <w:rsid w:val="00CA01C2"/>
    <w:rsid w:val="00CA0D62"/>
    <w:rsid w:val="00CA2D6C"/>
    <w:rsid w:val="00CA64B2"/>
    <w:rsid w:val="00CA70B7"/>
    <w:rsid w:val="00CA79F2"/>
    <w:rsid w:val="00CB079C"/>
    <w:rsid w:val="00CB0AC8"/>
    <w:rsid w:val="00CB1C61"/>
    <w:rsid w:val="00CB35C5"/>
    <w:rsid w:val="00CB3B5C"/>
    <w:rsid w:val="00CB4DED"/>
    <w:rsid w:val="00CC25D5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127B"/>
    <w:rsid w:val="00CE5582"/>
    <w:rsid w:val="00CE6639"/>
    <w:rsid w:val="00CF0036"/>
    <w:rsid w:val="00CF1025"/>
    <w:rsid w:val="00CF5EFC"/>
    <w:rsid w:val="00CF6E73"/>
    <w:rsid w:val="00CF7E68"/>
    <w:rsid w:val="00D01324"/>
    <w:rsid w:val="00D01F02"/>
    <w:rsid w:val="00D038EC"/>
    <w:rsid w:val="00D04561"/>
    <w:rsid w:val="00D05B3A"/>
    <w:rsid w:val="00D06B4D"/>
    <w:rsid w:val="00D10122"/>
    <w:rsid w:val="00D1036D"/>
    <w:rsid w:val="00D11A2C"/>
    <w:rsid w:val="00D12D39"/>
    <w:rsid w:val="00D13E38"/>
    <w:rsid w:val="00D140A2"/>
    <w:rsid w:val="00D1641D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34187"/>
    <w:rsid w:val="00D378E4"/>
    <w:rsid w:val="00D37C9B"/>
    <w:rsid w:val="00D43BDD"/>
    <w:rsid w:val="00D441A9"/>
    <w:rsid w:val="00D44CF0"/>
    <w:rsid w:val="00D45994"/>
    <w:rsid w:val="00D4682C"/>
    <w:rsid w:val="00D50107"/>
    <w:rsid w:val="00D5283E"/>
    <w:rsid w:val="00D535E3"/>
    <w:rsid w:val="00D53854"/>
    <w:rsid w:val="00D53909"/>
    <w:rsid w:val="00D55D37"/>
    <w:rsid w:val="00D55F64"/>
    <w:rsid w:val="00D57C1A"/>
    <w:rsid w:val="00D613E2"/>
    <w:rsid w:val="00D61BC9"/>
    <w:rsid w:val="00D63AF3"/>
    <w:rsid w:val="00D65051"/>
    <w:rsid w:val="00D67C9D"/>
    <w:rsid w:val="00D72514"/>
    <w:rsid w:val="00D73DD6"/>
    <w:rsid w:val="00D74C3D"/>
    <w:rsid w:val="00D803FB"/>
    <w:rsid w:val="00D80677"/>
    <w:rsid w:val="00D80A33"/>
    <w:rsid w:val="00D8426D"/>
    <w:rsid w:val="00D919D4"/>
    <w:rsid w:val="00D93077"/>
    <w:rsid w:val="00D93683"/>
    <w:rsid w:val="00D93BD9"/>
    <w:rsid w:val="00D94225"/>
    <w:rsid w:val="00D9443E"/>
    <w:rsid w:val="00D95C10"/>
    <w:rsid w:val="00D96C8E"/>
    <w:rsid w:val="00DA39B0"/>
    <w:rsid w:val="00DA54EA"/>
    <w:rsid w:val="00DA6104"/>
    <w:rsid w:val="00DA76D9"/>
    <w:rsid w:val="00DB0749"/>
    <w:rsid w:val="00DB0D11"/>
    <w:rsid w:val="00DB1D0F"/>
    <w:rsid w:val="00DB256D"/>
    <w:rsid w:val="00DB5F6B"/>
    <w:rsid w:val="00DB7F9A"/>
    <w:rsid w:val="00DB7FE1"/>
    <w:rsid w:val="00DC15BA"/>
    <w:rsid w:val="00DC2A82"/>
    <w:rsid w:val="00DC4087"/>
    <w:rsid w:val="00DC4308"/>
    <w:rsid w:val="00DC528C"/>
    <w:rsid w:val="00DC58FF"/>
    <w:rsid w:val="00DC6C7E"/>
    <w:rsid w:val="00DD0121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A1E"/>
    <w:rsid w:val="00DF0BBC"/>
    <w:rsid w:val="00DF0C71"/>
    <w:rsid w:val="00DF2312"/>
    <w:rsid w:val="00DF4E44"/>
    <w:rsid w:val="00DF6779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75D7"/>
    <w:rsid w:val="00E1784B"/>
    <w:rsid w:val="00E22496"/>
    <w:rsid w:val="00E22789"/>
    <w:rsid w:val="00E22EF3"/>
    <w:rsid w:val="00E2407B"/>
    <w:rsid w:val="00E275BF"/>
    <w:rsid w:val="00E27919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52898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6747E"/>
    <w:rsid w:val="00E765B2"/>
    <w:rsid w:val="00E76869"/>
    <w:rsid w:val="00E77EE3"/>
    <w:rsid w:val="00E82411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979A9"/>
    <w:rsid w:val="00EA07FF"/>
    <w:rsid w:val="00EA0AAD"/>
    <w:rsid w:val="00EA1FD4"/>
    <w:rsid w:val="00EA3791"/>
    <w:rsid w:val="00EA4A94"/>
    <w:rsid w:val="00EA60C2"/>
    <w:rsid w:val="00EA69A6"/>
    <w:rsid w:val="00EA6CA9"/>
    <w:rsid w:val="00EB1AFC"/>
    <w:rsid w:val="00EB1D0E"/>
    <w:rsid w:val="00EB2050"/>
    <w:rsid w:val="00EB3154"/>
    <w:rsid w:val="00EB354B"/>
    <w:rsid w:val="00EB3877"/>
    <w:rsid w:val="00EB59F9"/>
    <w:rsid w:val="00EB6573"/>
    <w:rsid w:val="00EB77D5"/>
    <w:rsid w:val="00EC2D4C"/>
    <w:rsid w:val="00EC5161"/>
    <w:rsid w:val="00EC6D3D"/>
    <w:rsid w:val="00ED289D"/>
    <w:rsid w:val="00ED6B61"/>
    <w:rsid w:val="00ED75EB"/>
    <w:rsid w:val="00EE23E5"/>
    <w:rsid w:val="00EE3789"/>
    <w:rsid w:val="00EE48EF"/>
    <w:rsid w:val="00EE4AAE"/>
    <w:rsid w:val="00EE56A4"/>
    <w:rsid w:val="00EE6191"/>
    <w:rsid w:val="00EF0C12"/>
    <w:rsid w:val="00EF1858"/>
    <w:rsid w:val="00EF3BCD"/>
    <w:rsid w:val="00EF45A6"/>
    <w:rsid w:val="00EF5891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666C"/>
    <w:rsid w:val="00F266AF"/>
    <w:rsid w:val="00F266F0"/>
    <w:rsid w:val="00F27F6F"/>
    <w:rsid w:val="00F3166E"/>
    <w:rsid w:val="00F31C15"/>
    <w:rsid w:val="00F33186"/>
    <w:rsid w:val="00F354AE"/>
    <w:rsid w:val="00F378C6"/>
    <w:rsid w:val="00F432ED"/>
    <w:rsid w:val="00F436C8"/>
    <w:rsid w:val="00F43F27"/>
    <w:rsid w:val="00F44CBE"/>
    <w:rsid w:val="00F464F9"/>
    <w:rsid w:val="00F47DE8"/>
    <w:rsid w:val="00F50166"/>
    <w:rsid w:val="00F51466"/>
    <w:rsid w:val="00F54938"/>
    <w:rsid w:val="00F55584"/>
    <w:rsid w:val="00F56AC1"/>
    <w:rsid w:val="00F57AAA"/>
    <w:rsid w:val="00F60896"/>
    <w:rsid w:val="00F60BCA"/>
    <w:rsid w:val="00F628E0"/>
    <w:rsid w:val="00F6304E"/>
    <w:rsid w:val="00F639A3"/>
    <w:rsid w:val="00F64FBD"/>
    <w:rsid w:val="00F70901"/>
    <w:rsid w:val="00F70B88"/>
    <w:rsid w:val="00F71D0D"/>
    <w:rsid w:val="00F73DF0"/>
    <w:rsid w:val="00F741CA"/>
    <w:rsid w:val="00F76018"/>
    <w:rsid w:val="00F8021E"/>
    <w:rsid w:val="00F834FE"/>
    <w:rsid w:val="00F86025"/>
    <w:rsid w:val="00F8693D"/>
    <w:rsid w:val="00F8724E"/>
    <w:rsid w:val="00F87CAB"/>
    <w:rsid w:val="00F96C7F"/>
    <w:rsid w:val="00F96D40"/>
    <w:rsid w:val="00F9735D"/>
    <w:rsid w:val="00F97A35"/>
    <w:rsid w:val="00F97FBA"/>
    <w:rsid w:val="00FA0199"/>
    <w:rsid w:val="00FA15AA"/>
    <w:rsid w:val="00FA34B2"/>
    <w:rsid w:val="00FA431F"/>
    <w:rsid w:val="00FA4AF9"/>
    <w:rsid w:val="00FA4C41"/>
    <w:rsid w:val="00FA6000"/>
    <w:rsid w:val="00FA66A4"/>
    <w:rsid w:val="00FB168A"/>
    <w:rsid w:val="00FB16F5"/>
    <w:rsid w:val="00FB2746"/>
    <w:rsid w:val="00FC4079"/>
    <w:rsid w:val="00FC4153"/>
    <w:rsid w:val="00FC551E"/>
    <w:rsid w:val="00FC5D60"/>
    <w:rsid w:val="00FC5EB3"/>
    <w:rsid w:val="00FC68E1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63C575-C7D0-4419-9F14-8BDA811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  <w:rPr>
      <w:lang w:val="x-none"/>
    </w:r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  <w:style w:type="character" w:customStyle="1" w:styleId="TextkomenteChar">
    <w:name w:val="Text komentáře Char"/>
    <w:link w:val="Textkomente"/>
    <w:rsid w:val="00EB3154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oupy.j@kr-ustec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E6F7BF-1A7E-4EB6-A515-A004B672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2482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17048</CharactersWithSpaces>
  <SharedDoc>false</SharedDoc>
  <HLinks>
    <vt:vector size="12" baseType="variant"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mailto:skoupy.j@kr-ustecky.cz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subject/>
  <dc:creator>pechan.t</dc:creator>
  <cp:keywords/>
  <cp:lastModifiedBy>Skoupý Jakub</cp:lastModifiedBy>
  <cp:revision>5</cp:revision>
  <cp:lastPrinted>2018-08-07T15:11:00Z</cp:lastPrinted>
  <dcterms:created xsi:type="dcterms:W3CDTF">2018-07-25T12:15:00Z</dcterms:created>
  <dcterms:modified xsi:type="dcterms:W3CDTF">2018-08-07T15:15:00Z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/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  <property fmtid="{D5CDD505-2E9C-101B-9397-08002B2CF9AE}" pid="9" name="Typ předpisu">
    <vt:lpwstr/>
  </property>
  <property fmtid="{D5CDD505-2E9C-101B-9397-08002B2CF9AE}" pid="10" name="Platnost do">
    <vt:lpwstr/>
  </property>
</Properties>
</file>