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Níže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uvedeného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měsíce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uzavřeli</w:t>
      </w:r>
      <w:proofErr w:type="spellEnd"/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Statutární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město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Teplice</w:t>
      </w:r>
    </w:p>
    <w:p w:rsidR="00A7317D" w:rsidRDefault="00654D4E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</w:t>
      </w:r>
      <w:r w:rsidR="007D47AB">
        <w:rPr>
          <w:rFonts w:ascii="Times New Roman" w:eastAsia="Times New Roman" w:hAnsi="Times New Roman" w:cs="Times New Roman"/>
          <w:color w:val="00000A"/>
          <w:sz w:val="24"/>
        </w:rPr>
        <w:t>áměstí</w:t>
      </w:r>
      <w:proofErr w:type="spellEnd"/>
      <w:r w:rsidR="007D47A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7D47AB">
        <w:rPr>
          <w:rFonts w:ascii="Times New Roman" w:eastAsia="Times New Roman" w:hAnsi="Times New Roman" w:cs="Times New Roman"/>
          <w:color w:val="00000A"/>
          <w:sz w:val="24"/>
        </w:rPr>
        <w:t>Svobody</w:t>
      </w:r>
      <w:proofErr w:type="spellEnd"/>
      <w:r w:rsidR="007D47AB">
        <w:rPr>
          <w:rFonts w:ascii="Times New Roman" w:eastAsia="Times New Roman" w:hAnsi="Times New Roman" w:cs="Times New Roman"/>
          <w:color w:val="00000A"/>
          <w:sz w:val="24"/>
        </w:rPr>
        <w:t xml:space="preserve"> 2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415 95 Teplice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IČ 00266621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DIČ: CZ00266621</w:t>
      </w:r>
    </w:p>
    <w:p w:rsidR="00A7317D" w:rsidRDefault="007D47AB" w:rsidP="009D36DE">
      <w:pPr>
        <w:spacing w:line="240" w:lineRule="auto"/>
        <w:ind w:left="570" w:right="420"/>
        <w:jc w:val="both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zastoupené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Bc.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Hynkem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Hanzou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1.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náměstkem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primátora</w:t>
      </w:r>
      <w:proofErr w:type="spellEnd"/>
    </w:p>
    <w:p w:rsidR="00A7317D" w:rsidRDefault="007D47AB" w:rsidP="009D36DE">
      <w:pPr>
        <w:spacing w:line="240" w:lineRule="auto"/>
        <w:ind w:left="570" w:right="42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město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)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ARRIVA CITY s.r.o.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Stavoservisu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692/1b</w:t>
      </w:r>
    </w:p>
    <w:p w:rsidR="00A7317D" w:rsidRDefault="007D47AB" w:rsidP="009D36DE">
      <w:pPr>
        <w:spacing w:line="240" w:lineRule="auto"/>
        <w:ind w:left="570" w:right="42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108 00 Praha 10 –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Malešice</w:t>
      </w:r>
      <w:proofErr w:type="spellEnd"/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IČ: 26730448</w:t>
      </w:r>
    </w:p>
    <w:p w:rsidR="00A7317D" w:rsidRDefault="007D47AB" w:rsidP="009D36DE">
      <w:pPr>
        <w:spacing w:line="240" w:lineRule="auto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DIČ: CZ699001947</w:t>
      </w:r>
    </w:p>
    <w:p w:rsidR="00A7317D" w:rsidRPr="00654D4E" w:rsidRDefault="00654D4E" w:rsidP="009D36DE">
      <w:pPr>
        <w:spacing w:line="240" w:lineRule="auto"/>
        <w:ind w:left="570" w:right="4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</w:t>
      </w:r>
      <w:r w:rsidR="007D47AB" w:rsidRPr="00654D4E">
        <w:rPr>
          <w:rFonts w:ascii="Times New Roman" w:eastAsia="Times New Roman" w:hAnsi="Times New Roman" w:cs="Times New Roman"/>
          <w:color w:val="00000A"/>
          <w:sz w:val="24"/>
        </w:rPr>
        <w:t>a</w:t>
      </w:r>
      <w:r w:rsidRPr="00654D4E">
        <w:rPr>
          <w:rFonts w:ascii="Times New Roman" w:eastAsia="Times New Roman" w:hAnsi="Times New Roman" w:cs="Times New Roman"/>
          <w:color w:val="00000A"/>
          <w:sz w:val="24"/>
        </w:rPr>
        <w:t>s</w:t>
      </w:r>
      <w:r w:rsidR="007D47AB" w:rsidRPr="00654D4E">
        <w:rPr>
          <w:rFonts w:ascii="Times New Roman" w:eastAsia="Times New Roman" w:hAnsi="Times New Roman" w:cs="Times New Roman"/>
          <w:color w:val="00000A"/>
          <w:sz w:val="24"/>
        </w:rPr>
        <w:t>toupená</w:t>
      </w:r>
      <w:proofErr w:type="spellEnd"/>
      <w:r w:rsidR="007D47AB" w:rsidRPr="00654D4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224FC7" w:rsidRPr="00654D4E">
        <w:rPr>
          <w:rFonts w:ascii="Times New Roman" w:hAnsi="Times New Roman" w:cs="Times New Roman"/>
          <w:color w:val="auto"/>
          <w:sz w:val="24"/>
        </w:rPr>
        <w:t xml:space="preserve">Mgr. </w:t>
      </w:r>
      <w:proofErr w:type="spellStart"/>
      <w:r w:rsidR="00224FC7" w:rsidRPr="00654D4E">
        <w:rPr>
          <w:rFonts w:ascii="Times New Roman" w:hAnsi="Times New Roman" w:cs="Times New Roman"/>
          <w:color w:val="auto"/>
          <w:sz w:val="24"/>
        </w:rPr>
        <w:t>Petrem</w:t>
      </w:r>
      <w:proofErr w:type="spellEnd"/>
      <w:r w:rsidR="00224FC7" w:rsidRPr="00654D4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224FC7" w:rsidRPr="00654D4E">
        <w:rPr>
          <w:rFonts w:ascii="Times New Roman" w:hAnsi="Times New Roman" w:cs="Times New Roman"/>
          <w:color w:val="auto"/>
          <w:sz w:val="24"/>
        </w:rPr>
        <w:t>Čihákem</w:t>
      </w:r>
      <w:proofErr w:type="spellEnd"/>
      <w:r w:rsidR="00224FC7" w:rsidRPr="00654D4E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="00224FC7" w:rsidRPr="00654D4E">
        <w:rPr>
          <w:rFonts w:ascii="Times New Roman" w:hAnsi="Times New Roman" w:cs="Times New Roman"/>
          <w:color w:val="auto"/>
          <w:sz w:val="24"/>
        </w:rPr>
        <w:t>jednatelem</w:t>
      </w:r>
      <w:proofErr w:type="spellEnd"/>
      <w:r w:rsidR="00224FC7" w:rsidRPr="00654D4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224FC7" w:rsidRPr="00654D4E">
        <w:rPr>
          <w:rFonts w:ascii="Times New Roman" w:hAnsi="Times New Roman" w:cs="Times New Roman"/>
          <w:color w:val="auto"/>
          <w:sz w:val="24"/>
        </w:rPr>
        <w:t>společnosti</w:t>
      </w:r>
      <w:proofErr w:type="spellEnd"/>
      <w:r w:rsidR="00224FC7" w:rsidRPr="00654D4E">
        <w:rPr>
          <w:rFonts w:ascii="Times New Roman" w:hAnsi="Times New Roman" w:cs="Times New Roman"/>
          <w:color w:val="1F497D"/>
          <w:sz w:val="24"/>
        </w:rPr>
        <w:t xml:space="preserve"> </w:t>
      </w:r>
    </w:p>
    <w:p w:rsidR="00A7317D" w:rsidRDefault="007D47AB" w:rsidP="009D36DE">
      <w:pPr>
        <w:spacing w:line="240" w:lineRule="auto"/>
        <w:ind w:left="570" w:right="42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dopravce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)</w:t>
      </w:r>
    </w:p>
    <w:p w:rsidR="00A7317D" w:rsidRDefault="007D47AB" w:rsidP="009D36DE">
      <w:pPr>
        <w:tabs>
          <w:tab w:val="left" w:pos="8364"/>
        </w:tabs>
        <w:spacing w:line="240" w:lineRule="auto"/>
        <w:ind w:left="284" w:right="4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Tuto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dohodu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narovnání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za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bezesmluvní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užívání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po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b/>
          <w:sz w:val="28"/>
          <w:szCs w:val="28"/>
        </w:rPr>
        <w:t>období</w:t>
      </w:r>
      <w:proofErr w:type="spellEnd"/>
      <w:r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od 1.</w:t>
      </w:r>
      <w:r w:rsidR="003058CA"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PsacstrojHTML"/>
          <w:rFonts w:ascii="Times New Roman" w:hAnsi="Times New Roman" w:cs="Times New Roman"/>
          <w:b/>
          <w:sz w:val="28"/>
          <w:szCs w:val="28"/>
        </w:rPr>
        <w:t>7.</w:t>
      </w:r>
      <w:r w:rsidR="003058CA">
        <w:rPr>
          <w:rStyle w:val="PsacstrojHTML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PsacstrojHTML"/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do 31.</w:t>
      </w:r>
      <w:r w:rsidR="003058CA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7.</w:t>
      </w:r>
      <w:r w:rsidR="003058CA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2018</w:t>
      </w:r>
    </w:p>
    <w:p w:rsidR="00A7317D" w:rsidRDefault="007D47AB" w:rsidP="009D36DE">
      <w:pPr>
        <w:spacing w:line="240" w:lineRule="auto"/>
        <w:ind w:left="570" w:right="42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věcí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movitých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včetně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vybavení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součástí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příslušenství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které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slouží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svém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souhrnu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jednotlivě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k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provozová</w:t>
      </w:r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ní</w:t>
      </w:r>
      <w:proofErr w:type="spellEnd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městské</w:t>
      </w:r>
      <w:proofErr w:type="spellEnd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hromadné</w:t>
      </w:r>
      <w:proofErr w:type="spellEnd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dopravy</w:t>
      </w:r>
      <w:proofErr w:type="spellEnd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ve</w:t>
      </w:r>
      <w:proofErr w:type="spellEnd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>s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tatutárním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městě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Teplice,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byly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pronajímatelem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nájemci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dány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užívání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základě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smlouvy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přílohy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č. 7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ke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o veřejných službách č. 376/OD/2018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29.</w:t>
      </w:r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6.</w:t>
      </w:r>
      <w:r w:rsidR="00654D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2018 (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dále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jen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smlouva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>”)</w:t>
      </w:r>
    </w:p>
    <w:p w:rsidR="00A7317D" w:rsidRDefault="007D47AB" w:rsidP="009D36DE">
      <w:pPr>
        <w:spacing w:line="240" w:lineRule="auto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I.</w:t>
      </w:r>
    </w:p>
    <w:p w:rsidR="00A7317D" w:rsidRDefault="007D47AB" w:rsidP="009D36DE">
      <w:pPr>
        <w:numPr>
          <w:ilvl w:val="0"/>
          <w:numId w:val="4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IV.b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odst</w:t>
      </w:r>
      <w:proofErr w:type="spellEnd"/>
      <w:r>
        <w:rPr>
          <w:rFonts w:ascii="Times New Roman" w:hAnsi="Times New Roman" w:cs="Times New Roman"/>
          <w:sz w:val="24"/>
        </w:rPr>
        <w:t xml:space="preserve">. 9.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město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udělilo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souhlas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použitím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pronajatých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nemovitostí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jiná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než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MHD </w:t>
      </w:r>
      <w:r>
        <w:rPr>
          <w:rFonts w:ascii="Times New Roman" w:hAnsi="Times New Roman" w:cs="Times New Roman"/>
          <w:sz w:val="24"/>
        </w:rPr>
        <w:br/>
        <w:t>v Teplicích</w:t>
      </w:r>
      <w:r w:rsidR="00654D4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to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obslužnost</w:t>
      </w:r>
      <w:proofErr w:type="spellEnd"/>
      <w:r>
        <w:rPr>
          <w:rFonts w:ascii="Times New Roman" w:hAnsi="Times New Roman" w:cs="Times New Roman"/>
          <w:sz w:val="24"/>
        </w:rPr>
        <w:t xml:space="preserve"> pro:</w:t>
      </w:r>
    </w:p>
    <w:p w:rsidR="00A7317D" w:rsidRDefault="007D47AB" w:rsidP="009D36DE">
      <w:pPr>
        <w:numPr>
          <w:ilvl w:val="0"/>
          <w:numId w:val="5"/>
        </w:numPr>
        <w:spacing w:line="240" w:lineRule="auto"/>
        <w:ind w:left="709" w:right="-1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Ústecký kraj</w:t>
      </w:r>
    </w:p>
    <w:p w:rsidR="00A7317D" w:rsidRDefault="00654D4E" w:rsidP="009D36DE">
      <w:pPr>
        <w:numPr>
          <w:ilvl w:val="0"/>
          <w:numId w:val="5"/>
        </w:numPr>
        <w:spacing w:line="240" w:lineRule="auto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Město</w:t>
      </w:r>
      <w:proofErr w:type="spellEnd"/>
      <w:r w:rsidR="007D4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>
        <w:rPr>
          <w:rFonts w:ascii="Times New Roman" w:hAnsi="Times New Roman" w:cs="Times New Roman"/>
          <w:sz w:val="24"/>
        </w:rPr>
        <w:t>Bílina</w:t>
      </w:r>
      <w:proofErr w:type="spellEnd"/>
    </w:p>
    <w:p w:rsidR="00A7317D" w:rsidRDefault="00654D4E" w:rsidP="009D36DE">
      <w:pPr>
        <w:numPr>
          <w:ilvl w:val="0"/>
          <w:numId w:val="5"/>
        </w:numPr>
        <w:spacing w:line="240" w:lineRule="auto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</w:t>
      </w:r>
      <w:r w:rsidR="007D47AB">
        <w:rPr>
          <w:rFonts w:ascii="Times New Roman" w:hAnsi="Times New Roman" w:cs="Times New Roman"/>
          <w:sz w:val="24"/>
        </w:rPr>
        <w:t>bchodní</w:t>
      </w:r>
      <w:proofErr w:type="spellEnd"/>
      <w:r w:rsidR="007D47AB">
        <w:rPr>
          <w:rFonts w:ascii="Times New Roman" w:hAnsi="Times New Roman" w:cs="Times New Roman"/>
          <w:sz w:val="24"/>
        </w:rPr>
        <w:t xml:space="preserve"> centrum Olympia Teplice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smluvní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54D4E" w:rsidRDefault="007D47AB" w:rsidP="009D36DE">
      <w:pPr>
        <w:numPr>
          <w:ilvl w:val="0"/>
          <w:numId w:val="5"/>
        </w:numPr>
        <w:spacing w:line="240" w:lineRule="auto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Linkovou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provozovanou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komerční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riziko</w:t>
      </w:r>
      <w:proofErr w:type="spellEnd"/>
      <w:r>
        <w:rPr>
          <w:rFonts w:ascii="Times New Roman" w:hAnsi="Times New Roman" w:cs="Times New Roman"/>
          <w:sz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</w:rPr>
        <w:t>značkou</w:t>
      </w:r>
      <w:proofErr w:type="spellEnd"/>
      <w:r>
        <w:rPr>
          <w:rFonts w:ascii="Times New Roman" w:hAnsi="Times New Roman" w:cs="Times New Roman"/>
          <w:sz w:val="24"/>
        </w:rPr>
        <w:t xml:space="preserve"> ARRIVA EXPRESS</w:t>
      </w:r>
    </w:p>
    <w:p w:rsidR="00480D75" w:rsidRDefault="00480D75" w:rsidP="009D36DE">
      <w:pPr>
        <w:spacing w:line="240" w:lineRule="auto"/>
        <w:ind w:left="709" w:right="-1"/>
        <w:jc w:val="both"/>
        <w:rPr>
          <w:rFonts w:ascii="Times New Roman" w:hAnsi="Times New Roman" w:cs="Times New Roman"/>
          <w:sz w:val="24"/>
        </w:rPr>
      </w:pPr>
    </w:p>
    <w:p w:rsidR="00480D75" w:rsidRPr="00480D75" w:rsidRDefault="00480D75" w:rsidP="009D36DE">
      <w:pPr>
        <w:spacing w:line="240" w:lineRule="auto"/>
        <w:ind w:left="709" w:right="-1"/>
        <w:jc w:val="both"/>
        <w:rPr>
          <w:rFonts w:ascii="Times New Roman" w:hAnsi="Times New Roman" w:cs="Times New Roman"/>
          <w:sz w:val="24"/>
        </w:rPr>
      </w:pPr>
    </w:p>
    <w:p w:rsidR="00A7317D" w:rsidRDefault="007D47AB" w:rsidP="009D36DE">
      <w:pPr>
        <w:numPr>
          <w:ilvl w:val="0"/>
          <w:numId w:val="4"/>
        </w:numPr>
        <w:spacing w:line="240" w:lineRule="auto"/>
        <w:ind w:left="709" w:right="-1" w:hanging="709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VII. Bod 5.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město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udělilo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souhlas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využitím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mycí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linky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jiná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než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MHD v Teplicích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obslužnost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specifikovanou</w:t>
      </w:r>
      <w:proofErr w:type="spellEnd"/>
      <w:r>
        <w:rPr>
          <w:rFonts w:ascii="Times New Roman" w:hAnsi="Times New Roman" w:cs="Times New Roman"/>
          <w:sz w:val="24"/>
        </w:rPr>
        <w:t xml:space="preserve">  v </w:t>
      </w:r>
      <w:proofErr w:type="spellStart"/>
      <w:r>
        <w:rPr>
          <w:rFonts w:ascii="Times New Roman" w:hAnsi="Times New Roman" w:cs="Times New Roman"/>
          <w:sz w:val="24"/>
        </w:rPr>
        <w:t>bodě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tohoto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dodatku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7317D" w:rsidRDefault="007D47AB" w:rsidP="009D36DE">
      <w:pPr>
        <w:numPr>
          <w:ilvl w:val="0"/>
          <w:numId w:val="4"/>
        </w:numPr>
        <w:spacing w:line="240" w:lineRule="auto"/>
        <w:ind w:left="709" w:right="-1" w:hanging="709"/>
        <w:jc w:val="both"/>
      </w:pPr>
      <w:proofErr w:type="spellStart"/>
      <w:r>
        <w:rPr>
          <w:rFonts w:ascii="Times New Roman" w:hAnsi="Times New Roman" w:cs="Times New Roman"/>
          <w:sz w:val="24"/>
        </w:rPr>
        <w:t>Dodatky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smlouvě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řeší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vztahy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uvedené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odstavci</w:t>
      </w:r>
      <w:proofErr w:type="spellEnd"/>
      <w:r>
        <w:rPr>
          <w:rFonts w:ascii="Times New Roman" w:hAnsi="Times New Roman" w:cs="Times New Roman"/>
          <w:sz w:val="24"/>
        </w:rPr>
        <w:t xml:space="preserve"> 1) a 2) </w:t>
      </w:r>
      <w:proofErr w:type="spellStart"/>
      <w:r>
        <w:rPr>
          <w:rFonts w:ascii="Times New Roman" w:hAnsi="Times New Roman" w:cs="Times New Roman"/>
          <w:sz w:val="24"/>
        </w:rPr>
        <w:t>jsou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uzavřeny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až</w:t>
      </w:r>
      <w:proofErr w:type="spellEnd"/>
      <w:r>
        <w:rPr>
          <w:rFonts w:ascii="Times New Roman" w:hAnsi="Times New Roman" w:cs="Times New Roman"/>
          <w:sz w:val="24"/>
        </w:rPr>
        <w:t xml:space="preserve"> ode </w:t>
      </w:r>
      <w:proofErr w:type="spellStart"/>
      <w:r>
        <w:rPr>
          <w:rFonts w:ascii="Times New Roman" w:hAnsi="Times New Roman" w:cs="Times New Roman"/>
          <w:sz w:val="24"/>
        </w:rPr>
        <w:t>dne</w:t>
      </w:r>
      <w:proofErr w:type="spellEnd"/>
      <w:r>
        <w:rPr>
          <w:rFonts w:ascii="Times New Roman" w:hAnsi="Times New Roman" w:cs="Times New Roman"/>
          <w:sz w:val="24"/>
        </w:rPr>
        <w:t xml:space="preserve"> 1.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2018. </w:t>
      </w:r>
      <w:proofErr w:type="spellStart"/>
      <w:r>
        <w:rPr>
          <w:rFonts w:ascii="Times New Roman" w:hAnsi="Times New Roman" w:cs="Times New Roman"/>
          <w:sz w:val="24"/>
        </w:rPr>
        <w:t>Pronajímatel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však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udělil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nájemci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souhlas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výše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uvedeným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užíváním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již</w:t>
      </w:r>
      <w:proofErr w:type="spellEnd"/>
      <w:r>
        <w:rPr>
          <w:rFonts w:ascii="Times New Roman" w:hAnsi="Times New Roman" w:cs="Times New Roman"/>
          <w:sz w:val="24"/>
        </w:rPr>
        <w:t xml:space="preserve"> ode </w:t>
      </w:r>
      <w:proofErr w:type="spellStart"/>
      <w:r>
        <w:rPr>
          <w:rFonts w:ascii="Times New Roman" w:hAnsi="Times New Roman" w:cs="Times New Roman"/>
          <w:sz w:val="24"/>
        </w:rPr>
        <w:t>dne</w:t>
      </w:r>
      <w:proofErr w:type="spellEnd"/>
      <w:r>
        <w:rPr>
          <w:rFonts w:ascii="Times New Roman" w:hAnsi="Times New Roman" w:cs="Times New Roman"/>
          <w:sz w:val="24"/>
        </w:rPr>
        <w:t xml:space="preserve"> 1.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2018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podmínky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Nájemce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Pronajímateli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uhradí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sjednanou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náhradu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bezdůvodné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obohacení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jež</w:t>
      </w:r>
      <w:proofErr w:type="spellEnd"/>
      <w:r>
        <w:rPr>
          <w:rFonts w:ascii="Times New Roman" w:hAnsi="Times New Roman" w:cs="Times New Roman"/>
          <w:sz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</w:rPr>
        <w:t>vznikne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bezesmluvním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užíváním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období</w:t>
      </w:r>
      <w:proofErr w:type="spellEnd"/>
      <w:r>
        <w:rPr>
          <w:rFonts w:ascii="Times New Roman" w:hAnsi="Times New Roman" w:cs="Times New Roman"/>
          <w:sz w:val="24"/>
        </w:rPr>
        <w:t xml:space="preserve"> od 1.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 2018 do 31.</w:t>
      </w:r>
      <w:r w:rsidR="00654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654D4E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018, a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tímto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účelem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sjednávají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Dohodu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kterou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výslovně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sjednávají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způsob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stanovení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výše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úhrady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546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bezdůvodné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obohacení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dále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sjednávají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tomuto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platební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podmínky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další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pravidla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kterými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budou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období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vzájemně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řídit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7317D" w:rsidRPr="00480D75" w:rsidRDefault="007D47AB" w:rsidP="009D36DE">
      <w:pPr>
        <w:numPr>
          <w:ilvl w:val="0"/>
          <w:numId w:val="4"/>
        </w:numPr>
        <w:spacing w:line="240" w:lineRule="auto"/>
        <w:ind w:left="709" w:right="-1" w:hanging="709"/>
        <w:jc w:val="both"/>
      </w:pPr>
      <w:r>
        <w:rPr>
          <w:rFonts w:ascii="Times New Roman" w:hAnsi="Times New Roman" w:cs="Times New Roman"/>
          <w:sz w:val="24"/>
        </w:rPr>
        <w:t xml:space="preserve">Tato </w:t>
      </w:r>
      <w:proofErr w:type="spellStart"/>
      <w:r>
        <w:rPr>
          <w:rFonts w:ascii="Times New Roman" w:hAnsi="Times New Roman" w:cs="Times New Roman"/>
          <w:sz w:val="24"/>
        </w:rPr>
        <w:t>Dohoda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výslovně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nevztahuje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žádným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jiným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vztahům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Pronajímatele</w:t>
      </w:r>
      <w:r w:rsidR="008B2546"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Nájemcem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než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těm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jsou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výslovně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uvedeny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článku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I.až</w:t>
      </w:r>
      <w:proofErr w:type="spellEnd"/>
      <w:r>
        <w:rPr>
          <w:rFonts w:ascii="Times New Roman" w:hAnsi="Times New Roman" w:cs="Times New Roman"/>
          <w:sz w:val="24"/>
        </w:rPr>
        <w:t xml:space="preserve"> III. </w:t>
      </w:r>
      <w:proofErr w:type="spellStart"/>
      <w:r>
        <w:rPr>
          <w:rFonts w:ascii="Times New Roman" w:hAnsi="Times New Roman" w:cs="Times New Roman"/>
          <w:sz w:val="24"/>
        </w:rPr>
        <w:t>Dohody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317D" w:rsidRDefault="007D47AB" w:rsidP="009D36DE">
      <w:pPr>
        <w:spacing w:line="240" w:lineRule="auto"/>
        <w:ind w:right="4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</w:p>
    <w:p w:rsidR="00A7317D" w:rsidRDefault="007D47AB" w:rsidP="009D36DE">
      <w:pPr>
        <w:spacing w:line="240" w:lineRule="auto"/>
        <w:ind w:right="42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Úhrada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bezdůvodné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obohacení</w:t>
      </w:r>
      <w:proofErr w:type="spellEnd"/>
    </w:p>
    <w:p w:rsidR="00A7317D" w:rsidRDefault="007D47AB" w:rsidP="009D36DE">
      <w:pPr>
        <w:spacing w:line="240" w:lineRule="auto"/>
        <w:ind w:right="420"/>
        <w:jc w:val="both"/>
      </w:pPr>
      <w:proofErr w:type="spellStart"/>
      <w:r>
        <w:rPr>
          <w:rFonts w:ascii="Times New Roman" w:hAnsi="Times New Roman" w:cs="Times New Roman"/>
          <w:b/>
          <w:sz w:val="24"/>
        </w:rPr>
        <w:t>Město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</w:rPr>
        <w:t>dopravce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</w:rPr>
        <w:t>dohodli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následujících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pravidlech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výpočtu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úhrady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A7317D" w:rsidRPr="00480D75" w:rsidRDefault="00480D75" w:rsidP="009D36DE">
      <w:pPr>
        <w:pStyle w:val="Odstavecseseznamem"/>
        <w:numPr>
          <w:ilvl w:val="0"/>
          <w:numId w:val="6"/>
        </w:numPr>
        <w:spacing w:line="240" w:lineRule="auto"/>
        <w:ind w:left="709" w:right="420" w:hanging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Dopravce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do 10. 8. 2018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předá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městu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soupis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autobusů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používaných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předcházejícím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sz w:val="24"/>
        </w:rPr>
        <w:t>měsíci</w:t>
      </w:r>
      <w:proofErr w:type="spellEnd"/>
      <w:r w:rsidR="007D47AB" w:rsidRPr="00480D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Vzor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soupisu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výpočet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měsíční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úhrady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je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přílohou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č. 1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této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47AB" w:rsidRPr="00480D75">
        <w:rPr>
          <w:rFonts w:ascii="Times New Roman" w:hAnsi="Times New Roman" w:cs="Times New Roman"/>
          <w:b/>
          <w:sz w:val="24"/>
        </w:rPr>
        <w:t>dohody</w:t>
      </w:r>
      <w:proofErr w:type="spellEnd"/>
      <w:r w:rsidR="007D47AB" w:rsidRPr="00480D75">
        <w:rPr>
          <w:rFonts w:ascii="Times New Roman" w:hAnsi="Times New Roman" w:cs="Times New Roman"/>
          <w:b/>
          <w:sz w:val="24"/>
        </w:rPr>
        <w:t>.</w:t>
      </w:r>
    </w:p>
    <w:p w:rsidR="00981AE9" w:rsidRPr="00456833" w:rsidRDefault="00981AE9" w:rsidP="009D36DE">
      <w:pPr>
        <w:widowControl/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456833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 xml:space="preserve">Základní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úhrada</w:t>
      </w:r>
      <w:r w:rsidRPr="00456833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 xml:space="preserve"> ve výši 1.500 Kč/1 autobus/1 měsíc se stanovuje ve struktuře:</w:t>
      </w:r>
    </w:p>
    <w:p w:rsidR="00981AE9" w:rsidRPr="00456833" w:rsidRDefault="00981AE9" w:rsidP="009D36DE">
      <w:pPr>
        <w:widowControl/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456833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1000 Kč za využití odstavných ploch,</w:t>
      </w:r>
    </w:p>
    <w:p w:rsidR="00981AE9" w:rsidRPr="00456833" w:rsidRDefault="00981AE9" w:rsidP="009D36DE">
      <w:pPr>
        <w:widowControl/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456833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300 Kč za využití provozního a servisního zázemí,</w:t>
      </w:r>
    </w:p>
    <w:p w:rsidR="00480D75" w:rsidRDefault="00981AE9" w:rsidP="009D36DE">
      <w:pPr>
        <w:widowControl/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456833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200 Kč za využití mycí linky.</w:t>
      </w:r>
    </w:p>
    <w:p w:rsidR="00480D75" w:rsidRDefault="00480D75" w:rsidP="009D36D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Dopravce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určí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zda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byl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autobus </w:t>
      </w:r>
      <w:proofErr w:type="spellStart"/>
      <w:r w:rsidRPr="00480D75">
        <w:rPr>
          <w:rFonts w:ascii="Times New Roman" w:hAnsi="Times New Roman" w:cs="Times New Roman"/>
          <w:sz w:val="24"/>
        </w:rPr>
        <w:t>používán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jako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základní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nebo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zálohové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vozidlo</w:t>
      </w:r>
      <w:proofErr w:type="spellEnd"/>
      <w:r w:rsidR="009D36DE">
        <w:rPr>
          <w:rFonts w:ascii="Times New Roman" w:hAnsi="Times New Roman" w:cs="Times New Roman"/>
          <w:sz w:val="24"/>
        </w:rPr>
        <w:t>,</w:t>
      </w:r>
      <w:r w:rsidRPr="00480D7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80D75">
        <w:rPr>
          <w:rFonts w:ascii="Times New Roman" w:hAnsi="Times New Roman" w:cs="Times New Roman"/>
          <w:sz w:val="24"/>
        </w:rPr>
        <w:t>ve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kterých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přepravních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systémech</w:t>
      </w:r>
      <w:proofErr w:type="spellEnd"/>
      <w:r w:rsidRPr="00480D75">
        <w:rPr>
          <w:rFonts w:ascii="Times New Roman" w:hAnsi="Times New Roman" w:cs="Times New Roman"/>
          <w:sz w:val="24"/>
        </w:rPr>
        <w:t>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Úhrada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480D75">
        <w:rPr>
          <w:rFonts w:ascii="Times New Roman" w:hAnsi="Times New Roman" w:cs="Times New Roman"/>
          <w:sz w:val="24"/>
        </w:rPr>
        <w:t>hradí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každý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autobus, </w:t>
      </w:r>
      <w:proofErr w:type="spellStart"/>
      <w:r w:rsidRPr="00480D75">
        <w:rPr>
          <w:rFonts w:ascii="Times New Roman" w:hAnsi="Times New Roman" w:cs="Times New Roman"/>
          <w:sz w:val="24"/>
        </w:rPr>
        <w:t>který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byl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běžném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měsíci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používán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bez </w:t>
      </w:r>
      <w:proofErr w:type="spellStart"/>
      <w:r w:rsidRPr="00480D75">
        <w:rPr>
          <w:rFonts w:ascii="Times New Roman" w:hAnsi="Times New Roman" w:cs="Times New Roman"/>
          <w:sz w:val="24"/>
        </w:rPr>
        <w:t>ohledu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délku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jeho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používání</w:t>
      </w:r>
      <w:proofErr w:type="spellEnd"/>
      <w:r w:rsidRPr="00480D75">
        <w:rPr>
          <w:rFonts w:ascii="Times New Roman" w:hAnsi="Times New Roman" w:cs="Times New Roman"/>
          <w:sz w:val="24"/>
        </w:rPr>
        <w:t>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Úhrada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480D75">
        <w:rPr>
          <w:rFonts w:ascii="Times New Roman" w:hAnsi="Times New Roman" w:cs="Times New Roman"/>
          <w:sz w:val="24"/>
        </w:rPr>
        <w:t>nehradí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které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byly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běžném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měsíci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používány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jako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základní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r w:rsidRPr="00480D75">
        <w:rPr>
          <w:rFonts w:ascii="Times New Roman" w:hAnsi="Times New Roman" w:cs="Times New Roman"/>
          <w:sz w:val="24"/>
        </w:rPr>
        <w:br/>
        <w:t xml:space="preserve">v </w:t>
      </w:r>
      <w:proofErr w:type="spellStart"/>
      <w:r w:rsidRPr="00480D75">
        <w:rPr>
          <w:rFonts w:ascii="Times New Roman" w:hAnsi="Times New Roman" w:cs="Times New Roman"/>
          <w:sz w:val="24"/>
        </w:rPr>
        <w:t>systému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Teplice.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Úhrada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480D75">
        <w:rPr>
          <w:rFonts w:ascii="Times New Roman" w:hAnsi="Times New Roman" w:cs="Times New Roman"/>
          <w:sz w:val="24"/>
        </w:rPr>
        <w:t>nehradí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které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byly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běžném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měsíci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používány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jako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zálohové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výlučně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systému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Teplice.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Úhrada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snížená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o 50% se </w:t>
      </w:r>
      <w:proofErr w:type="spellStart"/>
      <w:r w:rsidRPr="00480D75">
        <w:rPr>
          <w:rFonts w:ascii="Times New Roman" w:hAnsi="Times New Roman" w:cs="Times New Roman"/>
          <w:sz w:val="24"/>
        </w:rPr>
        <w:t>hradí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zálohové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které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služí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mimo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jiné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480D75">
        <w:rPr>
          <w:rFonts w:ascii="Times New Roman" w:hAnsi="Times New Roman" w:cs="Times New Roman"/>
          <w:sz w:val="24"/>
        </w:rPr>
        <w:t>přepravní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systém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Teplice.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Úhrada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snížená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o 50% se </w:t>
      </w:r>
      <w:proofErr w:type="spellStart"/>
      <w:r w:rsidRPr="00480D75">
        <w:rPr>
          <w:rFonts w:ascii="Times New Roman" w:hAnsi="Times New Roman" w:cs="Times New Roman"/>
          <w:sz w:val="24"/>
        </w:rPr>
        <w:t>hradí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základní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D75">
        <w:rPr>
          <w:rFonts w:ascii="Times New Roman" w:hAnsi="Times New Roman" w:cs="Times New Roman"/>
          <w:sz w:val="24"/>
        </w:rPr>
        <w:t>které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slouží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mimo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jiné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jako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základní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systému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Teplice.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Dopravce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480D75">
        <w:rPr>
          <w:rFonts w:ascii="Times New Roman" w:hAnsi="Times New Roman" w:cs="Times New Roman"/>
          <w:sz w:val="24"/>
        </w:rPr>
        <w:t>na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vyžádání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do 5 </w:t>
      </w:r>
      <w:proofErr w:type="spellStart"/>
      <w:r w:rsidRPr="00480D75">
        <w:rPr>
          <w:rFonts w:ascii="Times New Roman" w:hAnsi="Times New Roman" w:cs="Times New Roman"/>
          <w:sz w:val="24"/>
        </w:rPr>
        <w:t>pracovních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dnů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povinen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předložit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městu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písemné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doklady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osvědčující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správné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zařazení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autobusů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480D75">
        <w:rPr>
          <w:rFonts w:ascii="Times New Roman" w:hAnsi="Times New Roman" w:cs="Times New Roman"/>
          <w:sz w:val="24"/>
        </w:rPr>
        <w:t>účely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výpočtu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úhrady</w:t>
      </w:r>
      <w:proofErr w:type="spellEnd"/>
      <w:r w:rsidRPr="00480D75">
        <w:rPr>
          <w:rFonts w:ascii="Times New Roman" w:hAnsi="Times New Roman" w:cs="Times New Roman"/>
          <w:sz w:val="24"/>
        </w:rPr>
        <w:t>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480D75">
        <w:rPr>
          <w:rFonts w:ascii="Times New Roman" w:hAnsi="Times New Roman" w:cs="Times New Roman"/>
          <w:sz w:val="24"/>
        </w:rPr>
        <w:t xml:space="preserve">Na </w:t>
      </w:r>
      <w:proofErr w:type="spellStart"/>
      <w:r w:rsidRPr="00480D75">
        <w:rPr>
          <w:rFonts w:ascii="Times New Roman" w:hAnsi="Times New Roman" w:cs="Times New Roman"/>
          <w:sz w:val="24"/>
        </w:rPr>
        <w:t>případné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výjimečné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80D75">
        <w:rPr>
          <w:rFonts w:ascii="Times New Roman" w:hAnsi="Times New Roman" w:cs="Times New Roman"/>
          <w:sz w:val="24"/>
        </w:rPr>
        <w:t>odsouhlasené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využití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základních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autobusů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jiných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dopravních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systémů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480D75">
        <w:rPr>
          <w:rFonts w:ascii="Times New Roman" w:hAnsi="Times New Roman" w:cs="Times New Roman"/>
          <w:sz w:val="24"/>
        </w:rPr>
        <w:t>odsouhlasenou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náhradní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dopravu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MHD Teplice </w:t>
      </w:r>
      <w:proofErr w:type="spellStart"/>
      <w:r w:rsidRPr="00480D75">
        <w:rPr>
          <w:rFonts w:ascii="Times New Roman" w:hAnsi="Times New Roman" w:cs="Times New Roman"/>
          <w:sz w:val="24"/>
        </w:rPr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trolejbusy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nebude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při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měsíčním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vyúčtování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brán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zřetel</w:t>
      </w:r>
      <w:proofErr w:type="spellEnd"/>
      <w:r w:rsidRPr="00480D75">
        <w:rPr>
          <w:rFonts w:ascii="Times New Roman" w:hAnsi="Times New Roman" w:cs="Times New Roman"/>
          <w:sz w:val="24"/>
        </w:rPr>
        <w:t>.</w:t>
      </w:r>
    </w:p>
    <w:p w:rsidR="00480D75" w:rsidRPr="00480D75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t>Využitím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předmětu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nájmu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480D75">
        <w:rPr>
          <w:rFonts w:ascii="Times New Roman" w:hAnsi="Times New Roman" w:cs="Times New Roman"/>
          <w:sz w:val="24"/>
        </w:rPr>
        <w:t>jiná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vozidla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než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480D75">
        <w:rPr>
          <w:rFonts w:ascii="Times New Roman" w:hAnsi="Times New Roman" w:cs="Times New Roman"/>
          <w:sz w:val="24"/>
        </w:rPr>
        <w:t>vozidla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používaná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480D75">
        <w:rPr>
          <w:rFonts w:ascii="Times New Roman" w:hAnsi="Times New Roman" w:cs="Times New Roman"/>
          <w:sz w:val="24"/>
        </w:rPr>
        <w:t>systému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Teplice </w:t>
      </w:r>
      <w:proofErr w:type="spellStart"/>
      <w:r w:rsidRPr="00480D75">
        <w:rPr>
          <w:rFonts w:ascii="Times New Roman" w:hAnsi="Times New Roman" w:cs="Times New Roman"/>
          <w:sz w:val="24"/>
        </w:rPr>
        <w:t>nebude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nijak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omezeno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využívání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movitých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80D75">
        <w:rPr>
          <w:rFonts w:ascii="Times New Roman" w:hAnsi="Times New Roman" w:cs="Times New Roman"/>
          <w:sz w:val="24"/>
        </w:rPr>
        <w:t>nemovitých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věcí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r w:rsidR="00480D75">
        <w:rPr>
          <w:rFonts w:ascii="Times New Roman" w:hAnsi="Times New Roman" w:cs="Times New Roman"/>
          <w:sz w:val="24"/>
        </w:rPr>
        <w:t xml:space="preserve">pro </w:t>
      </w:r>
      <w:proofErr w:type="spellStart"/>
      <w:r w:rsidR="00480D75">
        <w:rPr>
          <w:rFonts w:ascii="Times New Roman" w:hAnsi="Times New Roman" w:cs="Times New Roman"/>
          <w:sz w:val="24"/>
        </w:rPr>
        <w:t>vozidla</w:t>
      </w:r>
      <w:proofErr w:type="spellEnd"/>
      <w:r w:rsid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D75">
        <w:rPr>
          <w:rFonts w:ascii="Times New Roman" w:hAnsi="Times New Roman" w:cs="Times New Roman"/>
          <w:sz w:val="24"/>
        </w:rPr>
        <w:t>používaná</w:t>
      </w:r>
      <w:proofErr w:type="spellEnd"/>
      <w:r w:rsid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D75">
        <w:rPr>
          <w:rFonts w:ascii="Times New Roman" w:hAnsi="Times New Roman" w:cs="Times New Roman"/>
          <w:sz w:val="24"/>
        </w:rPr>
        <w:t>výlučně</w:t>
      </w:r>
      <w:proofErr w:type="spellEnd"/>
      <w:r w:rsidR="00480D75">
        <w:rPr>
          <w:rFonts w:ascii="Times New Roman" w:hAnsi="Times New Roman" w:cs="Times New Roman"/>
          <w:sz w:val="24"/>
        </w:rPr>
        <w:t xml:space="preserve"> </w:t>
      </w:r>
      <w:r w:rsidRPr="00480D75">
        <w:rPr>
          <w:rFonts w:ascii="Times New Roman" w:hAnsi="Times New Roman" w:cs="Times New Roman"/>
          <w:sz w:val="24"/>
        </w:rPr>
        <w:t xml:space="preserve">v </w:t>
      </w:r>
      <w:proofErr w:type="spellStart"/>
      <w:r w:rsidRPr="00480D75">
        <w:rPr>
          <w:rFonts w:ascii="Times New Roman" w:hAnsi="Times New Roman" w:cs="Times New Roman"/>
          <w:sz w:val="24"/>
        </w:rPr>
        <w:t>systému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MHD v Teplicích. </w:t>
      </w:r>
      <w:proofErr w:type="spellStart"/>
      <w:r w:rsidRPr="00480D75">
        <w:rPr>
          <w:rFonts w:ascii="Times New Roman" w:hAnsi="Times New Roman" w:cs="Times New Roman"/>
          <w:sz w:val="24"/>
        </w:rPr>
        <w:t>Případné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škody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způsobené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těmito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vozidly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jdou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vrub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dopravce.</w:t>
      </w:r>
    </w:p>
    <w:p w:rsidR="00A7317D" w:rsidRPr="009D36DE" w:rsidRDefault="007D47AB" w:rsidP="009D36DE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proofErr w:type="spellStart"/>
      <w:r w:rsidRPr="00480D75">
        <w:rPr>
          <w:rFonts w:ascii="Times New Roman" w:hAnsi="Times New Roman" w:cs="Times New Roman"/>
          <w:sz w:val="24"/>
        </w:rPr>
        <w:lastRenderedPageBreak/>
        <w:t>Za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každý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jednotlivý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případ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porušení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výše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uvedených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pravidel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480D75">
        <w:rPr>
          <w:rFonts w:ascii="Times New Roman" w:hAnsi="Times New Roman" w:cs="Times New Roman"/>
          <w:sz w:val="24"/>
        </w:rPr>
        <w:t>sjednává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smluvní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pokuta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ve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výši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10 000,- </w:t>
      </w:r>
      <w:proofErr w:type="spellStart"/>
      <w:r w:rsidRPr="00480D75">
        <w:rPr>
          <w:rFonts w:ascii="Times New Roman" w:hAnsi="Times New Roman" w:cs="Times New Roman"/>
          <w:sz w:val="24"/>
        </w:rPr>
        <w:t>Kč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0D75">
        <w:rPr>
          <w:rFonts w:ascii="Times New Roman" w:hAnsi="Times New Roman" w:cs="Times New Roman"/>
          <w:sz w:val="24"/>
        </w:rPr>
        <w:t>Pokuta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480D75">
        <w:rPr>
          <w:rFonts w:ascii="Times New Roman" w:hAnsi="Times New Roman" w:cs="Times New Roman"/>
          <w:sz w:val="24"/>
        </w:rPr>
        <w:t>splatná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do 15 </w:t>
      </w:r>
      <w:proofErr w:type="spellStart"/>
      <w:r w:rsidRPr="00480D75">
        <w:rPr>
          <w:rFonts w:ascii="Times New Roman" w:hAnsi="Times New Roman" w:cs="Times New Roman"/>
          <w:sz w:val="24"/>
        </w:rPr>
        <w:t>dnů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doručení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výzvy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k </w:t>
      </w:r>
      <w:proofErr w:type="spellStart"/>
      <w:r w:rsidRPr="00480D75">
        <w:rPr>
          <w:rFonts w:ascii="Times New Roman" w:hAnsi="Times New Roman" w:cs="Times New Roman"/>
          <w:sz w:val="24"/>
        </w:rPr>
        <w:t>zaplacení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0D75">
        <w:rPr>
          <w:rFonts w:ascii="Times New Roman" w:hAnsi="Times New Roman" w:cs="Times New Roman"/>
          <w:sz w:val="24"/>
        </w:rPr>
        <w:t>Právo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na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náhradu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škody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není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zaplacením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smluvní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pokuty</w:t>
      </w:r>
      <w:proofErr w:type="spellEnd"/>
      <w:r w:rsidRPr="00480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D75">
        <w:rPr>
          <w:rFonts w:ascii="Times New Roman" w:hAnsi="Times New Roman" w:cs="Times New Roman"/>
          <w:sz w:val="24"/>
        </w:rPr>
        <w:t>dotčeno</w:t>
      </w:r>
      <w:proofErr w:type="spellEnd"/>
      <w:r w:rsidRPr="00480D75">
        <w:rPr>
          <w:rFonts w:ascii="Times New Roman" w:hAnsi="Times New Roman" w:cs="Times New Roman"/>
          <w:sz w:val="24"/>
        </w:rPr>
        <w:t>.</w:t>
      </w:r>
    </w:p>
    <w:p w:rsidR="009D36DE" w:rsidRPr="00480D75" w:rsidRDefault="009D36DE" w:rsidP="009D36DE">
      <w:pPr>
        <w:pStyle w:val="Odstavecseseznamem"/>
        <w:widowControl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</w:p>
    <w:p w:rsidR="00A7317D" w:rsidRDefault="007D47AB" w:rsidP="009D36DE">
      <w:pPr>
        <w:spacing w:line="240" w:lineRule="auto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III.</w:t>
      </w:r>
    </w:p>
    <w:p w:rsidR="00A7317D" w:rsidRDefault="007D47AB" w:rsidP="009D36DE">
      <w:pPr>
        <w:spacing w:line="240" w:lineRule="auto"/>
        <w:ind w:left="570" w:right="42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Způsob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úhrady</w:t>
      </w:r>
      <w:proofErr w:type="spellEnd"/>
    </w:p>
    <w:p w:rsidR="00A7317D" w:rsidRDefault="007D47AB" w:rsidP="009D36DE">
      <w:pPr>
        <w:numPr>
          <w:ilvl w:val="0"/>
          <w:numId w:val="3"/>
        </w:numPr>
        <w:tabs>
          <w:tab w:val="left" w:pos="709"/>
        </w:tabs>
        <w:spacing w:line="240" w:lineRule="auto"/>
        <w:ind w:left="709" w:hanging="709"/>
        <w:jc w:val="both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Úhrada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bezesmluvní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užívání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vypočítané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bodu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II</w:t>
      </w:r>
      <w:r w:rsidR="009D36DE"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této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dohody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uhrazena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nejpozději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do 25.</w:t>
      </w:r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8.</w:t>
      </w:r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2018, ne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však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dříve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obdržel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dopravce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Město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vystaví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daňový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doklad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).</w:t>
      </w:r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K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úhradě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přičtena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DPH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výši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platné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ke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dni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uskutečnění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zdanitelného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81AE9">
        <w:rPr>
          <w:rFonts w:ascii="Times New Roman" w:eastAsia="Times New Roman" w:hAnsi="Times New Roman" w:cs="Times New Roman"/>
          <w:color w:val="00000A"/>
          <w:sz w:val="24"/>
        </w:rPr>
        <w:t>plnění</w:t>
      </w:r>
      <w:proofErr w:type="spellEnd"/>
      <w:r w:rsidR="00981AE9"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Úhrada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městu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zaplacena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bezhotovostně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převodem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účet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uvedený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faktuře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musí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bý</w:t>
      </w:r>
      <w:r w:rsidR="009D36DE">
        <w:rPr>
          <w:rFonts w:ascii="Times New Roman" w:eastAsia="Times New Roman" w:hAnsi="Times New Roman" w:cs="Times New Roman"/>
          <w:color w:val="00000A"/>
          <w:sz w:val="24"/>
        </w:rPr>
        <w:t>t</w:t>
      </w:r>
      <w:proofErr w:type="spellEnd"/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D36DE">
        <w:rPr>
          <w:rFonts w:ascii="Times New Roman" w:eastAsia="Times New Roman" w:hAnsi="Times New Roman" w:cs="Times New Roman"/>
          <w:color w:val="00000A"/>
          <w:sz w:val="24"/>
        </w:rPr>
        <w:t>doručena</w:t>
      </w:r>
      <w:proofErr w:type="spellEnd"/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D36DE">
        <w:rPr>
          <w:rFonts w:ascii="Times New Roman" w:eastAsia="Times New Roman" w:hAnsi="Times New Roman" w:cs="Times New Roman"/>
          <w:color w:val="00000A"/>
          <w:sz w:val="24"/>
        </w:rPr>
        <w:t>dopravci</w:t>
      </w:r>
      <w:proofErr w:type="spellEnd"/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9D36DE">
        <w:rPr>
          <w:rFonts w:ascii="Times New Roman" w:eastAsia="Times New Roman" w:hAnsi="Times New Roman" w:cs="Times New Roman"/>
          <w:color w:val="00000A"/>
          <w:sz w:val="24"/>
        </w:rPr>
        <w:t>nejméně</w:t>
      </w:r>
      <w:proofErr w:type="spellEnd"/>
      <w:r w:rsidR="009D36DE">
        <w:rPr>
          <w:rFonts w:ascii="Times New Roman" w:eastAsia="Times New Roman" w:hAnsi="Times New Roman" w:cs="Times New Roman"/>
          <w:color w:val="00000A"/>
          <w:sz w:val="24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slovy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její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A7317D" w:rsidRDefault="007D47AB" w:rsidP="009D36DE">
      <w:pPr>
        <w:numPr>
          <w:ilvl w:val="0"/>
          <w:numId w:val="3"/>
        </w:numPr>
        <w:tabs>
          <w:tab w:val="left" w:pos="709"/>
        </w:tabs>
        <w:spacing w:line="240" w:lineRule="auto"/>
        <w:ind w:left="709" w:hanging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případ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dopravce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úhradou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sjednává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prospěch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města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pokuta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0,2 % 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dlužné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částky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každý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zaplacení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A7317D" w:rsidRDefault="007D47AB" w:rsidP="009D36DE">
      <w:pPr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Pokud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obsahovat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vadné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chybné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některé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obsahovat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vůbec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povinen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vrátit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lhůtě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vyznačením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vystavení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nové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bezvadné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počíná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běžet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nová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lhůta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která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činí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slovy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jejího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doručení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A7317D" w:rsidRPr="009D36DE" w:rsidRDefault="007D47AB" w:rsidP="009D36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IV. </w:t>
      </w:r>
      <w:r w:rsidR="009D36DE">
        <w:rPr>
          <w:rFonts w:ascii="Times New Roman" w:hAnsi="Times New Roman" w:cs="Times New Roman"/>
          <w:b/>
          <w:bCs/>
          <w:sz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</w:rPr>
        <w:t>Závěrečná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ustanovení</w:t>
      </w:r>
      <w:proofErr w:type="spellEnd"/>
    </w:p>
    <w:p w:rsidR="009D36DE" w:rsidRDefault="007D47AB" w:rsidP="009D36DE">
      <w:pPr>
        <w:numPr>
          <w:ilvl w:val="0"/>
          <w:numId w:val="2"/>
        </w:numPr>
        <w:spacing w:line="240" w:lineRule="auto"/>
        <w:ind w:hanging="720"/>
        <w:jc w:val="both"/>
      </w:pPr>
      <w:proofErr w:type="spellStart"/>
      <w:r>
        <w:rPr>
          <w:rFonts w:ascii="Times New Roman" w:hAnsi="Times New Roman" w:cs="Times New Roman"/>
          <w:sz w:val="24"/>
        </w:rPr>
        <w:t>Účastníci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prohlašují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dohodu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narovnání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přečetli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jejímu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obsahu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porozuměli</w:t>
      </w:r>
      <w:proofErr w:type="spellEnd"/>
      <w:r w:rsidR="009D36D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vyjadřuje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pravou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skutečnou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vůli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stvrzují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svými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317D" w:rsidRDefault="007D47AB" w:rsidP="009D36DE">
      <w:pPr>
        <w:numPr>
          <w:ilvl w:val="0"/>
          <w:numId w:val="2"/>
        </w:numPr>
        <w:spacing w:line="240" w:lineRule="auto"/>
        <w:ind w:hanging="720"/>
        <w:jc w:val="both"/>
      </w:pPr>
      <w:proofErr w:type="spellStart"/>
      <w:r w:rsidRPr="009D36DE">
        <w:rPr>
          <w:rFonts w:ascii="Times New Roman" w:hAnsi="Times New Roman" w:cs="Times New Roman"/>
          <w:sz w:val="24"/>
        </w:rPr>
        <w:t>Nedílnou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součást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této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dohody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tvoří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následující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příloha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č. 1- </w:t>
      </w:r>
      <w:proofErr w:type="spellStart"/>
      <w:r w:rsidRPr="009D36DE">
        <w:rPr>
          <w:rFonts w:ascii="Times New Roman" w:hAnsi="Times New Roman" w:cs="Times New Roman"/>
          <w:sz w:val="24"/>
        </w:rPr>
        <w:t>výpočet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úhrady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</w:p>
    <w:p w:rsidR="00A7317D" w:rsidRDefault="007D47AB" w:rsidP="009D36DE">
      <w:pPr>
        <w:numPr>
          <w:ilvl w:val="0"/>
          <w:numId w:val="2"/>
        </w:numPr>
        <w:spacing w:line="240" w:lineRule="auto"/>
        <w:ind w:hanging="720"/>
        <w:jc w:val="both"/>
      </w:pPr>
      <w:r>
        <w:rPr>
          <w:rFonts w:ascii="Times New Roman" w:hAnsi="Times New Roman" w:cs="Times New Roman"/>
          <w:sz w:val="24"/>
        </w:rPr>
        <w:t xml:space="preserve">Tato </w:t>
      </w:r>
      <w:proofErr w:type="spellStart"/>
      <w:r>
        <w:rPr>
          <w:rFonts w:ascii="Times New Roman" w:hAnsi="Times New Roman" w:cs="Times New Roman"/>
          <w:sz w:val="24"/>
        </w:rPr>
        <w:t>dohoda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vyhotovena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čtyřech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stejnopisech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každý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platností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originálu</w:t>
      </w:r>
      <w:proofErr w:type="spellEnd"/>
      <w:r>
        <w:rPr>
          <w:rFonts w:ascii="Times New Roman" w:hAnsi="Times New Roman" w:cs="Times New Roman"/>
          <w:sz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</w:rPr>
        <w:t>nichž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výtisky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každá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Veškeré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informace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obsažené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této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Dohodě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jsou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považovány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oběma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veřejné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obecně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závaznými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předpisy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D36DE" w:rsidRDefault="007D47AB" w:rsidP="009D36DE">
      <w:pPr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</w:t>
      </w:r>
      <w:proofErr w:type="spellStart"/>
      <w:r>
        <w:rPr>
          <w:rFonts w:ascii="Times New Roman" w:hAnsi="Times New Roman" w:cs="Times New Roman"/>
          <w:sz w:val="24"/>
        </w:rPr>
        <w:t>dohoda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nabývá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platnosti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317D" w:rsidRDefault="007D47AB" w:rsidP="009D36DE">
      <w:pPr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9D36DE">
        <w:rPr>
          <w:rFonts w:ascii="Times New Roman" w:hAnsi="Times New Roman" w:cs="Times New Roman"/>
          <w:sz w:val="24"/>
        </w:rPr>
        <w:t>Uzavření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dohody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bylo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schváleno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36DE">
        <w:rPr>
          <w:rFonts w:ascii="Times New Roman" w:hAnsi="Times New Roman" w:cs="Times New Roman"/>
          <w:sz w:val="24"/>
        </w:rPr>
        <w:t>R</w:t>
      </w:r>
      <w:r w:rsidRPr="009D36DE">
        <w:rPr>
          <w:rFonts w:ascii="Times New Roman" w:hAnsi="Times New Roman" w:cs="Times New Roman"/>
          <w:sz w:val="24"/>
        </w:rPr>
        <w:t>adou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města Teplic</w:t>
      </w:r>
      <w:r w:rsidR="009D36DE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9D36DE">
        <w:rPr>
          <w:rFonts w:ascii="Times New Roman" w:hAnsi="Times New Roman" w:cs="Times New Roman"/>
          <w:sz w:val="24"/>
        </w:rPr>
        <w:t>dne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r w:rsidR="009D36DE">
        <w:rPr>
          <w:rFonts w:ascii="Times New Roman" w:hAnsi="Times New Roman" w:cs="Times New Roman"/>
          <w:sz w:val="24"/>
        </w:rPr>
        <w:t xml:space="preserve">27. 7. 2018 </w:t>
      </w:r>
      <w:r w:rsidRPr="009D36DE">
        <w:rPr>
          <w:rFonts w:ascii="Times New Roman" w:hAnsi="Times New Roman" w:cs="Times New Roman"/>
          <w:sz w:val="24"/>
        </w:rPr>
        <w:t xml:space="preserve">pod </w:t>
      </w:r>
      <w:proofErr w:type="spellStart"/>
      <w:r w:rsidRPr="009D36DE">
        <w:rPr>
          <w:rFonts w:ascii="Times New Roman" w:hAnsi="Times New Roman" w:cs="Times New Roman"/>
          <w:sz w:val="24"/>
        </w:rPr>
        <w:t>číslem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36DE">
        <w:rPr>
          <w:rFonts w:ascii="Times New Roman" w:hAnsi="Times New Roman" w:cs="Times New Roman"/>
          <w:sz w:val="24"/>
        </w:rPr>
        <w:t>usnesení</w:t>
      </w:r>
      <w:proofErr w:type="spellEnd"/>
      <w:r w:rsidR="009D36DE">
        <w:rPr>
          <w:rFonts w:ascii="Times New Roman" w:hAnsi="Times New Roman" w:cs="Times New Roman"/>
          <w:sz w:val="24"/>
        </w:rPr>
        <w:t xml:space="preserve"> </w:t>
      </w:r>
      <w:r w:rsidR="00B07D51">
        <w:rPr>
          <w:rFonts w:ascii="Times New Roman" w:hAnsi="Times New Roman" w:cs="Times New Roman"/>
          <w:sz w:val="24"/>
        </w:rPr>
        <w:t>0599/18.</w:t>
      </w:r>
    </w:p>
    <w:p w:rsidR="009D36DE" w:rsidRPr="009D36DE" w:rsidRDefault="009D36DE" w:rsidP="009D36DE">
      <w:pPr>
        <w:spacing w:line="240" w:lineRule="auto"/>
        <w:ind w:left="720"/>
        <w:jc w:val="both"/>
        <w:rPr>
          <w:rFonts w:ascii="Times New Roman" w:hAnsi="Times New Roman" w:cs="Times New Roman"/>
          <w:sz w:val="2"/>
        </w:rPr>
      </w:pPr>
    </w:p>
    <w:p w:rsidR="00A7317D" w:rsidRPr="009D36DE" w:rsidRDefault="007D47AB" w:rsidP="009D36DE">
      <w:pPr>
        <w:tabs>
          <w:tab w:val="left" w:pos="540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D36DE">
        <w:rPr>
          <w:rFonts w:ascii="Times New Roman" w:hAnsi="Times New Roman" w:cs="Times New Roman"/>
          <w:sz w:val="24"/>
        </w:rPr>
        <w:t xml:space="preserve">V Teplicích </w:t>
      </w:r>
      <w:proofErr w:type="spellStart"/>
      <w:r w:rsidR="009D36DE">
        <w:rPr>
          <w:rFonts w:ascii="Times New Roman" w:hAnsi="Times New Roman" w:cs="Times New Roman"/>
          <w:sz w:val="24"/>
        </w:rPr>
        <w:t>dne</w:t>
      </w:r>
      <w:proofErr w:type="spellEnd"/>
      <w:r w:rsidR="005D78AF">
        <w:rPr>
          <w:rFonts w:ascii="Times New Roman" w:hAnsi="Times New Roman" w:cs="Times New Roman"/>
          <w:sz w:val="24"/>
        </w:rPr>
        <w:t xml:space="preserve"> 31. 7. 2018</w:t>
      </w:r>
      <w:r w:rsidRPr="009D36DE">
        <w:rPr>
          <w:rFonts w:ascii="Times New Roman" w:hAnsi="Times New Roman" w:cs="Times New Roman"/>
          <w:sz w:val="24"/>
        </w:rPr>
        <w:t xml:space="preserve">                      </w:t>
      </w:r>
      <w:r w:rsidRPr="009D36DE">
        <w:rPr>
          <w:rFonts w:ascii="Times New Roman" w:hAnsi="Times New Roman" w:cs="Times New Roman"/>
          <w:sz w:val="24"/>
        </w:rPr>
        <w:tab/>
        <w:t xml:space="preserve">V Teplicích </w:t>
      </w:r>
      <w:proofErr w:type="spellStart"/>
      <w:r w:rsidR="009D36DE">
        <w:rPr>
          <w:rFonts w:ascii="Times New Roman" w:hAnsi="Times New Roman" w:cs="Times New Roman"/>
          <w:sz w:val="24"/>
        </w:rPr>
        <w:t>dne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r w:rsidR="005D78AF">
        <w:rPr>
          <w:rFonts w:ascii="Times New Roman" w:hAnsi="Times New Roman" w:cs="Times New Roman"/>
          <w:sz w:val="24"/>
        </w:rPr>
        <w:t>31. 7. 2018</w:t>
      </w:r>
      <w:r w:rsidRPr="009D36DE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A7317D" w:rsidRPr="009D36DE" w:rsidRDefault="007D47AB" w:rsidP="009D36DE">
      <w:pPr>
        <w:tabs>
          <w:tab w:val="left" w:pos="540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D36DE">
        <w:rPr>
          <w:rFonts w:ascii="Times New Roman" w:hAnsi="Times New Roman" w:cs="Times New Roman"/>
          <w:sz w:val="24"/>
        </w:rPr>
        <w:t>Za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pronajímatele</w:t>
      </w:r>
      <w:proofErr w:type="spellEnd"/>
      <w:r w:rsidRPr="009D36DE">
        <w:rPr>
          <w:rFonts w:ascii="Times New Roman" w:hAnsi="Times New Roman" w:cs="Times New Roman"/>
          <w:sz w:val="24"/>
        </w:rPr>
        <w:t>:</w:t>
      </w:r>
      <w:r w:rsidRPr="009D36DE">
        <w:rPr>
          <w:rFonts w:ascii="Times New Roman" w:hAnsi="Times New Roman" w:cs="Times New Roman"/>
          <w:sz w:val="24"/>
        </w:rPr>
        <w:tab/>
      </w:r>
      <w:proofErr w:type="spellStart"/>
      <w:r w:rsidRPr="009D36DE">
        <w:rPr>
          <w:rFonts w:ascii="Times New Roman" w:hAnsi="Times New Roman" w:cs="Times New Roman"/>
          <w:sz w:val="24"/>
        </w:rPr>
        <w:t>Za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nájemce</w:t>
      </w:r>
      <w:proofErr w:type="spellEnd"/>
      <w:r w:rsidRPr="009D36DE">
        <w:rPr>
          <w:rFonts w:ascii="Times New Roman" w:hAnsi="Times New Roman" w:cs="Times New Roman"/>
          <w:sz w:val="24"/>
        </w:rPr>
        <w:t>:</w:t>
      </w:r>
    </w:p>
    <w:p w:rsidR="00A7317D" w:rsidRDefault="00A7317D" w:rsidP="009D36DE">
      <w:pPr>
        <w:tabs>
          <w:tab w:val="left" w:pos="5400"/>
        </w:tabs>
        <w:spacing w:line="240" w:lineRule="auto"/>
        <w:jc w:val="both"/>
      </w:pPr>
      <w:bookmarkStart w:id="0" w:name="_GoBack"/>
      <w:bookmarkEnd w:id="0"/>
    </w:p>
    <w:p w:rsidR="009D36DE" w:rsidRDefault="009D36DE" w:rsidP="009D36DE">
      <w:pPr>
        <w:tabs>
          <w:tab w:val="left" w:pos="5400"/>
        </w:tabs>
        <w:spacing w:line="240" w:lineRule="auto"/>
        <w:jc w:val="both"/>
      </w:pPr>
    </w:p>
    <w:p w:rsidR="009D36DE" w:rsidRDefault="009D36DE" w:rsidP="009D36DE">
      <w:pPr>
        <w:tabs>
          <w:tab w:val="left" w:pos="5400"/>
        </w:tabs>
        <w:spacing w:line="240" w:lineRule="auto"/>
        <w:jc w:val="both"/>
      </w:pPr>
    </w:p>
    <w:p w:rsidR="00A7317D" w:rsidRPr="009D36DE" w:rsidRDefault="009D36DE" w:rsidP="009D36D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Bc. Hynek Hanza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224FC7" w:rsidRPr="009D36DE">
        <w:rPr>
          <w:rFonts w:ascii="Times New Roman" w:hAnsi="Times New Roman" w:cs="Times New Roman"/>
          <w:sz w:val="24"/>
        </w:rPr>
        <w:t>Mgr. Petr Čihák</w:t>
      </w:r>
    </w:p>
    <w:p w:rsidR="00A7317D" w:rsidRPr="009D36DE" w:rsidRDefault="007D47AB" w:rsidP="009D36DE">
      <w:pPr>
        <w:pStyle w:val="Odstavecseseznamem"/>
        <w:numPr>
          <w:ilvl w:val="1"/>
          <w:numId w:val="2"/>
        </w:numPr>
        <w:tabs>
          <w:tab w:val="clear" w:pos="720"/>
        </w:tabs>
        <w:spacing w:line="240" w:lineRule="auto"/>
        <w:ind w:left="284" w:right="420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D36DE">
        <w:rPr>
          <w:rFonts w:ascii="Times New Roman" w:hAnsi="Times New Roman" w:cs="Times New Roman"/>
          <w:sz w:val="24"/>
        </w:rPr>
        <w:t>náměstek</w:t>
      </w:r>
      <w:proofErr w:type="spellEnd"/>
      <w:r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36DE">
        <w:rPr>
          <w:rFonts w:ascii="Times New Roman" w:hAnsi="Times New Roman" w:cs="Times New Roman"/>
          <w:sz w:val="24"/>
        </w:rPr>
        <w:t>primátora</w:t>
      </w:r>
      <w:proofErr w:type="spellEnd"/>
      <w:r w:rsidRPr="009D36DE">
        <w:rPr>
          <w:rFonts w:ascii="Times New Roman" w:hAnsi="Times New Roman" w:cs="Times New Roman"/>
          <w:sz w:val="24"/>
        </w:rPr>
        <w:tab/>
      </w:r>
      <w:r w:rsidR="009D36DE">
        <w:rPr>
          <w:rFonts w:ascii="Times New Roman" w:hAnsi="Times New Roman" w:cs="Times New Roman"/>
          <w:sz w:val="24"/>
        </w:rPr>
        <w:tab/>
      </w:r>
      <w:r w:rsidR="009D36DE">
        <w:rPr>
          <w:rFonts w:ascii="Times New Roman" w:hAnsi="Times New Roman" w:cs="Times New Roman"/>
          <w:sz w:val="24"/>
        </w:rPr>
        <w:tab/>
      </w:r>
      <w:r w:rsidR="009D36DE">
        <w:rPr>
          <w:rFonts w:ascii="Times New Roman" w:hAnsi="Times New Roman" w:cs="Times New Roman"/>
          <w:sz w:val="24"/>
        </w:rPr>
        <w:tab/>
        <w:t xml:space="preserve">      </w:t>
      </w:r>
      <w:proofErr w:type="spellStart"/>
      <w:r w:rsidR="00224FC7" w:rsidRPr="009D36DE">
        <w:rPr>
          <w:rFonts w:ascii="Times New Roman" w:hAnsi="Times New Roman" w:cs="Times New Roman"/>
          <w:sz w:val="24"/>
        </w:rPr>
        <w:t>jednatel</w:t>
      </w:r>
      <w:proofErr w:type="spellEnd"/>
      <w:r w:rsidR="00224FC7" w:rsidRPr="009D36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4FC7" w:rsidRPr="009D36DE">
        <w:rPr>
          <w:rFonts w:ascii="Times New Roman" w:hAnsi="Times New Roman" w:cs="Times New Roman"/>
          <w:sz w:val="24"/>
        </w:rPr>
        <w:t>společnosti</w:t>
      </w:r>
      <w:proofErr w:type="spellEnd"/>
    </w:p>
    <w:p w:rsidR="00A7317D" w:rsidRDefault="00A7317D"/>
    <w:sectPr w:rsidR="00A7317D">
      <w:headerReference w:type="default" r:id="rId8"/>
      <w:footerReference w:type="default" r:id="rId9"/>
      <w:pgSz w:w="11906" w:h="16838"/>
      <w:pgMar w:top="1134" w:right="1134" w:bottom="1134" w:left="1134" w:header="708" w:footer="371" w:gutter="0"/>
      <w:cols w:space="708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67" w:rsidRDefault="007D47AB">
      <w:pPr>
        <w:spacing w:after="0" w:line="240" w:lineRule="auto"/>
      </w:pPr>
      <w:r>
        <w:separator/>
      </w:r>
    </w:p>
  </w:endnote>
  <w:endnote w:type="continuationSeparator" w:id="0">
    <w:p w:rsidR="00441167" w:rsidRDefault="007D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OpenSymbol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7D" w:rsidRDefault="007D47A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5D78AF">
      <w:rPr>
        <w:noProof/>
      </w:rPr>
      <w:t>3</w:t>
    </w:r>
    <w:r>
      <w:fldChar w:fldCharType="end"/>
    </w:r>
  </w:p>
  <w:p w:rsidR="00A7317D" w:rsidRDefault="00A731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67" w:rsidRDefault="007D47AB">
      <w:pPr>
        <w:spacing w:after="0" w:line="240" w:lineRule="auto"/>
      </w:pPr>
      <w:r>
        <w:separator/>
      </w:r>
    </w:p>
  </w:footnote>
  <w:footnote w:type="continuationSeparator" w:id="0">
    <w:p w:rsidR="00441167" w:rsidRDefault="007D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7D" w:rsidRDefault="007D47AB">
    <w:pPr>
      <w:pStyle w:val="Zhlav"/>
      <w:jc w:val="right"/>
    </w:pPr>
    <w:r>
      <w:rPr>
        <w:lang w:val="cs-CZ"/>
      </w:rPr>
      <w:t xml:space="preserve">Dohoda o narovnání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7120"/>
    <w:multiLevelType w:val="multilevel"/>
    <w:tmpl w:val="63E6E22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730"/>
        </w:tabs>
        <w:ind w:left="273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90"/>
        </w:tabs>
        <w:ind w:left="309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10"/>
        </w:tabs>
        <w:ind w:left="381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70"/>
        </w:tabs>
        <w:ind w:left="4170" w:hanging="360"/>
      </w:pPr>
      <w:rPr>
        <w:rFonts w:eastAsia="Times New Roman" w:cs="Times New Roman"/>
        <w:b/>
        <w:bCs/>
        <w:color w:val="00000A"/>
        <w:sz w:val="24"/>
        <w:szCs w:val="24"/>
      </w:rPr>
    </w:lvl>
  </w:abstractNum>
  <w:abstractNum w:abstractNumId="1">
    <w:nsid w:val="08EE421E"/>
    <w:multiLevelType w:val="multilevel"/>
    <w:tmpl w:val="8F30B3D4"/>
    <w:lvl w:ilvl="0">
      <w:start w:val="1"/>
      <w:numFmt w:val="bullet"/>
      <w:lvlText w:val="-"/>
      <w:lvlJc w:val="left"/>
      <w:pPr>
        <w:ind w:left="930" w:hanging="360"/>
      </w:pPr>
      <w:rPr>
        <w:rFonts w:ascii="Calibri" w:hAnsi="Calibri" w:cs="Tahom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507B11"/>
    <w:multiLevelType w:val="multilevel"/>
    <w:tmpl w:val="1C6C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3">
    <w:nsid w:val="1D737D7E"/>
    <w:multiLevelType w:val="hybridMultilevel"/>
    <w:tmpl w:val="097AD8DA"/>
    <w:lvl w:ilvl="0" w:tplc="A532F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F414C"/>
    <w:multiLevelType w:val="multilevel"/>
    <w:tmpl w:val="753E56B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0D46662"/>
    <w:multiLevelType w:val="multilevel"/>
    <w:tmpl w:val="046AD202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17D"/>
    <w:rsid w:val="00224FC7"/>
    <w:rsid w:val="003058CA"/>
    <w:rsid w:val="00441167"/>
    <w:rsid w:val="00480D75"/>
    <w:rsid w:val="005D78AF"/>
    <w:rsid w:val="00654D4E"/>
    <w:rsid w:val="006D4CED"/>
    <w:rsid w:val="007D47AB"/>
    <w:rsid w:val="00820B42"/>
    <w:rsid w:val="008B2546"/>
    <w:rsid w:val="00981AE9"/>
    <w:rsid w:val="009D36DE"/>
    <w:rsid w:val="00A7317D"/>
    <w:rsid w:val="00B07D51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120" w:after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adpis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4"/>
      <w:lang w:val="cs-CZ"/>
    </w:rPr>
  </w:style>
  <w:style w:type="character" w:customStyle="1" w:styleId="WW8Num4z1">
    <w:name w:val="WW8Num4z1"/>
    <w:qFormat/>
    <w:rPr>
      <w:rFonts w:ascii="OpenSymbol;MS Mincho" w:hAnsi="OpenSymbol;MS Mincho" w:cs="OpenSymbol;MS Mincho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7z0">
    <w:name w:val="WW8Num7z0"/>
    <w:qFormat/>
    <w:rPr>
      <w:rFonts w:ascii="Times New Roman" w:hAnsi="Times New Roman" w:cs="Times New Roman"/>
      <w:b/>
      <w:bCs/>
      <w:color w:val="FF000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;MS Mincho"/>
      <w:sz w:val="24"/>
    </w:rPr>
  </w:style>
  <w:style w:type="character" w:customStyle="1" w:styleId="WW8Num9z1">
    <w:name w:val="WW8Num9z1"/>
    <w:qFormat/>
    <w:rPr>
      <w:rFonts w:ascii="OpenSymbol;MS Mincho" w:hAnsi="OpenSymbol;MS Mincho" w:cs="OpenSymbol;MS Mincho"/>
      <w:sz w:val="20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WW8Num14z0">
    <w:name w:val="WW8Num14z0"/>
    <w:qFormat/>
    <w:rPr>
      <w:rFonts w:ascii="Times New Roman" w:hAnsi="Times New Roman" w:cs="Times New Roman"/>
      <w:b/>
      <w:bCs/>
      <w:sz w:val="24"/>
      <w:szCs w:val="24"/>
      <w:lang w:val="cs-CZ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  <w:sz w:val="24"/>
      <w:szCs w:val="24"/>
      <w:shd w:val="clear" w:color="auto" w:fill="FFFF00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19z0">
    <w:name w:val="WW8Num19z0"/>
    <w:qFormat/>
    <w:rPr>
      <w:rFonts w:ascii="Times New Roman" w:hAnsi="Times New Roman" w:cs="Times New Roman"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eastAsia="Segoe UI" w:hAnsi="Calibri" w:cs="Tahoma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OpenSymbol;MS Mincho" w:hAnsi="OpenSymbol;MS Mincho" w:cs="OpenSymbol;MS Mincho"/>
      <w:sz w:val="20"/>
    </w:rPr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Standardnpsmoodstavce1">
    <w:name w:val="Standardní písmo odstavce1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8Num4zfalse">
    <w:name w:val="WW8Num4zfalse"/>
    <w:qFormat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4ztrue">
    <w:name w:val="WW8Num4ztrue"/>
    <w:qFormat/>
    <w:rPr>
      <w:rFonts w:cs="Arial"/>
    </w:rPr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false">
    <w:name w:val="WW8Num8zfalse"/>
    <w:qFormat/>
  </w:style>
  <w:style w:type="character" w:customStyle="1" w:styleId="WW8Num8ztrue">
    <w:name w:val="WW8Num8ztrue"/>
    <w:qFormat/>
  </w:style>
  <w:style w:type="character" w:customStyle="1" w:styleId="WW8Num6z1">
    <w:name w:val="WW8Num6z1"/>
    <w:qFormat/>
    <w:rPr>
      <w:rFonts w:cs="Arial"/>
      <w:b w:val="0"/>
      <w:i w:val="0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  <w:rPr>
      <w:rFonts w:cs="Arial"/>
    </w:rPr>
  </w:style>
  <w:style w:type="character" w:customStyle="1" w:styleId="WW8Num9zfalse">
    <w:name w:val="WW8Num9zfalse"/>
    <w:qFormat/>
  </w:style>
  <w:style w:type="character" w:customStyle="1" w:styleId="WW8Num9ztrue">
    <w:name w:val="WW8Num9ztrue"/>
    <w:qFormat/>
  </w:style>
  <w:style w:type="character" w:customStyle="1" w:styleId="WW8Num7zfalse">
    <w:name w:val="WW8Num7zfalse"/>
    <w:qFormat/>
    <w:rPr>
      <w:rFonts w:cs="Arial"/>
    </w:rPr>
  </w:style>
  <w:style w:type="character" w:customStyle="1" w:styleId="WW8Num7ztrue">
    <w:name w:val="WW8Num7ztrue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Odrky">
    <w:name w:val="Odrážky"/>
    <w:qFormat/>
    <w:rPr>
      <w:rFonts w:ascii="OpenSymbol;MS Mincho" w:eastAsia="OpenSymbol;MS Mincho" w:hAnsi="OpenSymbol;MS Mincho" w:cs="OpenSymbol;MS Mincho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MS Mincho"/>
    </w:rPr>
  </w:style>
  <w:style w:type="character" w:customStyle="1" w:styleId="TextkomenteChar">
    <w:name w:val="Text komentáře Char"/>
    <w:qFormat/>
    <w:rPr>
      <w:rFonts w:ascii="Calibri" w:eastAsia="Segoe UI" w:hAnsi="Calibri" w:cs="Tahoma"/>
      <w:color w:val="000000"/>
      <w:sz w:val="20"/>
      <w:szCs w:val="20"/>
      <w:lang w:val="en-US" w:bidi="en-US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bublinyChar">
    <w:name w:val="Text bubliny Char"/>
    <w:qFormat/>
    <w:rPr>
      <w:rFonts w:ascii="Tahoma" w:eastAsia="Segoe UI" w:hAnsi="Tahoma" w:cs="Tahoma"/>
      <w:color w:val="000000"/>
      <w:sz w:val="16"/>
      <w:szCs w:val="16"/>
      <w:lang w:val="en-US" w:bidi="en-U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;MS Mincho"/>
    </w:rPr>
  </w:style>
  <w:style w:type="character" w:customStyle="1" w:styleId="Symbolyproslovn">
    <w:name w:val="Symboly pro číslování"/>
    <w:qFormat/>
    <w:rPr>
      <w:rFonts w:ascii="Times New Roman" w:hAnsi="Times New Roman" w:cs="Times New Roman"/>
      <w:sz w:val="24"/>
      <w:szCs w:val="24"/>
    </w:rPr>
  </w:style>
  <w:style w:type="character" w:customStyle="1" w:styleId="TextbublinyChar1">
    <w:name w:val="Text bubliny Char1"/>
    <w:qFormat/>
    <w:rPr>
      <w:rFonts w:ascii="Tahoma" w:eastAsia="Segoe UI" w:hAnsi="Tahoma" w:cs="Tahoma"/>
      <w:color w:val="000000"/>
      <w:kern w:val="2"/>
      <w:sz w:val="16"/>
      <w:szCs w:val="16"/>
      <w:lang w:val="en-US" w:bidi="en-U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Calibri" w:eastAsia="Segoe UI" w:hAnsi="Calibri" w:cs="Tahoma"/>
      <w:color w:val="000000"/>
      <w:kern w:val="2"/>
      <w:lang w:val="en-US" w:bidi="en-US"/>
    </w:rPr>
  </w:style>
  <w:style w:type="character" w:customStyle="1" w:styleId="PedmtkomenteChar">
    <w:name w:val="Předmět komentáře Char"/>
    <w:qFormat/>
    <w:rPr>
      <w:rFonts w:ascii="Calibri" w:eastAsia="Segoe UI" w:hAnsi="Calibri" w:cs="Tahoma"/>
      <w:b/>
      <w:bCs/>
      <w:color w:val="000000"/>
      <w:kern w:val="2"/>
      <w:lang w:val="en-US" w:bidi="en-US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2">
    <w:name w:val="Text komentáře Char2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rFonts w:ascii="Calibri" w:eastAsia="Segoe UI" w:hAnsi="Calibri" w:cs="Tahoma"/>
      <w:color w:val="000000"/>
      <w:kern w:val="2"/>
      <w:sz w:val="22"/>
      <w:szCs w:val="24"/>
      <w:lang w:val="en-US" w:eastAsia="zh-CN" w:bidi="en-US"/>
    </w:rPr>
  </w:style>
  <w:style w:type="character" w:customStyle="1" w:styleId="odkaznakoment20">
    <w:name w:val="odkaznakoment2"/>
    <w:qFormat/>
  </w:style>
  <w:style w:type="character" w:customStyle="1" w:styleId="TextkomenteChar3">
    <w:name w:val="Text komentáře Char3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ZpatChar">
    <w:name w:val="Zápatí Char"/>
    <w:qFormat/>
    <w:rPr>
      <w:rFonts w:ascii="Calibri" w:eastAsia="Segoe UI" w:hAnsi="Calibri" w:cs="Tahoma"/>
      <w:color w:val="000000"/>
      <w:kern w:val="2"/>
      <w:sz w:val="22"/>
      <w:szCs w:val="24"/>
      <w:lang w:val="cs-CZ" w:eastAsia="zh-CN" w:bidi="en-US"/>
    </w:rPr>
  </w:style>
  <w:style w:type="character" w:styleId="PsacstrojHTML">
    <w:name w:val="HTML Typewriter"/>
    <w:qFormat/>
    <w:rPr>
      <w:rFonts w:ascii="Courier New" w:eastAsia="Calibri" w:hAnsi="Courier New" w:cs="Courier New"/>
      <w:sz w:val="20"/>
      <w:szCs w:val="20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rFonts w:cs="Times New Roman"/>
      <w:sz w:val="24"/>
      <w:szCs w:val="24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sz w:val="24"/>
      <w:szCs w:val="24"/>
    </w:rPr>
  </w:style>
  <w:style w:type="character" w:customStyle="1" w:styleId="ListLabel14">
    <w:name w:val="ListLabel 14"/>
    <w:qFormat/>
    <w:rPr>
      <w:rFonts w:cs="Times New Roman"/>
      <w:sz w:val="24"/>
      <w:szCs w:val="24"/>
    </w:rPr>
  </w:style>
  <w:style w:type="character" w:customStyle="1" w:styleId="ListLabel15">
    <w:name w:val="ListLabel 15"/>
    <w:qFormat/>
    <w:rPr>
      <w:rFonts w:cs="Times New Roman"/>
      <w:sz w:val="24"/>
      <w:szCs w:val="24"/>
    </w:rPr>
  </w:style>
  <w:style w:type="character" w:customStyle="1" w:styleId="ListLabel16">
    <w:name w:val="ListLabel 16"/>
    <w:qFormat/>
    <w:rPr>
      <w:rFonts w:cs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9">
    <w:name w:val="ListLabel 19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0">
    <w:name w:val="ListLabel 2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1">
    <w:name w:val="ListLabel 21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2">
    <w:name w:val="ListLabel 22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3">
    <w:name w:val="ListLabel 23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4">
    <w:name w:val="ListLabel 24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5">
    <w:name w:val="ListLabel 25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ascii="Times New Roman" w:hAnsi="Times New Roman" w:cs="Tahoma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Mangal"/>
      <w:sz w:val="28"/>
      <w:szCs w:val="28"/>
    </w:rPr>
  </w:style>
  <w:style w:type="paragraph" w:styleId="Zkladntext">
    <w:name w:val="Body Text"/>
    <w:basedOn w:val="Normln"/>
    <w:pPr>
      <w:spacing w:before="120" w:after="0"/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">
    <w:name w:val="Body Text 2"/>
    <w:basedOn w:val="Normln"/>
    <w:qFormat/>
    <w:pPr>
      <w:spacing w:before="120" w:after="0"/>
      <w:jc w:val="both"/>
    </w:pPr>
    <w:rPr>
      <w:rFonts w:ascii="Arial" w:hAnsi="Arial" w:cs="Arial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cs-CZ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qFormat/>
    <w:rPr>
      <w:rFonts w:ascii="Calibri" w:eastAsia="Segoe UI" w:hAnsi="Calibri" w:cs="Tahoma"/>
      <w:color w:val="000000"/>
      <w:kern w:val="2"/>
      <w:sz w:val="22"/>
      <w:lang w:val="en-US" w:bidi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MgTP_x005f_x0000__x005f_x0000__x005f_x0000_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Sehnal Libor</dc:creator>
  <cp:lastModifiedBy>Číže Jakub</cp:lastModifiedBy>
  <cp:revision>11</cp:revision>
  <cp:lastPrinted>2018-07-18T09:51:00Z</cp:lastPrinted>
  <dcterms:created xsi:type="dcterms:W3CDTF">2018-07-11T13:34:00Z</dcterms:created>
  <dcterms:modified xsi:type="dcterms:W3CDTF">2018-08-23T09:11:00Z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MgTP_x005f_x0000__x005f_x0000__x005f_x0000_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