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D7" w:rsidRDefault="00CD53D7">
      <w:pPr>
        <w:rPr>
          <w:sz w:val="22"/>
          <w:szCs w:val="22"/>
        </w:rPr>
      </w:pPr>
    </w:p>
    <w:p w:rsidR="009E1515" w:rsidRPr="009E1515" w:rsidRDefault="009E151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Č.j. NG 2142/2016</w:t>
      </w:r>
    </w:p>
    <w:p w:rsidR="00CD53D7" w:rsidRDefault="00CD53D7">
      <w:pPr>
        <w:pStyle w:val="Zkladntext30"/>
        <w:framePr w:wrap="none" w:vAnchor="page" w:hAnchor="page" w:x="8688" w:y="319"/>
        <w:shd w:val="clear" w:color="auto" w:fill="auto"/>
        <w:tabs>
          <w:tab w:val="left" w:pos="2300"/>
        </w:tabs>
        <w:spacing w:line="380" w:lineRule="exact"/>
      </w:pPr>
    </w:p>
    <w:p w:rsidR="00CD53D7" w:rsidRDefault="00CD53D7">
      <w:pPr>
        <w:framePr w:wrap="none" w:vAnchor="page" w:hAnchor="page" w:x="750"/>
      </w:pPr>
    </w:p>
    <w:p w:rsidR="00CD53D7" w:rsidRDefault="00B63C3B">
      <w:pPr>
        <w:framePr w:wrap="none" w:vAnchor="page" w:hAnchor="page" w:x="2438" w:y="15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34.2pt">
            <v:imagedata r:id="rId7" r:href="rId8"/>
          </v:shape>
        </w:pict>
      </w:r>
      <w:r>
        <w:fldChar w:fldCharType="end"/>
      </w:r>
    </w:p>
    <w:p w:rsidR="00CD53D7" w:rsidRDefault="00B63C3B">
      <w:pPr>
        <w:pStyle w:val="Nadpis10"/>
        <w:framePr w:w="8791" w:h="895" w:hRule="exact" w:wrap="none" w:vAnchor="page" w:hAnchor="page" w:x="1488" w:y="2210"/>
        <w:shd w:val="clear" w:color="auto" w:fill="auto"/>
        <w:spacing w:after="151" w:line="460" w:lineRule="exact"/>
        <w:ind w:left="11"/>
      </w:pPr>
      <w:bookmarkStart w:id="0" w:name="bookmark0"/>
      <w:r>
        <w:rPr>
          <w:rStyle w:val="Nadpis11"/>
          <w:b/>
          <w:bCs/>
        </w:rPr>
        <w:t>Kooperativa</w:t>
      </w:r>
      <w:bookmarkEnd w:id="0"/>
    </w:p>
    <w:p w:rsidR="00CD53D7" w:rsidRDefault="00B63C3B">
      <w:pPr>
        <w:pStyle w:val="Nadpis420"/>
        <w:framePr w:w="8791" w:h="895" w:hRule="exact" w:wrap="none" w:vAnchor="page" w:hAnchor="page" w:x="1488" w:y="2210"/>
        <w:shd w:val="clear" w:color="auto" w:fill="auto"/>
        <w:spacing w:before="0" w:after="0" w:line="190" w:lineRule="exact"/>
        <w:ind w:left="11"/>
      </w:pPr>
      <w:bookmarkStart w:id="1" w:name="bookmark1"/>
      <w:r>
        <w:rPr>
          <w:lang w:val="en-US" w:eastAsia="en-US" w:bidi="en-US"/>
        </w:rPr>
        <w:t xml:space="preserve">VIENNA </w:t>
      </w:r>
      <w:r>
        <w:t>INSURANCE GROUP</w:t>
      </w:r>
      <w:bookmarkEnd w:id="1"/>
    </w:p>
    <w:p w:rsidR="00CD53D7" w:rsidRDefault="00B63C3B">
      <w:pPr>
        <w:pStyle w:val="Nadpis20"/>
        <w:framePr w:w="8791" w:h="3464" w:hRule="exact" w:wrap="none" w:vAnchor="page" w:hAnchor="page" w:x="1488" w:y="3831"/>
        <w:shd w:val="clear" w:color="auto" w:fill="auto"/>
        <w:spacing w:before="0" w:after="5" w:line="300" w:lineRule="exact"/>
      </w:pPr>
      <w:bookmarkStart w:id="2" w:name="bookmark2"/>
      <w:r>
        <w:t>Dodatek č. 2</w:t>
      </w:r>
      <w:bookmarkEnd w:id="2"/>
    </w:p>
    <w:p w:rsidR="00CD53D7" w:rsidRDefault="00B63C3B">
      <w:pPr>
        <w:pStyle w:val="Nadpis20"/>
        <w:framePr w:w="8791" w:h="3464" w:hRule="exact" w:wrap="none" w:vAnchor="page" w:hAnchor="page" w:x="1488" w:y="3831"/>
        <w:shd w:val="clear" w:color="auto" w:fill="auto"/>
        <w:spacing w:before="0" w:after="22" w:line="300" w:lineRule="exact"/>
      </w:pPr>
      <w:bookmarkStart w:id="3" w:name="bookmark3"/>
      <w:r>
        <w:t xml:space="preserve">k pojistné </w:t>
      </w:r>
      <w:r>
        <w:t>smlouvě č. 7720966495</w:t>
      </w:r>
      <w:bookmarkEnd w:id="3"/>
    </w:p>
    <w:p w:rsidR="00CD53D7" w:rsidRDefault="00B63C3B">
      <w:pPr>
        <w:pStyle w:val="Nadpis40"/>
        <w:framePr w:w="8791" w:h="3464" w:hRule="exact" w:wrap="none" w:vAnchor="page" w:hAnchor="page" w:x="1488" w:y="3831"/>
        <w:shd w:val="clear" w:color="auto" w:fill="auto"/>
        <w:spacing w:before="0" w:after="321" w:line="220" w:lineRule="exact"/>
      </w:pPr>
      <w:bookmarkStart w:id="4" w:name="bookmark4"/>
      <w:r>
        <w:t>Úsek pojištění hospodářských rizik</w:t>
      </w:r>
      <w:bookmarkEnd w:id="4"/>
    </w:p>
    <w:p w:rsidR="00CD53D7" w:rsidRDefault="00B63C3B">
      <w:pPr>
        <w:pStyle w:val="Nadpis20"/>
        <w:framePr w:w="8791" w:h="3464" w:hRule="exact" w:wrap="none" w:vAnchor="page" w:hAnchor="page" w:x="1488" w:y="3831"/>
        <w:shd w:val="clear" w:color="auto" w:fill="auto"/>
        <w:spacing w:before="0" w:after="0" w:line="300" w:lineRule="exact"/>
      </w:pPr>
      <w:bookmarkStart w:id="5" w:name="bookmark5"/>
      <w:r>
        <w:t>Kooperativa pojišťovna, a.s., Vienna Insurance Group</w:t>
      </w:r>
      <w:bookmarkEnd w:id="5"/>
    </w:p>
    <w:p w:rsidR="00387098" w:rsidRDefault="00B63C3B">
      <w:pPr>
        <w:pStyle w:val="Nadpis40"/>
        <w:framePr w:w="8791" w:h="3464" w:hRule="exact" w:wrap="none" w:vAnchor="page" w:hAnchor="page" w:x="1488" w:y="3831"/>
        <w:shd w:val="clear" w:color="auto" w:fill="auto"/>
        <w:spacing w:before="0" w:after="0" w:line="292" w:lineRule="exact"/>
      </w:pPr>
      <w:bookmarkStart w:id="6" w:name="bookmark6"/>
      <w:r>
        <w:t xml:space="preserve">se sídlem Praha 8, Pobřežní 665/21, PSČ 186 00, Česká republika </w:t>
      </w:r>
    </w:p>
    <w:p w:rsidR="00CD53D7" w:rsidRDefault="00B63C3B">
      <w:pPr>
        <w:pStyle w:val="Nadpis40"/>
        <w:framePr w:w="8791" w:h="3464" w:hRule="exact" w:wrap="none" w:vAnchor="page" w:hAnchor="page" w:x="1488" w:y="3831"/>
        <w:shd w:val="clear" w:color="auto" w:fill="auto"/>
        <w:spacing w:before="0" w:after="0" w:line="292" w:lineRule="exact"/>
      </w:pPr>
      <w:r>
        <w:t>IČO: 47116617</w:t>
      </w:r>
      <w:bookmarkEnd w:id="6"/>
    </w:p>
    <w:p w:rsidR="00387098" w:rsidRDefault="00B63C3B">
      <w:pPr>
        <w:pStyle w:val="Zkladntext40"/>
        <w:framePr w:w="8791" w:h="3464" w:hRule="exact" w:wrap="none" w:vAnchor="page" w:hAnchor="page" w:x="1488" w:y="3831"/>
        <w:shd w:val="clear" w:color="auto" w:fill="auto"/>
        <w:ind w:firstLine="0"/>
      </w:pPr>
      <w:r>
        <w:t xml:space="preserve">zapsaná v obchodním rejstříku u Městského soudu v Praze, sp. zn. B 1897 </w:t>
      </w:r>
    </w:p>
    <w:p w:rsidR="00CD53D7" w:rsidRDefault="00B63C3B">
      <w:pPr>
        <w:pStyle w:val="Zkladntext40"/>
        <w:framePr w:w="8791" w:h="3464" w:hRule="exact" w:wrap="none" w:vAnchor="page" w:hAnchor="page" w:x="1488" w:y="3831"/>
        <w:shd w:val="clear" w:color="auto" w:fill="auto"/>
        <w:ind w:firstLine="0"/>
      </w:pPr>
      <w:r>
        <w:t>(dá</w:t>
      </w:r>
      <w:r w:rsidR="004F7FE9">
        <w:t>l</w:t>
      </w:r>
      <w:r>
        <w:t xml:space="preserve">e jen </w:t>
      </w:r>
      <w:r>
        <w:rPr>
          <w:rStyle w:val="Zkladntext4BookAntiquaTun"/>
        </w:rPr>
        <w:t>„vedoucí pojistitel"),</w:t>
      </w:r>
    </w:p>
    <w:p w:rsidR="00CD53D7" w:rsidRDefault="00B63C3B">
      <w:pPr>
        <w:pStyle w:val="Zkladntext40"/>
        <w:framePr w:w="8791" w:h="3464" w:hRule="exact" w:wrap="none" w:vAnchor="page" w:hAnchor="page" w:x="1488" w:y="3831"/>
        <w:shd w:val="clear" w:color="auto" w:fill="auto"/>
        <w:ind w:firstLine="0"/>
      </w:pPr>
      <w:r>
        <w:t>zastoupený na základě zmocnění níže podepsaným</w:t>
      </w:r>
      <w:r w:rsidR="004F7FE9">
        <w:t>i</w:t>
      </w:r>
      <w:r>
        <w:t xml:space="preserve"> osobami</w:t>
      </w:r>
    </w:p>
    <w:p w:rsidR="00387098" w:rsidRDefault="00B63C3B">
      <w:pPr>
        <w:pStyle w:val="Zkladntext40"/>
        <w:framePr w:w="8791" w:h="3464" w:hRule="exact" w:wrap="none" w:vAnchor="page" w:hAnchor="page" w:x="1488" w:y="3831"/>
        <w:shd w:val="clear" w:color="auto" w:fill="auto"/>
        <w:ind w:firstLine="0"/>
      </w:pPr>
      <w:r>
        <w:t xml:space="preserve">Pracoviště: Kooperativa pojišťovna, a.s., Vienna Insurance Group Pobřežní 665/21, PSČ 186 00 </w:t>
      </w:r>
    </w:p>
    <w:p w:rsidR="00CD53D7" w:rsidRDefault="00B63C3B">
      <w:pPr>
        <w:pStyle w:val="Nadpis2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bookmarkStart w:id="7" w:name="bookmark7"/>
      <w:r>
        <w:t>UNIQA pojišťovna, a.s.</w:t>
      </w:r>
      <w:bookmarkEnd w:id="7"/>
    </w:p>
    <w:p w:rsidR="00387098" w:rsidRDefault="00B63C3B">
      <w:pPr>
        <w:pStyle w:val="Nadpis4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bookmarkStart w:id="8" w:name="bookmark8"/>
      <w:r>
        <w:t xml:space="preserve">se sídlem v Praze 6, Evropská 136/810, PSČ: 160 12, Česká republika </w:t>
      </w:r>
    </w:p>
    <w:p w:rsidR="00CD53D7" w:rsidRDefault="00B63C3B">
      <w:pPr>
        <w:pStyle w:val="Nadpis4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r>
        <w:t>IČO: 492 40 480</w:t>
      </w:r>
      <w:bookmarkEnd w:id="8"/>
    </w:p>
    <w:p w:rsidR="00387098" w:rsidRDefault="00B63C3B" w:rsidP="00387098">
      <w:pPr>
        <w:pStyle w:val="Zkladntext40"/>
        <w:framePr w:w="8791" w:h="4169" w:hRule="exact" w:wrap="none" w:vAnchor="page" w:hAnchor="page" w:x="1488" w:y="8068"/>
        <w:shd w:val="clear" w:color="auto" w:fill="auto"/>
        <w:spacing w:line="240" w:lineRule="auto"/>
        <w:ind w:firstLine="0"/>
      </w:pPr>
      <w:r>
        <w:t xml:space="preserve">zapsaná v obchodním rejstříku u Městského soudu v Praze, sp. zn. B 2012 </w:t>
      </w:r>
    </w:p>
    <w:p w:rsidR="00CD53D7" w:rsidRDefault="00B63C3B" w:rsidP="00387098">
      <w:pPr>
        <w:pStyle w:val="Zkladntext40"/>
        <w:framePr w:w="8791" w:h="4169" w:hRule="exact" w:wrap="none" w:vAnchor="page" w:hAnchor="page" w:x="1488" w:y="8068"/>
        <w:shd w:val="clear" w:color="auto" w:fill="auto"/>
        <w:spacing w:line="240" w:lineRule="auto"/>
        <w:ind w:firstLine="0"/>
      </w:pPr>
      <w:r>
        <w:t xml:space="preserve">(dále jen </w:t>
      </w:r>
      <w:r>
        <w:rPr>
          <w:rStyle w:val="Zkladntext4BookAntiquaTun"/>
        </w:rPr>
        <w:t>„pojistitel")</w:t>
      </w:r>
    </w:p>
    <w:p w:rsidR="004F7FE9" w:rsidRDefault="004F7FE9">
      <w:pPr>
        <w:pStyle w:val="Zkladntext40"/>
        <w:framePr w:w="8791" w:h="4169" w:hRule="exact" w:wrap="none" w:vAnchor="page" w:hAnchor="page" w:x="1488" w:y="8068"/>
        <w:shd w:val="clear" w:color="auto" w:fill="auto"/>
        <w:spacing w:after="327" w:line="190" w:lineRule="exact"/>
        <w:ind w:firstLine="0"/>
      </w:pPr>
    </w:p>
    <w:p w:rsidR="00CD53D7" w:rsidRDefault="00B63C3B">
      <w:pPr>
        <w:pStyle w:val="Zkladntext40"/>
        <w:framePr w:w="8791" w:h="4169" w:hRule="exact" w:wrap="none" w:vAnchor="page" w:hAnchor="page" w:x="1488" w:y="8068"/>
        <w:shd w:val="clear" w:color="auto" w:fill="auto"/>
        <w:spacing w:after="327" w:line="190" w:lineRule="exact"/>
        <w:ind w:firstLine="0"/>
      </w:pPr>
      <w:r>
        <w:t>a</w:t>
      </w:r>
    </w:p>
    <w:p w:rsidR="00CD53D7" w:rsidRDefault="00B63C3B">
      <w:pPr>
        <w:pStyle w:val="Nadpis2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bookmarkStart w:id="9" w:name="bookmark9"/>
      <w:r>
        <w:t xml:space="preserve">Národní galerie v </w:t>
      </w:r>
      <w:r>
        <w:t>Praze</w:t>
      </w:r>
      <w:bookmarkEnd w:id="9"/>
    </w:p>
    <w:p w:rsidR="004F7FE9" w:rsidRDefault="00B63C3B">
      <w:pPr>
        <w:pStyle w:val="Nadpis4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bookmarkStart w:id="10" w:name="bookmark10"/>
      <w:r>
        <w:t xml:space="preserve">se sídlem v Praze 1, Staroměstské náměstí 12, PSČ 110 00, Česká republika </w:t>
      </w:r>
    </w:p>
    <w:p w:rsidR="00CD53D7" w:rsidRDefault="00B63C3B">
      <w:pPr>
        <w:pStyle w:val="Nadpis40"/>
        <w:framePr w:w="8791" w:h="4169" w:hRule="exact" w:wrap="none" w:vAnchor="page" w:hAnchor="page" w:x="1488" w:y="8068"/>
        <w:shd w:val="clear" w:color="auto" w:fill="auto"/>
        <w:spacing w:before="0" w:after="0" w:line="295" w:lineRule="exact"/>
      </w:pPr>
      <w:r>
        <w:t>IČO: 000 23 281</w:t>
      </w:r>
      <w:bookmarkEnd w:id="10"/>
    </w:p>
    <w:p w:rsidR="00CD53D7" w:rsidRDefault="00B63C3B">
      <w:pPr>
        <w:pStyle w:val="Zkladntext50"/>
        <w:framePr w:w="8791" w:h="4169" w:hRule="exact" w:wrap="none" w:vAnchor="page" w:hAnchor="page" w:x="1488" w:y="8068"/>
        <w:shd w:val="clear" w:color="auto" w:fill="auto"/>
        <w:spacing w:after="25" w:line="190" w:lineRule="exact"/>
      </w:pPr>
      <w:r>
        <w:rPr>
          <w:rStyle w:val="Zkladntext5SegoeUINetun"/>
        </w:rPr>
        <w:t xml:space="preserve">(dále jen </w:t>
      </w:r>
      <w:r>
        <w:t>„pojistník")</w:t>
      </w:r>
    </w:p>
    <w:p w:rsidR="00CD53D7" w:rsidRDefault="00B63C3B">
      <w:pPr>
        <w:pStyle w:val="Zkladntext40"/>
        <w:framePr w:w="8791" w:h="4169" w:hRule="exact" w:wrap="none" w:vAnchor="page" w:hAnchor="page" w:x="1488" w:y="8068"/>
        <w:shd w:val="clear" w:color="auto" w:fill="auto"/>
        <w:spacing w:after="208" w:line="190" w:lineRule="exact"/>
        <w:ind w:firstLine="0"/>
      </w:pPr>
      <w:r>
        <w:t>zastoupená Generálním ředitelem, Doc. Dr. et. Ing. Jiřím Fajtem, Ph.D.,</w:t>
      </w:r>
    </w:p>
    <w:p w:rsidR="00CD53D7" w:rsidRDefault="00B63C3B">
      <w:pPr>
        <w:pStyle w:val="Zkladntext40"/>
        <w:framePr w:w="8791" w:h="4169" w:hRule="exact" w:wrap="none" w:vAnchor="page" w:hAnchor="page" w:x="1488" w:y="8068"/>
        <w:shd w:val="clear" w:color="auto" w:fill="auto"/>
        <w:spacing w:line="190" w:lineRule="exact"/>
        <w:ind w:firstLine="0"/>
      </w:pPr>
      <w:r>
        <w:t xml:space="preserve">Korespondenční adresa pojistníka je totožná s výše uvedenou </w:t>
      </w:r>
      <w:r>
        <w:t>adresou pojistníka.</w:t>
      </w:r>
    </w:p>
    <w:p w:rsidR="00CD53D7" w:rsidRDefault="00B63C3B">
      <w:pPr>
        <w:pStyle w:val="Zkladntext40"/>
        <w:framePr w:w="8791" w:h="1211" w:hRule="exact" w:wrap="none" w:vAnchor="page" w:hAnchor="page" w:x="1488" w:y="12701"/>
        <w:shd w:val="clear" w:color="auto" w:fill="auto"/>
        <w:spacing w:after="175" w:line="190" w:lineRule="exact"/>
        <w:ind w:firstLine="0"/>
      </w:pPr>
      <w:r>
        <w:t>uzavírají</w:t>
      </w:r>
    </w:p>
    <w:p w:rsidR="00CD53D7" w:rsidRDefault="00B63C3B">
      <w:pPr>
        <w:pStyle w:val="Zkladntext40"/>
        <w:framePr w:w="8791" w:h="1211" w:hRule="exact" w:wrap="none" w:vAnchor="page" w:hAnchor="page" w:x="1488" w:y="12701"/>
        <w:shd w:val="clear" w:color="auto" w:fill="auto"/>
        <w:ind w:firstLine="0"/>
      </w:pPr>
      <w:r>
        <w:t>ve smyslu zákona č. 89/2012 Sb., občanského zákoníku, tento dodatek, který spolu s výše uvedenou pojistnou smlouvou, pojistnými podmínkami pojistitele a přílohami, na které se pojistná smlouva (ve znění tohoto dodatku) odvoláv</w:t>
      </w:r>
      <w:r>
        <w:t>á, tvoří nedílný celek.</w:t>
      </w:r>
    </w:p>
    <w:p w:rsidR="00CD53D7" w:rsidRDefault="00CD53D7">
      <w:pPr>
        <w:rPr>
          <w:sz w:val="2"/>
          <w:szCs w:val="2"/>
        </w:rPr>
        <w:sectPr w:rsidR="00CD5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3D7" w:rsidRDefault="00B63C3B">
      <w:pPr>
        <w:pStyle w:val="Zkladntext40"/>
        <w:framePr w:w="9126" w:h="10792" w:hRule="exact" w:wrap="none" w:vAnchor="page" w:hAnchor="page" w:x="1470" w:y="1572"/>
        <w:shd w:val="clear" w:color="auto" w:fill="auto"/>
        <w:spacing w:line="238" w:lineRule="exact"/>
        <w:ind w:firstLine="0"/>
        <w:jc w:val="both"/>
      </w:pPr>
      <w:r>
        <w:lastRenderedPageBreak/>
        <w:t>S účinností od 14. 5. 2016 se výše uvedená pojistná smlouva (včetně výše uvedených údajů o výše uvedených subjektech) mění takto *:</w:t>
      </w:r>
    </w:p>
    <w:p w:rsidR="00CD53D7" w:rsidRDefault="00B63C3B">
      <w:pPr>
        <w:pStyle w:val="Zkladntext60"/>
        <w:framePr w:w="9126" w:h="10792" w:hRule="exact" w:wrap="none" w:vAnchor="page" w:hAnchor="page" w:x="1470" w:y="1572"/>
        <w:shd w:val="clear" w:color="auto" w:fill="auto"/>
        <w:spacing w:after="209"/>
        <w:ind w:left="160"/>
      </w:pPr>
      <w:r>
        <w:t>pokud se v tomto novém znění používá pojem „tento dodatek", považuje se za n</w:t>
      </w:r>
      <w:r>
        <w:t>ěj tento dodatek</w:t>
      </w:r>
    </w:p>
    <w:p w:rsidR="00CD53D7" w:rsidRDefault="00B63C3B">
      <w:pPr>
        <w:pStyle w:val="Zkladntext40"/>
        <w:framePr w:w="9126" w:h="10792" w:hRule="exact" w:wrap="none" w:vAnchor="page" w:hAnchor="page" w:x="1470" w:y="1572"/>
        <w:numPr>
          <w:ilvl w:val="0"/>
          <w:numId w:val="1"/>
        </w:numPr>
        <w:shd w:val="clear" w:color="auto" w:fill="auto"/>
        <w:tabs>
          <w:tab w:val="left" w:pos="428"/>
        </w:tabs>
        <w:spacing w:after="310" w:line="277" w:lineRule="exact"/>
        <w:ind w:left="480"/>
        <w:jc w:val="both"/>
      </w:pPr>
      <w:r>
        <w:t>Pojistní</w:t>
      </w:r>
      <w:r w:rsidR="00387098">
        <w:t>k informoval vedoucího pojistitel</w:t>
      </w:r>
      <w:r>
        <w:t>e a pojistitele (dále jen „pojistitelé") o snížení pojistné částky pro pojištění exponátů během výstavy a pojistné částky pro pojištění exponátů během dopravy a o zvýšení pojistné částky pro pojiště</w:t>
      </w:r>
      <w:r>
        <w:t>ní terorismu během výstavy.</w:t>
      </w:r>
    </w:p>
    <w:p w:rsidR="00CD53D7" w:rsidRDefault="00B63C3B">
      <w:pPr>
        <w:pStyle w:val="Zkladntext40"/>
        <w:framePr w:w="9126" w:h="10792" w:hRule="exact" w:wrap="none" w:vAnchor="page" w:hAnchor="page" w:x="1470" w:y="1572"/>
        <w:shd w:val="clear" w:color="auto" w:fill="auto"/>
        <w:spacing w:after="205" w:line="190" w:lineRule="exact"/>
        <w:ind w:left="900" w:hanging="420"/>
      </w:pPr>
      <w:r>
        <w:t>Článek II. (Druhy a způsoby pojištění, předměty a rozsah pojištění), bod 2. nově zní:</w:t>
      </w:r>
    </w:p>
    <w:p w:rsidR="00CD53D7" w:rsidRDefault="00B63C3B">
      <w:pPr>
        <w:pStyle w:val="Zkladntext70"/>
        <w:framePr w:w="9126" w:h="10792" w:hRule="exact" w:wrap="none" w:vAnchor="page" w:hAnchor="page" w:x="1470" w:y="1572"/>
        <w:shd w:val="clear" w:color="auto" w:fill="auto"/>
        <w:spacing w:before="0" w:after="0" w:line="190" w:lineRule="exact"/>
        <w:ind w:left="900"/>
      </w:pPr>
      <w:r>
        <w:t>„2. Přehled sjednaných pojištění</w:t>
      </w:r>
    </w:p>
    <w:p w:rsidR="00CD53D7" w:rsidRDefault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900" w:right="6860" w:firstLine="0"/>
      </w:pPr>
      <w:r>
        <w:t>(*) zvolené o</w:t>
      </w:r>
      <w:r w:rsidR="00B63C3B">
        <w:t xml:space="preserve">značte Sjednává se </w:t>
      </w:r>
      <w:r w:rsidR="00B63C3B">
        <w:rPr>
          <w:vertAlign w:val="superscript"/>
        </w:rPr>
        <w:t>(</w:t>
      </w:r>
      <w:r w:rsidR="00B63C3B">
        <w:t>*</w:t>
      </w:r>
      <w:r w:rsidR="00B63C3B">
        <w:rPr>
          <w:vertAlign w:val="superscript"/>
        </w:rPr>
        <w:t>}</w:t>
      </w:r>
      <w:r w:rsidR="00B63C3B">
        <w:t>:</w:t>
      </w:r>
    </w:p>
    <w:p w:rsidR="00387098" w:rsidRDefault="00B63C3B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0" w:right="2660" w:hanging="260"/>
      </w:pPr>
      <w:r>
        <w:rPr>
          <w:rStyle w:val="Zkladntext2Nekurzva0"/>
        </w:rPr>
        <w:t xml:space="preserve"> </w:t>
      </w:r>
      <w:r>
        <w:t>pojištění exponátů během výstavy dle čl. 2 odst. 1) SU 531/1</w:t>
      </w:r>
      <w:r>
        <w:rPr>
          <w:rStyle w:val="Zkladntext2Nekurzva0"/>
        </w:rPr>
        <w:t xml:space="preserve">4 </w:t>
      </w:r>
      <w:r>
        <w:rPr>
          <w:rStyle w:val="Zkladntext2Tun"/>
          <w:i/>
          <w:iCs/>
        </w:rPr>
        <w:t xml:space="preserve">Pojistná částka: </w:t>
      </w:r>
      <w:r>
        <w:t>4.</w:t>
      </w:r>
      <w:r>
        <w:rPr>
          <w:rStyle w:val="Zkladntext2Nekurzva0"/>
        </w:rPr>
        <w:t>043.7</w:t>
      </w:r>
      <w:r>
        <w:t xml:space="preserve">37.978,- Kč </w:t>
      </w:r>
    </w:p>
    <w:p w:rsidR="00CD53D7" w:rsidRDefault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0" w:right="2660" w:hanging="260"/>
      </w:pPr>
      <w:r>
        <w:t xml:space="preserve">     </w:t>
      </w:r>
      <w:r w:rsidR="00B63C3B">
        <w:rPr>
          <w:rStyle w:val="Zkladntext2Tun"/>
          <w:i/>
          <w:iCs/>
        </w:rPr>
        <w:t xml:space="preserve">Spoluúčast: </w:t>
      </w:r>
      <w:r w:rsidR="00B63C3B">
        <w:t>0,- Kč</w:t>
      </w:r>
    </w:p>
    <w:p w:rsidR="00387098" w:rsidRDefault="00387098" w:rsidP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1" w:right="2659" w:hanging="261"/>
      </w:pPr>
      <w:r>
        <w:rPr>
          <w:rStyle w:val="Zkladntext2Nekurzva0"/>
        </w:rPr>
        <w:t xml:space="preserve"> </w:t>
      </w:r>
      <w:r w:rsidR="00B63C3B">
        <w:t>pojištění exponátů během dopravy dle čl. 2 odst. 2) SU 531/1</w:t>
      </w:r>
      <w:r w:rsidR="00B63C3B">
        <w:rPr>
          <w:rStyle w:val="Zkladntext2Nekurzva0"/>
        </w:rPr>
        <w:t xml:space="preserve">4 </w:t>
      </w:r>
      <w:r w:rsidR="00B63C3B">
        <w:rPr>
          <w:rStyle w:val="Zkladntext2Tun"/>
          <w:i/>
          <w:iCs/>
        </w:rPr>
        <w:t xml:space="preserve">Pojistná částka: </w:t>
      </w:r>
      <w:r w:rsidR="00B63C3B">
        <w:t>4.043.737.978,- Kč</w:t>
      </w:r>
    </w:p>
    <w:p w:rsidR="00CD53D7" w:rsidRDefault="00387098" w:rsidP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1" w:right="2659" w:hanging="261"/>
      </w:pPr>
      <w:r>
        <w:t xml:space="preserve">    </w:t>
      </w:r>
      <w:r w:rsidR="00B63C3B">
        <w:t xml:space="preserve"> </w:t>
      </w:r>
      <w:r w:rsidR="00B63C3B">
        <w:rPr>
          <w:rStyle w:val="Zkladntext2Tun"/>
          <w:i/>
          <w:iCs/>
        </w:rPr>
        <w:t xml:space="preserve">Spoluúčast: </w:t>
      </w:r>
      <w:r w:rsidR="00B63C3B">
        <w:t>0,- Kč</w:t>
      </w:r>
    </w:p>
    <w:p w:rsidR="00387098" w:rsidRDefault="00B63C3B" w:rsidP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1" w:right="981" w:hanging="261"/>
      </w:pPr>
      <w:r>
        <w:t>pojištění terorismu během výstavy dle Smluvního ujednání pro pojištění terorism</w:t>
      </w:r>
      <w:r>
        <w:t xml:space="preserve">u </w:t>
      </w:r>
      <w:r>
        <w:rPr>
          <w:rStyle w:val="Zkladntext2Tun"/>
          <w:i/>
          <w:iCs/>
        </w:rPr>
        <w:t xml:space="preserve">Pojistná částka: </w:t>
      </w:r>
      <w:r>
        <w:t xml:space="preserve">349.009.500,- Kč </w:t>
      </w:r>
    </w:p>
    <w:p w:rsidR="00CD53D7" w:rsidRDefault="00387098" w:rsidP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1" w:right="981" w:hanging="261"/>
      </w:pPr>
      <w:r>
        <w:rPr>
          <w:rStyle w:val="Zkladntext2Tun"/>
          <w:i/>
          <w:iCs/>
        </w:rPr>
        <w:t xml:space="preserve">     </w:t>
      </w:r>
      <w:r w:rsidR="00B63C3B">
        <w:rPr>
          <w:rStyle w:val="Zkladntext2Tun"/>
          <w:i/>
          <w:iCs/>
        </w:rPr>
        <w:t xml:space="preserve">Spoluúčast: </w:t>
      </w:r>
      <w:r w:rsidR="00B63C3B">
        <w:t>0,- Kč"</w:t>
      </w:r>
    </w:p>
    <w:p w:rsidR="00387098" w:rsidRDefault="00387098" w:rsidP="00387098">
      <w:pPr>
        <w:pStyle w:val="Zkladntext20"/>
        <w:framePr w:w="9126" w:h="10792" w:hRule="exact" w:wrap="none" w:vAnchor="page" w:hAnchor="page" w:x="1470" w:y="1572"/>
        <w:shd w:val="clear" w:color="auto" w:fill="auto"/>
        <w:spacing w:before="0"/>
        <w:ind w:left="1321" w:right="981" w:hanging="261"/>
      </w:pPr>
    </w:p>
    <w:p w:rsidR="00CD53D7" w:rsidRDefault="00B63C3B">
      <w:pPr>
        <w:pStyle w:val="Zkladntext40"/>
        <w:framePr w:w="9126" w:h="10792" w:hRule="exact" w:wrap="none" w:vAnchor="page" w:hAnchor="page" w:x="1470" w:y="1572"/>
        <w:numPr>
          <w:ilvl w:val="0"/>
          <w:numId w:val="1"/>
        </w:numPr>
        <w:shd w:val="clear" w:color="auto" w:fill="auto"/>
        <w:tabs>
          <w:tab w:val="left" w:pos="428"/>
        </w:tabs>
        <w:spacing w:after="307" w:line="274" w:lineRule="exact"/>
        <w:ind w:left="480"/>
        <w:jc w:val="both"/>
      </w:pPr>
      <w:r>
        <w:t xml:space="preserve">Smluvní strany se dohodly na změně podmínek zabezpečení exponátů během pobytu (snížení úrovně podmínek zabezpečení). Vzhledem k této skutečnosti se ujednává příplatek pojistného (po zohlednění úprav </w:t>
      </w:r>
      <w:r>
        <w:t>ve smyslu bodu A. tohoto dodatku) ve výši 20 %.</w:t>
      </w:r>
    </w:p>
    <w:p w:rsidR="00CD53D7" w:rsidRDefault="00B63C3B">
      <w:pPr>
        <w:pStyle w:val="Zkladntext40"/>
        <w:framePr w:w="9126" w:h="10792" w:hRule="exact" w:wrap="none" w:vAnchor="page" w:hAnchor="page" w:x="1470" w:y="1572"/>
        <w:numPr>
          <w:ilvl w:val="0"/>
          <w:numId w:val="1"/>
        </w:numPr>
        <w:shd w:val="clear" w:color="auto" w:fill="auto"/>
        <w:tabs>
          <w:tab w:val="left" w:pos="428"/>
        </w:tabs>
        <w:spacing w:after="242" w:line="190" w:lineRule="exact"/>
        <w:ind w:left="480"/>
        <w:jc w:val="both"/>
      </w:pPr>
      <w:r>
        <w:t>Článek III. (Výše a způsob placení pojistného) nově zní:</w:t>
      </w:r>
    </w:p>
    <w:p w:rsidR="00CD53D7" w:rsidRDefault="00B63C3B">
      <w:pPr>
        <w:pStyle w:val="Nadpis30"/>
        <w:framePr w:w="9126" w:h="10792" w:hRule="exact" w:wrap="none" w:vAnchor="page" w:hAnchor="page" w:x="1470" w:y="1572"/>
        <w:shd w:val="clear" w:color="auto" w:fill="auto"/>
        <w:spacing w:before="0" w:after="20" w:line="220" w:lineRule="exact"/>
        <w:ind w:right="420"/>
      </w:pPr>
      <w:bookmarkStart w:id="11" w:name="bookmark11"/>
      <w:r>
        <w:t>„Článek III.</w:t>
      </w:r>
      <w:bookmarkEnd w:id="11"/>
    </w:p>
    <w:p w:rsidR="00CD53D7" w:rsidRDefault="00B63C3B">
      <w:pPr>
        <w:pStyle w:val="Nadpis30"/>
        <w:framePr w:w="9126" w:h="10792" w:hRule="exact" w:wrap="none" w:vAnchor="page" w:hAnchor="page" w:x="1470" w:y="1572"/>
        <w:shd w:val="clear" w:color="auto" w:fill="auto"/>
        <w:spacing w:before="0" w:after="164" w:line="220" w:lineRule="exact"/>
        <w:ind w:right="420"/>
      </w:pPr>
      <w:bookmarkStart w:id="12" w:name="bookmark12"/>
      <w:r>
        <w:t>Výše a způsob placení pojistného</w:t>
      </w:r>
      <w:bookmarkEnd w:id="12"/>
    </w:p>
    <w:p w:rsidR="00CD53D7" w:rsidRDefault="00B63C3B">
      <w:pPr>
        <w:pStyle w:val="Zkladntext20"/>
        <w:framePr w:w="9126" w:h="10792" w:hRule="exact" w:wrap="none" w:vAnchor="page" w:hAnchor="page" w:x="1470" w:y="1572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98" w:line="238" w:lineRule="exact"/>
        <w:ind w:left="900" w:hanging="420"/>
      </w:pPr>
      <w:r>
        <w:t>Pojistné za sjednanou dobu pojištění je sjednáno jako jednorázové ve výši 6.138.606,- Kč a je splatné k d</w:t>
      </w:r>
      <w:r>
        <w:t>atům a v částkách takto:</w:t>
      </w:r>
    </w:p>
    <w:p w:rsidR="00CD53D7" w:rsidRDefault="00B63C3B">
      <w:pPr>
        <w:pStyle w:val="Zkladntext20"/>
        <w:framePr w:w="9126" w:h="10792" w:hRule="exact" w:wrap="none" w:vAnchor="page" w:hAnchor="page" w:x="1470" w:y="1572"/>
        <w:shd w:val="clear" w:color="auto" w:fill="auto"/>
        <w:tabs>
          <w:tab w:val="left" w:pos="3976"/>
        </w:tabs>
        <w:spacing w:before="0" w:after="50" w:line="190" w:lineRule="exact"/>
        <w:ind w:left="1460" w:firstLine="0"/>
        <w:jc w:val="both"/>
      </w:pPr>
      <w:r>
        <w:t>Datum: 28. 6. 2016</w:t>
      </w:r>
      <w:r>
        <w:tab/>
        <w:t xml:space="preserve">Částka: </w:t>
      </w:r>
      <w:r w:rsidR="00387098">
        <w:t xml:space="preserve">    </w:t>
      </w:r>
      <w:r>
        <w:t>5.500.000,- Kč</w:t>
      </w:r>
    </w:p>
    <w:p w:rsidR="00CD53D7" w:rsidRDefault="00B63C3B">
      <w:pPr>
        <w:pStyle w:val="Zkladntext20"/>
        <w:framePr w:w="9126" w:h="10792" w:hRule="exact" w:wrap="none" w:vAnchor="page" w:hAnchor="page" w:x="1470" w:y="1572"/>
        <w:shd w:val="clear" w:color="auto" w:fill="auto"/>
        <w:tabs>
          <w:tab w:val="left" w:pos="3976"/>
          <w:tab w:val="left" w:pos="4948"/>
        </w:tabs>
        <w:spacing w:before="0" w:after="167" w:line="190" w:lineRule="exact"/>
        <w:ind w:left="1460" w:firstLine="0"/>
        <w:jc w:val="both"/>
      </w:pPr>
      <w:r>
        <w:t>Datum: 23. 9.2016</w:t>
      </w:r>
      <w:r>
        <w:tab/>
        <w:t>Částka:</w:t>
      </w:r>
      <w:r>
        <w:tab/>
        <w:t>638.606,- Kč</w:t>
      </w:r>
    </w:p>
    <w:p w:rsidR="00CD53D7" w:rsidRDefault="00B63C3B">
      <w:pPr>
        <w:pStyle w:val="Zkladntext20"/>
        <w:framePr w:w="9126" w:h="10792" w:hRule="exact" w:wrap="none" w:vAnchor="page" w:hAnchor="page" w:x="1470" w:y="1572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38" w:lineRule="exact"/>
        <w:ind w:left="900" w:hanging="420"/>
      </w:pPr>
      <w:r>
        <w:t>Pojistník je povinen uhradit pojistné v uvedené výši na účet vedoucího pojistite</w:t>
      </w:r>
      <w:r w:rsidR="00387098">
        <w:t>l</w:t>
      </w:r>
      <w:r>
        <w:t xml:space="preserve">e č.ú. </w:t>
      </w:r>
      <w:r w:rsidR="00387098">
        <w:t>…………………………</w:t>
      </w:r>
      <w:r>
        <w:rPr>
          <w:rStyle w:val="Zkladntext2Tun"/>
          <w:i/>
          <w:iCs/>
        </w:rPr>
        <w:t xml:space="preserve"> </w:t>
      </w:r>
      <w:r>
        <w:t xml:space="preserve">variabilní symbol: </w:t>
      </w:r>
      <w:r w:rsidR="00387098">
        <w:t>……………………………</w:t>
      </w:r>
      <w:r>
        <w:t>."</w:t>
      </w:r>
    </w:p>
    <w:p w:rsidR="00CD53D7" w:rsidRDefault="00B63C3B">
      <w:pPr>
        <w:pStyle w:val="Zkladntext40"/>
        <w:framePr w:w="9126" w:h="2341" w:hRule="exact" w:wrap="none" w:vAnchor="page" w:hAnchor="page" w:x="1470" w:y="12879"/>
        <w:numPr>
          <w:ilvl w:val="0"/>
          <w:numId w:val="1"/>
        </w:numPr>
        <w:shd w:val="clear" w:color="auto" w:fill="auto"/>
        <w:tabs>
          <w:tab w:val="left" w:pos="428"/>
        </w:tabs>
        <w:spacing w:after="182" w:line="220" w:lineRule="exact"/>
        <w:ind w:left="480"/>
        <w:jc w:val="both"/>
      </w:pPr>
      <w:r>
        <w:t xml:space="preserve">Článek VII. </w:t>
      </w:r>
      <w:r>
        <w:t>(Prohlášení pojistníka) nově zní:</w:t>
      </w:r>
    </w:p>
    <w:p w:rsidR="00CD53D7" w:rsidRDefault="00B63C3B">
      <w:pPr>
        <w:pStyle w:val="Nadpis30"/>
        <w:framePr w:w="9126" w:h="2341" w:hRule="exact" w:wrap="none" w:vAnchor="page" w:hAnchor="page" w:x="1470" w:y="12879"/>
        <w:shd w:val="clear" w:color="auto" w:fill="auto"/>
        <w:spacing w:before="0" w:after="100" w:line="288" w:lineRule="exact"/>
        <w:ind w:right="20"/>
      </w:pPr>
      <w:bookmarkStart w:id="13" w:name="bookmark13"/>
      <w:r>
        <w:t>„Článek VI</w:t>
      </w:r>
      <w:r w:rsidR="00387098">
        <w:t>I</w:t>
      </w:r>
      <w:r>
        <w:br/>
        <w:t>Prohlášení pojistníka</w:t>
      </w:r>
      <w:bookmarkEnd w:id="13"/>
    </w:p>
    <w:p w:rsidR="00CD53D7" w:rsidRDefault="00B63C3B">
      <w:pPr>
        <w:pStyle w:val="Zkladntext20"/>
        <w:framePr w:w="9126" w:h="2341" w:hRule="exact" w:wrap="none" w:vAnchor="page" w:hAnchor="page" w:x="1470" w:y="12879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57" w:line="238" w:lineRule="exact"/>
        <w:ind w:left="480"/>
        <w:jc w:val="both"/>
      </w:pPr>
      <w:r>
        <w:t>Pojistník potvrzuje, že před uzavřením tohoto dodatku mu byly oznámeny informace v souladu s ustanovením</w:t>
      </w:r>
      <w:r>
        <w:rPr>
          <w:rStyle w:val="Zkladntext2Nekurzva0"/>
        </w:rPr>
        <w:t xml:space="preserve"> </w:t>
      </w:r>
      <w:r w:rsidR="00387098">
        <w:rPr>
          <w:rStyle w:val="Zkladntext2Nekurzva0"/>
        </w:rPr>
        <w:t>§</w:t>
      </w:r>
      <w:r>
        <w:rPr>
          <w:rStyle w:val="Zkladntext2Nekurzva0"/>
        </w:rPr>
        <w:t xml:space="preserve"> </w:t>
      </w:r>
      <w:r>
        <w:t>2760 občanského zákoníku.</w:t>
      </w:r>
    </w:p>
    <w:p w:rsidR="00CD53D7" w:rsidRDefault="00B63C3B">
      <w:pPr>
        <w:pStyle w:val="Zkladntext20"/>
        <w:framePr w:w="9126" w:h="2341" w:hRule="exact" w:wrap="none" w:vAnchor="page" w:hAnchor="page" w:x="1470" w:y="12879"/>
        <w:numPr>
          <w:ilvl w:val="0"/>
          <w:numId w:val="3"/>
        </w:numPr>
        <w:shd w:val="clear" w:color="auto" w:fill="auto"/>
        <w:tabs>
          <w:tab w:val="left" w:pos="428"/>
        </w:tabs>
        <w:spacing w:before="0" w:line="241" w:lineRule="exact"/>
        <w:ind w:left="480"/>
        <w:jc w:val="both"/>
      </w:pPr>
      <w:r>
        <w:t xml:space="preserve">Pojistník potvrzuje, že byl informován o rozsahu a </w:t>
      </w:r>
      <w:r>
        <w:t>účelu zpracování jeho osobních údajů a o právu přístupu k nim v souladu s ustanovením</w:t>
      </w:r>
      <w:r>
        <w:rPr>
          <w:rStyle w:val="Zkladntext2Nekurzva0"/>
        </w:rPr>
        <w:t xml:space="preserve"> </w:t>
      </w:r>
      <w:r w:rsidR="00387098">
        <w:rPr>
          <w:rStyle w:val="Zkladntext2Nekurzva0"/>
        </w:rPr>
        <w:t>§</w:t>
      </w:r>
      <w:r>
        <w:rPr>
          <w:rStyle w:val="Zkladntext2Nekurzva0"/>
        </w:rPr>
        <w:t xml:space="preserve"> </w:t>
      </w:r>
      <w:r w:rsidRPr="00387098">
        <w:rPr>
          <w:rStyle w:val="Zkladntext2Nekurzva0"/>
          <w:i/>
        </w:rPr>
        <w:t>11</w:t>
      </w:r>
      <w:r>
        <w:rPr>
          <w:rStyle w:val="Zkladntext2Nekurzva0"/>
        </w:rPr>
        <w:t>,</w:t>
      </w:r>
      <w:r>
        <w:t>12, 21 zákona č. 101/2000 Sb. o ochraně osobních údajů.</w:t>
      </w:r>
    </w:p>
    <w:p w:rsidR="00CD53D7" w:rsidRDefault="00B63C3B">
      <w:pPr>
        <w:pStyle w:val="ZhlavneboZpat20"/>
        <w:framePr w:wrap="none" w:vAnchor="page" w:hAnchor="page" w:x="5956" w:y="15784"/>
        <w:shd w:val="clear" w:color="auto" w:fill="auto"/>
        <w:spacing w:line="180" w:lineRule="exact"/>
      </w:pPr>
      <w:r>
        <w:t>2</w:t>
      </w:r>
    </w:p>
    <w:p w:rsidR="00CD53D7" w:rsidRDefault="00CD53D7">
      <w:pPr>
        <w:rPr>
          <w:sz w:val="2"/>
          <w:szCs w:val="2"/>
        </w:rPr>
        <w:sectPr w:rsidR="00CD5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3D7" w:rsidRDefault="00CD53D7">
      <w:pPr>
        <w:pStyle w:val="ZhlavneboZpat30"/>
        <w:framePr w:wrap="none" w:vAnchor="page" w:hAnchor="page" w:x="790" w:y="352"/>
        <w:shd w:val="clear" w:color="auto" w:fill="auto"/>
        <w:spacing w:line="80" w:lineRule="exact"/>
      </w:pP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 xml:space="preserve">Pojistník potvrzuje, že před uzavřením tohoto dodatku převzat v </w:t>
      </w:r>
      <w:r w:rsidR="00387098">
        <w:t>l</w:t>
      </w:r>
      <w:r>
        <w:t>istinné nebo jin</w:t>
      </w:r>
      <w:r>
        <w:t>é textové podobě (např. na trvalém nosiči dat) dokumenty uvedené v čL I. bodu 2. této pojistné smlouvy ve znění tohoto dodatku a seznámil se s</w:t>
      </w:r>
      <w:r>
        <w:rPr>
          <w:rStyle w:val="Zkladntext2Nekurzva0"/>
        </w:rPr>
        <w:t xml:space="preserve"> nimi. </w:t>
      </w:r>
      <w:r>
        <w:t>Pojistník si je vědom, že tyto dokumenty tvoří nedílnou součást této pojistné smlouvy ve znění tohoto dodat</w:t>
      </w:r>
      <w:r>
        <w:t>ku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>Pojistník potvrzuje, že adresa jeho sídla/by</w:t>
      </w:r>
      <w:r>
        <w:t>dliště/trvalého pobytu/místa podnikání a kontakty elektronické komunikace uvedené v tomto dodatku jsou aktuální, a souhlasí, aby tyto údaje byly v případě jejich rozporu s jinými údaji uvedenými v dříve uzavřených pojistných smlouvách, ve kterých je pojist</w:t>
      </w:r>
      <w:r>
        <w:t>níkem nebo pojištěným, využívány i pro účely takových pojistných smluv. 5 tímto postupem pojistník souhlasí i pro případ, kdy pojistiteli oznámí změnu jeho sídla/bydliště/trvalého pobytu/místa podnikání nebo kontaktů elektronické komunikace v době trvání t</w:t>
      </w:r>
      <w:r>
        <w:t>éto pojistné smlouvy. Tím není dotčena možnost používání jiných údajů uvedených v dříve uzavřených pojistných smlouvách.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>Pojistník souhlasí, aby pojistitel předával jeho osobní údaje členům pojišťovací skupiny Vienna Insurance Group a Finanční skupiny Česk</w:t>
      </w:r>
      <w:r>
        <w:t>é spořitelny,</w:t>
      </w:r>
      <w:r>
        <w:rPr>
          <w:rStyle w:val="Zkladntext2Nekurzva0"/>
        </w:rPr>
        <w:t xml:space="preserve"> a.s. </w:t>
      </w:r>
      <w:r>
        <w:t>(dále jen „spřízněné osoby').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>Pojistník prohlašuje, že má oprávněnou potřebu ochrany před následky pojistné události (pojistný zájem).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518" w:line="238" w:lineRule="exact"/>
        <w:ind w:left="460" w:hanging="460"/>
        <w:jc w:val="both"/>
      </w:pPr>
      <w:r>
        <w:t xml:space="preserve">Pojistník prohlašuje, že věci nebo jiné hodnoty pojistného zájmu pojištěné touto pojistnou smlouvou ve znění tohoto dodatku nejsou k datu uzavření </w:t>
      </w:r>
      <w:r>
        <w:t>tohoto dodatku pojištěny proti stejným nebezpečím u jiného pojistitele, pokud není v této pojistné smlouvě ve znění tohoto dodatku výslovně uvedeno jinak."</w:t>
      </w:r>
    </w:p>
    <w:p w:rsidR="00CD53D7" w:rsidRDefault="00B63C3B">
      <w:pPr>
        <w:pStyle w:val="Zkladntext40"/>
        <w:framePr w:w="9119" w:h="13186" w:hRule="exact" w:wrap="none" w:vAnchor="page" w:hAnchor="page" w:x="1474" w:y="1576"/>
        <w:numPr>
          <w:ilvl w:val="0"/>
          <w:numId w:val="1"/>
        </w:numPr>
        <w:shd w:val="clear" w:color="auto" w:fill="auto"/>
        <w:tabs>
          <w:tab w:val="left" w:pos="426"/>
        </w:tabs>
        <w:spacing w:after="298" w:line="190" w:lineRule="exact"/>
        <w:ind w:left="460" w:hanging="460"/>
        <w:jc w:val="both"/>
      </w:pPr>
      <w:r>
        <w:t>Článek VIII. (Závěrečná ustanovení) nově zní:</w:t>
      </w:r>
    </w:p>
    <w:p w:rsidR="00CD53D7" w:rsidRDefault="00B63C3B">
      <w:pPr>
        <w:pStyle w:val="Nadpis30"/>
        <w:framePr w:w="9119" w:h="13186" w:hRule="exact" w:wrap="none" w:vAnchor="page" w:hAnchor="page" w:x="1474" w:y="1576"/>
        <w:shd w:val="clear" w:color="auto" w:fill="auto"/>
        <w:spacing w:before="0" w:after="13" w:line="220" w:lineRule="exact"/>
      </w:pPr>
      <w:bookmarkStart w:id="14" w:name="bookmark14"/>
      <w:r>
        <w:t>„Článek VIII.</w:t>
      </w:r>
      <w:bookmarkEnd w:id="14"/>
    </w:p>
    <w:p w:rsidR="00CD53D7" w:rsidRDefault="00B63C3B">
      <w:pPr>
        <w:pStyle w:val="Nadpis30"/>
        <w:framePr w:w="9119" w:h="13186" w:hRule="exact" w:wrap="none" w:vAnchor="page" w:hAnchor="page" w:x="1474" w:y="1576"/>
        <w:shd w:val="clear" w:color="auto" w:fill="auto"/>
        <w:spacing w:before="0" w:after="115" w:line="220" w:lineRule="exact"/>
      </w:pPr>
      <w:bookmarkStart w:id="15" w:name="bookmark15"/>
      <w:r>
        <w:t>Závěrečná ustanovení</w:t>
      </w:r>
      <w:bookmarkEnd w:id="15"/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38" w:lineRule="exact"/>
        <w:ind w:left="460" w:hanging="460"/>
        <w:jc w:val="both"/>
      </w:pPr>
      <w:r>
        <w:t>Není-li ujednáno ji</w:t>
      </w:r>
      <w:r>
        <w:t>nak, je pojistnou dobou doba od 1A.2016 (počátek pojištění) do 30.10.2016 (konec pojištění).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shd w:val="clear" w:color="auto" w:fill="auto"/>
        <w:spacing w:before="0" w:line="238" w:lineRule="exact"/>
        <w:ind w:left="460" w:firstLine="0"/>
        <w:jc w:val="both"/>
      </w:pPr>
      <w:r>
        <w:t>Tímto dodatkem provedené změny ve smyslu bodu C. nabývají účinnosti dnem 29. 8. 2016.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shd w:val="clear" w:color="auto" w:fill="auto"/>
        <w:spacing w:before="0" w:after="60" w:line="238" w:lineRule="exact"/>
        <w:ind w:left="460" w:firstLine="0"/>
        <w:jc w:val="both"/>
      </w:pPr>
      <w:r>
        <w:t xml:space="preserve">Ostatní změny provedené tímto dodatkem (kromě bodu C.) nabývají účinnosti </w:t>
      </w:r>
      <w:r>
        <w:t>dnem 1.</w:t>
      </w:r>
      <w:r>
        <w:rPr>
          <w:rStyle w:val="Zkladntext2Nekurzva0"/>
        </w:rPr>
        <w:t xml:space="preserve"> </w:t>
      </w:r>
      <w:r w:rsidRPr="00387098">
        <w:rPr>
          <w:rStyle w:val="Zkladntext2Nekurzva0"/>
          <w:i/>
        </w:rPr>
        <w:t>4</w:t>
      </w:r>
      <w:r>
        <w:rPr>
          <w:rStyle w:val="Zkladntext2Nekurzva0"/>
        </w:rPr>
        <w:t xml:space="preserve">. </w:t>
      </w:r>
      <w:r>
        <w:t>2016.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>Odpověď pojistníka na návrh pojistitele na uzavření tohoto dodatku (dále jen „nabídka“) s dodatkem nebo odchylkou od nabídky se nepovažuje za její přijetí, a to ani v případě, že se takovou odchylkou podstatně nemění podmínky nabídky.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60" w:line="238" w:lineRule="exact"/>
        <w:ind w:left="460" w:hanging="460"/>
        <w:jc w:val="both"/>
      </w:pPr>
      <w:r>
        <w:t>Tent</w:t>
      </w:r>
      <w:r>
        <w:t>o dodatek k pojistné smlouvě byl vypracován ve</w:t>
      </w:r>
      <w:r>
        <w:rPr>
          <w:rStyle w:val="Zkladntext2Nekurzva0"/>
        </w:rPr>
        <w:t xml:space="preserve"> 4 </w:t>
      </w:r>
      <w:r>
        <w:t>stejnopisech, pojistník obdrží 1 stejnopis, vedoucí pojistitel si ponechá 2 stejnopisy a pojistitel obdrží 1 stejnopis.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80" w:line="238" w:lineRule="exact"/>
        <w:ind w:left="460" w:hanging="460"/>
        <w:jc w:val="both"/>
      </w:pPr>
      <w:r>
        <w:t>Tento dodatek obsahuje 3 strany, k pojistné smlouvě ve znění tohoto dodatku náleží 5 př</w:t>
      </w:r>
      <w:r>
        <w:t>íloh, z nichž přílohy č. 1. a č.</w:t>
      </w:r>
      <w:r>
        <w:rPr>
          <w:rStyle w:val="Zkladntext2Nekurzva0"/>
        </w:rPr>
        <w:t xml:space="preserve"> </w:t>
      </w:r>
      <w:r w:rsidRPr="00387098">
        <w:rPr>
          <w:rStyle w:val="Zkladntext2Nekurzva0"/>
          <w:i/>
        </w:rPr>
        <w:t>4</w:t>
      </w:r>
      <w:r>
        <w:rPr>
          <w:rStyle w:val="Zkladntext2Nekurzva0"/>
        </w:rPr>
        <w:t xml:space="preserve">. </w:t>
      </w:r>
      <w:r>
        <w:t>jsou fyzicky přiloženy k tomuto dodatku. Součástí pojistné smlouvy ve znění tohoto dodatku jsou pojistné podmínky pojistitele uvedené v čl. I. této pojistné smlouvy ve znění tohoto dodatku a dokument Informace pro zájemc</w:t>
      </w:r>
      <w:r>
        <w:t>e o pojištění. V případě, že je jakékoli ustanovení uvedené v Informacích pro zájemce o pojištění v rozporu s ustanovením pojistné smlouvy, má přednost příslušné ustanovení pojistné smlouvy.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shd w:val="clear" w:color="auto" w:fill="auto"/>
        <w:tabs>
          <w:tab w:val="left" w:pos="1752"/>
        </w:tabs>
        <w:spacing w:before="0" w:line="238" w:lineRule="exact"/>
        <w:ind w:left="460" w:firstLine="0"/>
        <w:jc w:val="both"/>
      </w:pPr>
      <w:r>
        <w:t>Výčet příloh:</w:t>
      </w:r>
      <w:r w:rsidR="00387098">
        <w:rPr>
          <w:rStyle w:val="Zkladntext2Nekurzva0"/>
        </w:rPr>
        <w:tab/>
      </w:r>
      <w:r>
        <w:rPr>
          <w:rStyle w:val="Zkladntext2Nekurzva0"/>
        </w:rPr>
        <w:t xml:space="preserve"> </w:t>
      </w:r>
      <w:r>
        <w:t xml:space="preserve">Příloha </w:t>
      </w:r>
      <w:r>
        <w:rPr>
          <w:rStyle w:val="Zkladntext2dkovn2pt"/>
          <w:i/>
          <w:iCs/>
        </w:rPr>
        <w:t>č.</w:t>
      </w:r>
      <w:r w:rsidR="00387098">
        <w:rPr>
          <w:rStyle w:val="Zkladntext2dkovn2pt"/>
          <w:i/>
          <w:iCs/>
        </w:rPr>
        <w:t>1</w:t>
      </w:r>
      <w:r>
        <w:rPr>
          <w:rStyle w:val="Zkladntext2dkovn2pt"/>
          <w:i/>
          <w:iCs/>
        </w:rPr>
        <w:t>-</w:t>
      </w:r>
      <w:r>
        <w:t xml:space="preserve"> seznam exponátů k 1.</w:t>
      </w:r>
      <w:r>
        <w:rPr>
          <w:rStyle w:val="Zkladntext2Nekurzva0"/>
        </w:rPr>
        <w:t xml:space="preserve"> </w:t>
      </w:r>
      <w:r w:rsidRPr="00387098">
        <w:rPr>
          <w:rStyle w:val="Zkladntext2Nekurzva0"/>
          <w:i/>
        </w:rPr>
        <w:t>4</w:t>
      </w:r>
      <w:r>
        <w:rPr>
          <w:rStyle w:val="Zkladntext2Nekurzva0"/>
        </w:rPr>
        <w:t xml:space="preserve">. </w:t>
      </w:r>
      <w:r>
        <w:t>2016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shd w:val="clear" w:color="auto" w:fill="auto"/>
        <w:spacing w:before="0" w:line="238" w:lineRule="exact"/>
        <w:ind w:left="2000" w:hanging="260"/>
      </w:pPr>
      <w:r>
        <w:rPr>
          <w:rStyle w:val="Zkladntext2Nekurzva0"/>
        </w:rPr>
        <w:t xml:space="preserve"> </w:t>
      </w:r>
      <w:r>
        <w:t>Příloha č. 2 - TERRORISM AND SABOTAGE INSURANCE, Physical Damage Wording, Insuring Clause</w:t>
      </w:r>
    </w:p>
    <w:p w:rsidR="00CD53D7" w:rsidRDefault="009E1515">
      <w:pPr>
        <w:pStyle w:val="Zkladntext20"/>
        <w:framePr w:w="9119" w:h="13186" w:hRule="exact" w:wrap="none" w:vAnchor="page" w:hAnchor="page" w:x="1474" w:y="1576"/>
        <w:shd w:val="clear" w:color="auto" w:fill="auto"/>
        <w:spacing w:before="0" w:line="238" w:lineRule="exact"/>
        <w:ind w:right="260" w:firstLine="0"/>
        <w:jc w:val="center"/>
      </w:pPr>
      <w:r>
        <w:t xml:space="preserve">                         </w:t>
      </w:r>
      <w:r w:rsidR="00B63C3B">
        <w:t xml:space="preserve">Příloha </w:t>
      </w:r>
      <w:r w:rsidR="00B63C3B">
        <w:rPr>
          <w:rStyle w:val="Zkladntext2dkovn2pt"/>
          <w:i/>
          <w:iCs/>
        </w:rPr>
        <w:t>č.3-</w:t>
      </w:r>
      <w:r w:rsidR="00B63C3B">
        <w:t xml:space="preserve"> Podmínky zabezpečení přepravy exponátů během silniční přepravy</w:t>
      </w:r>
      <w:r w:rsidR="00B63C3B">
        <w:br/>
      </w:r>
      <w:r>
        <w:rPr>
          <w:rStyle w:val="Zkladntext2Nekurzva0"/>
        </w:rPr>
        <w:t xml:space="preserve">                            </w:t>
      </w:r>
      <w:r w:rsidR="00B63C3B">
        <w:rPr>
          <w:rStyle w:val="Zkladntext2Nekurzva0"/>
        </w:rPr>
        <w:t xml:space="preserve"> </w:t>
      </w:r>
      <w:r w:rsidR="00B63C3B">
        <w:t>Příloha č.</w:t>
      </w:r>
      <w:r w:rsidR="00B63C3B">
        <w:rPr>
          <w:rStyle w:val="Zkladntext2Nekurzva0"/>
        </w:rPr>
        <w:t xml:space="preserve"> 4 - </w:t>
      </w:r>
      <w:r w:rsidR="00B63C3B">
        <w:t>Podmínky zabezpečení exponátů během pobytu (aktualizovaná verze)</w:t>
      </w:r>
    </w:p>
    <w:p w:rsidR="00CD53D7" w:rsidRDefault="00B63C3B">
      <w:pPr>
        <w:pStyle w:val="Zkladntext20"/>
        <w:framePr w:w="9119" w:h="13186" w:hRule="exact" w:wrap="none" w:vAnchor="page" w:hAnchor="page" w:x="1474" w:y="1576"/>
        <w:shd w:val="clear" w:color="auto" w:fill="auto"/>
        <w:spacing w:before="0" w:line="238" w:lineRule="exact"/>
        <w:ind w:left="2000" w:hanging="260"/>
      </w:pPr>
      <w:r>
        <w:rPr>
          <w:rStyle w:val="Zkladntext2Nekurzva0"/>
        </w:rPr>
        <w:t xml:space="preserve"> </w:t>
      </w:r>
      <w:r>
        <w:t>Pří</w:t>
      </w:r>
      <w:r>
        <w:t>loha č. 5- DOZ105"</w:t>
      </w:r>
    </w:p>
    <w:p w:rsidR="00CD53D7" w:rsidRDefault="00B63C3B">
      <w:pPr>
        <w:pStyle w:val="ZhlavneboZpat0"/>
        <w:framePr w:wrap="none" w:vAnchor="page" w:hAnchor="page" w:x="5967" w:y="15803"/>
        <w:shd w:val="clear" w:color="auto" w:fill="auto"/>
        <w:spacing w:line="170" w:lineRule="exact"/>
      </w:pPr>
      <w:r>
        <w:t>3</w:t>
      </w:r>
    </w:p>
    <w:p w:rsidR="00CD53D7" w:rsidRDefault="00CD53D7">
      <w:pPr>
        <w:rPr>
          <w:sz w:val="2"/>
          <w:szCs w:val="2"/>
        </w:rPr>
        <w:sectPr w:rsidR="00CD5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3D7" w:rsidRDefault="00B63C3B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lastRenderedPageBreak/>
        <w:t>V Praze dne 13. 5. 2016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 xml:space="preserve">   </w:t>
      </w:r>
      <w:r>
        <w:tab/>
      </w:r>
      <w:r>
        <w:tab/>
        <w:t>…………………………………………………</w:t>
      </w:r>
      <w:r>
        <w:tab/>
      </w:r>
      <w:r>
        <w:tab/>
        <w:t>………………………………………………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ab/>
      </w:r>
      <w:r>
        <w:tab/>
        <w:t xml:space="preserve">       za vedoucího pojistitele</w:t>
      </w:r>
      <w:r>
        <w:tab/>
      </w:r>
      <w:r>
        <w:tab/>
        <w:t xml:space="preserve">     za vedoucího pojistitele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>V Praze dne 13. 5. 2016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ab/>
      </w:r>
      <w:r>
        <w:tab/>
        <w:t>…………………………………………………</w:t>
      </w:r>
      <w:r>
        <w:tab/>
      </w:r>
      <w:r>
        <w:tab/>
        <w:t>………………………………………………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 xml:space="preserve">      </w:t>
      </w:r>
      <w:r>
        <w:tab/>
      </w:r>
      <w:r>
        <w:tab/>
      </w:r>
      <w:r>
        <w:tab/>
        <w:t>za pojistitele</w:t>
      </w:r>
      <w:r>
        <w:tab/>
      </w:r>
      <w:r>
        <w:tab/>
      </w:r>
      <w:r>
        <w:tab/>
      </w:r>
      <w:r>
        <w:tab/>
        <w:t>za pojistitele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>V Praze dne 5. 9. 2016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……………………………………………....</w:t>
      </w:r>
    </w:p>
    <w:p w:rsidR="009E1515" w:rsidRDefault="009E1515" w:rsidP="009E1515">
      <w:pPr>
        <w:pStyle w:val="Zkladntext40"/>
        <w:framePr w:w="8929" w:h="5617" w:hRule="exact" w:wrap="none" w:vAnchor="page" w:hAnchor="page" w:x="1445" w:y="1433"/>
        <w:shd w:val="clear" w:color="auto" w:fill="auto"/>
        <w:spacing w:line="19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 pojistníka</w:t>
      </w:r>
    </w:p>
    <w:p w:rsidR="00CD53D7" w:rsidRDefault="00B63C3B">
      <w:pPr>
        <w:pStyle w:val="ZhlavneboZpat0"/>
        <w:framePr w:wrap="none" w:vAnchor="page" w:hAnchor="page" w:x="5801" w:y="15632"/>
        <w:shd w:val="clear" w:color="auto" w:fill="auto"/>
        <w:spacing w:line="170" w:lineRule="exact"/>
      </w:pPr>
      <w:bookmarkStart w:id="16" w:name="_GoBack"/>
      <w:bookmarkEnd w:id="16"/>
      <w:r>
        <w:t>4</w:t>
      </w:r>
    </w:p>
    <w:p w:rsidR="00CD53D7" w:rsidRDefault="00CD53D7">
      <w:pPr>
        <w:rPr>
          <w:sz w:val="2"/>
          <w:szCs w:val="2"/>
        </w:rPr>
      </w:pPr>
    </w:p>
    <w:sectPr w:rsidR="00CD53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3B" w:rsidRDefault="00B63C3B">
      <w:r>
        <w:separator/>
      </w:r>
    </w:p>
  </w:endnote>
  <w:endnote w:type="continuationSeparator" w:id="0">
    <w:p w:rsidR="00B63C3B" w:rsidRDefault="00B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3B" w:rsidRDefault="00B63C3B"/>
  </w:footnote>
  <w:footnote w:type="continuationSeparator" w:id="0">
    <w:p w:rsidR="00B63C3B" w:rsidRDefault="00B63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6F5E"/>
    <w:multiLevelType w:val="multilevel"/>
    <w:tmpl w:val="5244822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1776F"/>
    <w:multiLevelType w:val="multilevel"/>
    <w:tmpl w:val="747ADDA8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620FC"/>
    <w:multiLevelType w:val="multilevel"/>
    <w:tmpl w:val="13DE9BC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24CFE"/>
    <w:multiLevelType w:val="multilevel"/>
    <w:tmpl w:val="C36CC01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53D7"/>
    <w:rsid w:val="00387098"/>
    <w:rsid w:val="004F7FE9"/>
    <w:rsid w:val="009E1515"/>
    <w:rsid w:val="00B63C3B"/>
    <w:rsid w:val="00C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003"/>
  <w15:docId w15:val="{C41F5171-8C34-424C-B034-2F55308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Zkladntext3Tahoma85ptTunNekurzvadkovn0pt">
    <w:name w:val="Základní text (3) + Tahoma;8;5 pt;Tučné;Ne kurzíva;Řádkování 0 pt"/>
    <w:basedOn w:val="Zkladntext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Tahoma19ptNekurzvadkovn0pt">
    <w:name w:val="Základní text (3) + Tahoma;19 pt;Ne kurzíva;Řádkování 0 pt"/>
    <w:basedOn w:val="Zkladntext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BookAntiquaTun">
    <w:name w:val="Základní text (4) + Book Antiqua;Tučné"/>
    <w:basedOn w:val="Zkladn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SegoeUINetun">
    <w:name w:val="Základní text (5) + Segoe UI;Ne 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1ptTun">
    <w:name w:val="Základní text (4) + 11 pt;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2Nekurzva">
    <w:name w:val="Základní text (2) + Ne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Nekurzva0">
    <w:name w:val="Základní text (2) + Ne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dkovn2pt">
    <w:name w:val="Základní text (2) + Řádkování 2 pt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40"/>
      <w:sz w:val="36"/>
      <w:szCs w:val="3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Segoe UI" w:eastAsia="Segoe UI" w:hAnsi="Segoe UI" w:cs="Segoe UI"/>
      <w:b/>
      <w:bCs/>
      <w:spacing w:val="-20"/>
      <w:sz w:val="46"/>
      <w:szCs w:val="4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after="780" w:line="0" w:lineRule="atLeast"/>
      <w:outlineLvl w:val="3"/>
    </w:pPr>
    <w:rPr>
      <w:rFonts w:ascii="Segoe UI" w:eastAsia="Segoe UI" w:hAnsi="Segoe UI" w:cs="Segoe UI"/>
      <w:spacing w:val="-10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80" w:after="60" w:line="0" w:lineRule="atLeast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outlineLvl w:val="3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1" w:lineRule="exact"/>
      <w:ind w:hanging="480"/>
    </w:pPr>
    <w:rPr>
      <w:rFonts w:ascii="Segoe UI" w:eastAsia="Segoe UI" w:hAnsi="Segoe UI" w:cs="Segoe U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38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ind w:hanging="420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320" w:lineRule="exact"/>
      <w:ind w:hanging="480"/>
    </w:pPr>
    <w:rPr>
      <w:rFonts w:ascii="Segoe UI" w:eastAsia="Segoe UI" w:hAnsi="Segoe UI" w:cs="Segoe UI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0" w:line="0" w:lineRule="atLeast"/>
      <w:jc w:val="center"/>
      <w:outlineLvl w:val="2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c224.pk.gr-20161116131114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c224.pk.gr-20161116131114</dc:title>
  <dc:subject/>
  <dc:creator/>
  <cp:keywords/>
  <cp:lastModifiedBy>Zdenka Šímová</cp:lastModifiedBy>
  <cp:revision>4</cp:revision>
  <dcterms:created xsi:type="dcterms:W3CDTF">2016-11-16T13:09:00Z</dcterms:created>
  <dcterms:modified xsi:type="dcterms:W3CDTF">2016-11-16T13:28:00Z</dcterms:modified>
</cp:coreProperties>
</file>