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</w:t>
      </w:r>
      <w:proofErr w:type="gramStart"/>
      <w:r w:rsidRPr="0024479C">
        <w:rPr>
          <w:rFonts w:ascii="Arial" w:hAnsi="Arial" w:cs="Arial"/>
          <w:sz w:val="18"/>
          <w:szCs w:val="20"/>
        </w:rPr>
        <w:t xml:space="preserve">číslo 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</w:t>
      </w:r>
      <w:proofErr w:type="gramEnd"/>
      <w:r w:rsidRPr="0024479C">
        <w:rPr>
          <w:rFonts w:ascii="Arial" w:hAnsi="Arial" w:cs="Arial"/>
          <w:sz w:val="18"/>
          <w:szCs w:val="20"/>
        </w:rPr>
        <w:t>: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  <w:t xml:space="preserve">Evidenční číslo 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65164D">
        <w:rPr>
          <w:rFonts w:ascii="Arial" w:hAnsi="Arial" w:cs="Arial"/>
          <w:sz w:val="18"/>
          <w:szCs w:val="20"/>
        </w:rPr>
        <w:t xml:space="preserve"> 1161/2016</w:t>
      </w:r>
      <w:bookmarkStart w:id="0" w:name="_GoBack"/>
      <w:bookmarkEnd w:id="0"/>
    </w:p>
    <w:p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34"/>
      </w:tblGrid>
      <w:tr w:rsidR="0024479C" w:rsidRPr="0024479C" w:rsidTr="00730E11">
        <w:tc>
          <w:tcPr>
            <w:tcW w:w="2660" w:type="dxa"/>
          </w:tcPr>
          <w:p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118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434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118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434" w:type="dxa"/>
          </w:tcPr>
          <w:p w:rsidR="0024479C" w:rsidRPr="00952805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ORGREZ, a. s.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118" w:type="dxa"/>
          </w:tcPr>
          <w:p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434" w:type="dxa"/>
          </w:tcPr>
          <w:p w:rsidR="0024479C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Hudcova 321/76</w:t>
            </w:r>
          </w:p>
          <w:p w:rsidR="006E052A" w:rsidRPr="00952805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612 00 Brno - Medlánky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118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Jiří Nedoma</w:t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br/>
            </w: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434" w:type="dxa"/>
          </w:tcPr>
          <w:p w:rsidR="0024479C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Ing. Leo Hrubý, MBA</w:t>
            </w:r>
          </w:p>
          <w:p w:rsidR="006E052A" w:rsidRPr="00952805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118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Jan Bednárek</w:t>
            </w:r>
          </w:p>
          <w:p w:rsidR="006F1EAF" w:rsidRPr="00952805" w:rsidRDefault="006F1EAF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434" w:type="dxa"/>
          </w:tcPr>
          <w:p w:rsidR="0024479C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Mgr. Lucie Trojková</w:t>
            </w:r>
          </w:p>
          <w:p w:rsidR="006E052A" w:rsidRPr="00952805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Oddělení ekologie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118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434" w:type="dxa"/>
          </w:tcPr>
          <w:p w:rsidR="0024479C" w:rsidRPr="00952805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46900829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118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434" w:type="dxa"/>
          </w:tcPr>
          <w:p w:rsidR="0024479C" w:rsidRPr="00952805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CZ46900829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118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434" w:type="dxa"/>
          </w:tcPr>
          <w:p w:rsidR="0024479C" w:rsidRPr="00952805" w:rsidRDefault="006E052A" w:rsidP="006E052A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6E052A">
              <w:rPr>
                <w:rFonts w:ascii="Arial" w:hAnsi="Arial" w:cs="Arial"/>
                <w:sz w:val="18"/>
                <w:szCs w:val="36"/>
              </w:rPr>
              <w:t>Krajský soud</w:t>
            </w:r>
            <w:r>
              <w:rPr>
                <w:rFonts w:ascii="Arial" w:hAnsi="Arial" w:cs="Arial"/>
                <w:sz w:val="18"/>
                <w:szCs w:val="36"/>
              </w:rPr>
              <w:t xml:space="preserve"> v Brně,</w:t>
            </w:r>
            <w:r w:rsidRPr="006E052A">
              <w:rPr>
                <w:rFonts w:ascii="Arial" w:hAnsi="Arial" w:cs="Arial"/>
                <w:sz w:val="18"/>
                <w:szCs w:val="36"/>
              </w:rPr>
              <w:t xml:space="preserve"> oddíl B, vlož</w:t>
            </w:r>
            <w:r>
              <w:rPr>
                <w:rFonts w:ascii="Arial" w:hAnsi="Arial" w:cs="Arial"/>
                <w:sz w:val="18"/>
                <w:szCs w:val="36"/>
              </w:rPr>
              <w:t>ka</w:t>
            </w:r>
            <w:r w:rsidRPr="006E052A">
              <w:rPr>
                <w:rFonts w:ascii="Arial" w:hAnsi="Arial" w:cs="Arial"/>
                <w:sz w:val="18"/>
                <w:szCs w:val="36"/>
              </w:rPr>
              <w:t xml:space="preserve"> 852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118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952805">
              <w:rPr>
                <w:rFonts w:ascii="Arial" w:hAnsi="Arial" w:cs="Arial"/>
                <w:sz w:val="18"/>
              </w:rPr>
              <w:t xml:space="preserve">KB, a.s., Chomutov, </w:t>
            </w:r>
            <w:proofErr w:type="gramStart"/>
            <w:r w:rsidRPr="00952805">
              <w:rPr>
                <w:rFonts w:ascii="Arial" w:hAnsi="Arial" w:cs="Arial"/>
                <w:sz w:val="18"/>
              </w:rPr>
              <w:t>č.ú. 9137441/0100</w:t>
            </w:r>
            <w:proofErr w:type="gramEnd"/>
          </w:p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 xml:space="preserve">ČS, a.s., Chomutov,  </w:t>
            </w:r>
            <w:proofErr w:type="gramStart"/>
            <w:r w:rsidRPr="00952805">
              <w:rPr>
                <w:rFonts w:ascii="Arial" w:hAnsi="Arial" w:cs="Arial"/>
                <w:sz w:val="18"/>
                <w:szCs w:val="36"/>
              </w:rPr>
              <w:t>č.ú. 3930932/0800</w:t>
            </w:r>
            <w:proofErr w:type="gramEnd"/>
          </w:p>
        </w:tc>
        <w:tc>
          <w:tcPr>
            <w:tcW w:w="3434" w:type="dxa"/>
          </w:tcPr>
          <w:p w:rsidR="0024479C" w:rsidRPr="006E052A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</w:rPr>
            </w:pPr>
            <w:r w:rsidRPr="006E052A">
              <w:rPr>
                <w:rFonts w:ascii="Arial" w:hAnsi="Arial" w:cs="Arial"/>
                <w:sz w:val="18"/>
              </w:rPr>
              <w:t>Raiffeisen bank,</w:t>
            </w:r>
            <w:r w:rsidRPr="006E052A">
              <w:rPr>
                <w:rFonts w:ascii="Arial" w:hAnsi="Arial" w:cs="Arial"/>
                <w:sz w:val="18"/>
              </w:rPr>
              <w:br/>
            </w:r>
            <w:proofErr w:type="gramStart"/>
            <w:r w:rsidRPr="006E052A">
              <w:rPr>
                <w:rFonts w:ascii="Arial" w:hAnsi="Arial" w:cs="Arial"/>
                <w:sz w:val="18"/>
              </w:rPr>
              <w:t>č.ú.: 5014033535/5500</w:t>
            </w:r>
            <w:proofErr w:type="gramEnd"/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118" w:type="dxa"/>
          </w:tcPr>
          <w:p w:rsidR="0024479C" w:rsidRPr="00952805" w:rsidRDefault="0024479C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 xml:space="preserve">417 515 778, 417 515 </w:t>
            </w:r>
            <w:r w:rsidR="00827550">
              <w:rPr>
                <w:rFonts w:ascii="Arial" w:hAnsi="Arial" w:cs="Arial"/>
                <w:sz w:val="18"/>
                <w:szCs w:val="36"/>
              </w:rPr>
              <w:t>7</w:t>
            </w:r>
            <w:r w:rsidRPr="00952805">
              <w:rPr>
                <w:rFonts w:ascii="Arial" w:hAnsi="Arial" w:cs="Arial"/>
                <w:sz w:val="18"/>
                <w:szCs w:val="36"/>
              </w:rPr>
              <w:t>52</w:t>
            </w:r>
          </w:p>
        </w:tc>
        <w:tc>
          <w:tcPr>
            <w:tcW w:w="3434" w:type="dxa"/>
          </w:tcPr>
          <w:p w:rsidR="0024479C" w:rsidRPr="00952805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596 220 335, 725 016 139</w:t>
            </w:r>
          </w:p>
        </w:tc>
      </w:tr>
      <w:tr w:rsidR="0024479C" w:rsidTr="00730E11">
        <w:tc>
          <w:tcPr>
            <w:tcW w:w="2660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118" w:type="dxa"/>
          </w:tcPr>
          <w:p w:rsidR="0024479C" w:rsidRPr="00952805" w:rsidRDefault="0065164D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hyperlink r:id="rId6" w:history="1">
              <w:r w:rsidR="00521BF9" w:rsidRPr="003066BE">
                <w:rPr>
                  <w:rFonts w:ascii="Arial" w:hAnsi="Arial" w:cs="Arial"/>
                  <w:sz w:val="18"/>
                  <w:szCs w:val="36"/>
                </w:rPr>
                <w:t>markova@poh.cz</w:t>
              </w:r>
            </w:hyperlink>
            <w:r w:rsidR="00521BF9"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>laboratore@poh.cz</w:t>
            </w:r>
          </w:p>
        </w:tc>
        <w:tc>
          <w:tcPr>
            <w:tcW w:w="3434" w:type="dxa"/>
          </w:tcPr>
          <w:p w:rsidR="0024479C" w:rsidRDefault="0065164D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hyperlink r:id="rId7" w:history="1">
              <w:r w:rsidR="006E052A" w:rsidRPr="00D42806">
                <w:rPr>
                  <w:rStyle w:val="Hypertextovodkaz"/>
                  <w:rFonts w:ascii="Arial" w:hAnsi="Arial" w:cs="Arial"/>
                  <w:sz w:val="18"/>
                  <w:szCs w:val="36"/>
                </w:rPr>
                <w:t>lucie.trojkova@orgrez.cz</w:t>
              </w:r>
            </w:hyperlink>
          </w:p>
          <w:p w:rsidR="006E052A" w:rsidRPr="00952805" w:rsidRDefault="006E052A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halina.plesivcakova</w:t>
            </w:r>
            <w:r w:rsidRPr="006E052A">
              <w:rPr>
                <w:rFonts w:ascii="Arial" w:hAnsi="Arial" w:cs="Arial"/>
                <w:sz w:val="18"/>
                <w:szCs w:val="36"/>
              </w:rPr>
              <w:t>@orgrez.cz</w:t>
            </w:r>
          </w:p>
        </w:tc>
      </w:tr>
    </w:tbl>
    <w:p w:rsidR="00730E11" w:rsidRPr="0024479C" w:rsidRDefault="00730E11" w:rsidP="00551BB7">
      <w:pPr>
        <w:spacing w:before="40" w:after="40" w:line="240" w:lineRule="auto"/>
        <w:jc w:val="center"/>
        <w:rPr>
          <w:rFonts w:ascii="Arial" w:hAnsi="Arial" w:cs="Arial"/>
          <w:sz w:val="20"/>
          <w:szCs w:val="36"/>
        </w:rPr>
      </w:pPr>
    </w:p>
    <w:p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:rsidR="00730E11" w:rsidRPr="00E56559" w:rsidRDefault="00564C96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</w:t>
      </w:r>
      <w:r w:rsidR="00730E11">
        <w:rPr>
          <w:rFonts w:ascii="Arial" w:hAnsi="Arial" w:cs="Arial"/>
          <w:sz w:val="18"/>
          <w:szCs w:val="20"/>
        </w:rPr>
        <w:t xml:space="preserve">Laboratorní práce dle </w:t>
      </w:r>
      <w:r>
        <w:rPr>
          <w:rFonts w:ascii="Arial" w:hAnsi="Arial" w:cs="Arial"/>
          <w:sz w:val="18"/>
          <w:szCs w:val="20"/>
        </w:rPr>
        <w:t>konkrétních požadavků v r. 2016/2017.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:rsidR="009C2FBF" w:rsidRDefault="009C2FBF" w:rsidP="009C2FBF">
      <w:pPr>
        <w:pStyle w:val="Odstavecseseznamem"/>
        <w:tabs>
          <w:tab w:val="left" w:pos="4678"/>
        </w:tabs>
        <w:spacing w:before="120" w:line="240" w:lineRule="auto"/>
        <w:ind w:left="714"/>
        <w:contextualSpacing w:val="0"/>
        <w:rPr>
          <w:rFonts w:ascii="Arial" w:hAnsi="Arial" w:cs="Arial"/>
          <w:b/>
          <w:sz w:val="18"/>
          <w:szCs w:val="18"/>
        </w:rPr>
      </w:pPr>
    </w:p>
    <w:p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Čas a způsob plnění</w:t>
      </w:r>
    </w:p>
    <w:p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r w:rsidR="00827550">
        <w:rPr>
          <w:rFonts w:ascii="Arial" w:hAnsi="Arial" w:cs="Arial"/>
          <w:sz w:val="18"/>
          <w:szCs w:val="18"/>
        </w:rPr>
        <w:t xml:space="preserve">Novosedlická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 xml:space="preserve">, že 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 xml:space="preserve">004 Sb. o dani z přidané hodnoty, ve znění pozdějších předpisů. Faktura je splatná do </w:t>
      </w:r>
      <w:r w:rsidR="00EC71A5">
        <w:rPr>
          <w:rFonts w:ascii="Arial" w:hAnsi="Arial" w:cs="Arial"/>
          <w:sz w:val="18"/>
          <w:szCs w:val="18"/>
        </w:rPr>
        <w:t>45</w:t>
      </w:r>
      <w:r w:rsidRPr="00551BB7">
        <w:rPr>
          <w:rFonts w:ascii="Arial" w:hAnsi="Arial" w:cs="Arial"/>
          <w:sz w:val="18"/>
          <w:szCs w:val="18"/>
        </w:rPr>
        <w:t xml:space="preserve"> dnů ode dne vystavení.</w:t>
      </w:r>
    </w:p>
    <w:p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bude v prodlení s 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14042B">
        <w:rPr>
          <w:rFonts w:ascii="Arial" w:hAnsi="Arial" w:cs="Arial"/>
          <w:sz w:val="18"/>
          <w:szCs w:val="18"/>
        </w:rPr>
        <w:t xml:space="preserve"> 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lastRenderedPageBreak/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>toři. O této skutečnosti bude Objednatel předem informován.  Přednostně jsou vybíráni dodavatelé se zavedeným systémem kvality podle normy ČSN EN ISO/IEC 17 025:2005. Výsledky zkoušek, provedených subdodavatelsky, jsou na protokolech označeny jako SA, SN.</w:t>
      </w:r>
    </w:p>
    <w:p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 Zhotovitele.</w:t>
      </w:r>
    </w:p>
    <w:p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 nezveřejňovat je třetím osobám bez písemného souhlasu Objednatele. </w:t>
      </w:r>
    </w:p>
    <w:p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Veškerá sdělení a veškeré úkony podle této smlouvy budou předávány nebo zasílány osobně, poštou, faxem nebo e-mailem na adresy uvedené v úvodu této smlouvy.</w:t>
      </w:r>
    </w:p>
    <w:p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 xml:space="preserve">svým rozsahem podléhá </w:t>
      </w:r>
      <w:proofErr w:type="gramStart"/>
      <w:r w:rsidR="003066BE">
        <w:rPr>
          <w:rFonts w:ascii="Arial" w:hAnsi="Arial" w:cs="Arial"/>
          <w:sz w:val="18"/>
          <w:szCs w:val="18"/>
        </w:rPr>
        <w:t>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 xml:space="preserve"> č.</w:t>
      </w:r>
      <w:proofErr w:type="gramEnd"/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 xml:space="preserve">340/2016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 xml:space="preserve">340/2015 Sb. </w:t>
      </w:r>
    </w:p>
    <w:p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 svobodné vůle připojují své podpisy.</w:t>
      </w:r>
    </w:p>
    <w:p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51BB7" w:rsidRPr="00551BB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D5409F">
        <w:rPr>
          <w:rFonts w:ascii="Arial" w:hAnsi="Arial" w:cs="Arial"/>
          <w:sz w:val="18"/>
          <w:szCs w:val="18"/>
        </w:rPr>
        <w:t xml:space="preserve"> Teplicích </w:t>
      </w:r>
      <w:r w:rsidRPr="00551BB7">
        <w:rPr>
          <w:rFonts w:ascii="Arial" w:hAnsi="Arial" w:cs="Arial"/>
          <w:sz w:val="18"/>
          <w:szCs w:val="18"/>
        </w:rPr>
        <w:t>dne</w:t>
      </w:r>
      <w:r w:rsidR="00D5409F">
        <w:rPr>
          <w:rFonts w:ascii="Arial" w:hAnsi="Arial" w:cs="Arial"/>
          <w:sz w:val="18"/>
          <w:szCs w:val="18"/>
        </w:rPr>
        <w:t xml:space="preserve"> 11.11.2016</w:t>
      </w:r>
      <w:r w:rsidRPr="00551BB7">
        <w:rPr>
          <w:rFonts w:ascii="Arial" w:hAnsi="Arial" w:cs="Arial"/>
          <w:sz w:val="18"/>
          <w:szCs w:val="18"/>
        </w:rPr>
        <w:tab/>
        <w:t>V</w:t>
      </w:r>
      <w:r w:rsidR="003C273D">
        <w:rPr>
          <w:rFonts w:ascii="Arial" w:hAnsi="Arial" w:cs="Arial"/>
          <w:sz w:val="18"/>
          <w:szCs w:val="18"/>
        </w:rPr>
        <w:t> Ostravě dne 10</w:t>
      </w:r>
      <w:r w:rsidR="00921627">
        <w:rPr>
          <w:rFonts w:ascii="Arial" w:hAnsi="Arial" w:cs="Arial"/>
          <w:sz w:val="18"/>
          <w:szCs w:val="18"/>
        </w:rPr>
        <w:t>. 11. 2016</w:t>
      </w:r>
    </w:p>
    <w:sectPr w:rsidR="00551BB7" w:rsidRPr="00551BB7" w:rsidSect="00730E1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1"/>
    <w:rsid w:val="000C17B5"/>
    <w:rsid w:val="0014042B"/>
    <w:rsid w:val="00154287"/>
    <w:rsid w:val="002245CC"/>
    <w:rsid w:val="0024479C"/>
    <w:rsid w:val="00246EB8"/>
    <w:rsid w:val="00273098"/>
    <w:rsid w:val="002C569B"/>
    <w:rsid w:val="003066BE"/>
    <w:rsid w:val="00377A07"/>
    <w:rsid w:val="00390F32"/>
    <w:rsid w:val="003C273D"/>
    <w:rsid w:val="00405FF0"/>
    <w:rsid w:val="00420697"/>
    <w:rsid w:val="00521BF9"/>
    <w:rsid w:val="00551BB7"/>
    <w:rsid w:val="00564C96"/>
    <w:rsid w:val="005C5717"/>
    <w:rsid w:val="005F733F"/>
    <w:rsid w:val="00601D4B"/>
    <w:rsid w:val="00634D71"/>
    <w:rsid w:val="00650BEE"/>
    <w:rsid w:val="0065164D"/>
    <w:rsid w:val="00666320"/>
    <w:rsid w:val="00674AAF"/>
    <w:rsid w:val="00675240"/>
    <w:rsid w:val="00684E05"/>
    <w:rsid w:val="006B4C0F"/>
    <w:rsid w:val="006E052A"/>
    <w:rsid w:val="006F1EAF"/>
    <w:rsid w:val="00730E11"/>
    <w:rsid w:val="007C1FA1"/>
    <w:rsid w:val="007F17B9"/>
    <w:rsid w:val="008118DA"/>
    <w:rsid w:val="00813F3B"/>
    <w:rsid w:val="00827550"/>
    <w:rsid w:val="00853CA1"/>
    <w:rsid w:val="00920755"/>
    <w:rsid w:val="00921627"/>
    <w:rsid w:val="00932722"/>
    <w:rsid w:val="00945822"/>
    <w:rsid w:val="00952805"/>
    <w:rsid w:val="009C2FBF"/>
    <w:rsid w:val="00A06AD3"/>
    <w:rsid w:val="00A1437B"/>
    <w:rsid w:val="00A70F95"/>
    <w:rsid w:val="00A736EE"/>
    <w:rsid w:val="00AA6924"/>
    <w:rsid w:val="00AB2FD2"/>
    <w:rsid w:val="00B919EF"/>
    <w:rsid w:val="00C4254D"/>
    <w:rsid w:val="00C752E1"/>
    <w:rsid w:val="00D45AD0"/>
    <w:rsid w:val="00D5409F"/>
    <w:rsid w:val="00D63BCA"/>
    <w:rsid w:val="00D9179B"/>
    <w:rsid w:val="00D96D38"/>
    <w:rsid w:val="00DC606E"/>
    <w:rsid w:val="00E43E73"/>
    <w:rsid w:val="00E56559"/>
    <w:rsid w:val="00EC71A5"/>
    <w:rsid w:val="00ED1D84"/>
    <w:rsid w:val="00F73939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cie.trojkova@orgre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va@po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4</cp:revision>
  <cp:lastPrinted>2016-11-10T13:35:00Z</cp:lastPrinted>
  <dcterms:created xsi:type="dcterms:W3CDTF">2016-11-16T11:53:00Z</dcterms:created>
  <dcterms:modified xsi:type="dcterms:W3CDTF">2016-11-16T12:18:00Z</dcterms:modified>
</cp:coreProperties>
</file>