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A9" w:rsidRPr="00464D2C" w:rsidRDefault="006A36A9" w:rsidP="00464D2C">
      <w:pPr>
        <w:jc w:val="center"/>
        <w:rPr>
          <w:rFonts w:eastAsia="Microsoft YaHei"/>
          <w:b/>
          <w:lang w:eastAsia="hi-IN" w:bidi="hi-IN"/>
        </w:rPr>
      </w:pPr>
      <w:r w:rsidRPr="00464D2C">
        <w:rPr>
          <w:rFonts w:eastAsia="Microsoft YaHei"/>
          <w:b/>
          <w:lang w:eastAsia="hi-IN" w:bidi="hi-IN"/>
        </w:rPr>
        <w:t>KUPNÍ SMLOUVA</w:t>
      </w:r>
    </w:p>
    <w:p w:rsidR="00FE69B7" w:rsidRPr="00214E72" w:rsidRDefault="00FE69B7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SNO/2017/</w:t>
      </w:r>
      <w:r w:rsidR="00B6314C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4/0</w:t>
      </w:r>
      <w:bookmarkStart w:id="0" w:name="_GoBack"/>
      <w:bookmarkEnd w:id="0"/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kern w:val="1"/>
          <w:sz w:val="18"/>
          <w:lang w:eastAsia="hi-IN" w:bidi="hi-IN"/>
        </w:rPr>
      </w:pPr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6A36A9" w:rsidRPr="00DD511C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="00DD511C" w:rsidRPr="00DD511C">
        <w:rPr>
          <w:rFonts w:ascii="Calibri" w:eastAsia="SimSun" w:hAnsi="Calibri"/>
          <w:b/>
          <w:kern w:val="1"/>
          <w:sz w:val="20"/>
          <w:lang w:eastAsia="hi-IN" w:bidi="hi-IN"/>
        </w:rPr>
        <w:t>Fénix Brno, spol. s r.o.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zapsaná 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>v obchodním rejstříku u Krajského soudu v Brně, oddíl C, vložka 4020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Vackova 79, 612 00 Brno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>44961863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DIČ:  CZ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>44961863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Komerční banka Brno- město </w:t>
      </w:r>
      <w:r w:rsidR="005E4108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Ing. Pavlem Stratilem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Bronislav Klaus</w:t>
      </w:r>
    </w:p>
    <w:p w:rsidR="006A36A9" w:rsidRPr="00DD511C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5E4108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DD511C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="00DD511C" w:rsidRPr="00DD511C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5E4108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C96C5E">
        <w:rPr>
          <w:rFonts w:ascii="Calibri" w:eastAsia="SimSun" w:hAnsi="Calibri"/>
          <w:b/>
          <w:kern w:val="1"/>
          <w:sz w:val="20"/>
          <w:lang w:eastAsia="hi-IN" w:bidi="hi-IN"/>
        </w:rPr>
        <w:t>Slezská nemocnice v Opavě</w:t>
      </w: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, příspěvková organizace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</w:t>
      </w:r>
      <w:proofErr w:type="spellStart"/>
      <w:r w:rsidRPr="00214E72">
        <w:rPr>
          <w:rFonts w:ascii="Calibri" w:eastAsia="SimSun" w:hAnsi="Calibri"/>
          <w:kern w:val="1"/>
          <w:sz w:val="20"/>
          <w:lang w:eastAsia="hi-IN" w:bidi="hi-IN"/>
        </w:rPr>
        <w:t>Pr</w:t>
      </w:r>
      <w:proofErr w:type="spellEnd"/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, vložka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924</w:t>
      </w:r>
    </w:p>
    <w:p w:rsidR="006A36A9" w:rsidRPr="00214E72" w:rsidRDefault="0018224F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>
        <w:rPr>
          <w:rFonts w:ascii="Calibri" w:eastAsia="SimSun" w:hAnsi="Calibri"/>
          <w:kern w:val="1"/>
          <w:sz w:val="20"/>
          <w:lang w:eastAsia="hi-IN" w:bidi="hi-IN"/>
        </w:rPr>
        <w:t>se sídlem: Olomoucká 470/86, Předměstí, 746 01 Opava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 xml:space="preserve">IČ: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 w:rsidR="00254B7C">
        <w:rPr>
          <w:rFonts w:ascii="Calibri" w:eastAsia="SimSun" w:hAnsi="Calibri"/>
          <w:kern w:val="1"/>
          <w:sz w:val="20"/>
          <w:lang w:eastAsia="hi-IN" w:bidi="hi-IN"/>
        </w:rPr>
        <w:t>Komerční banka Opava, a.s./</w:t>
      </w:r>
      <w:r w:rsidR="005E4108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zastoupená: MUDr. Ladislavem </w:t>
      </w:r>
      <w:proofErr w:type="spellStart"/>
      <w:r w:rsidRPr="00214E72">
        <w:rPr>
          <w:rFonts w:ascii="Calibri" w:eastAsia="SimSun" w:hAnsi="Calibri"/>
          <w:kern w:val="1"/>
          <w:sz w:val="20"/>
          <w:lang w:eastAsia="hi-IN" w:bidi="hi-IN"/>
        </w:rPr>
        <w:t>Václavcem</w:t>
      </w:r>
      <w:proofErr w:type="spellEnd"/>
      <w:r w:rsidRPr="00214E72">
        <w:rPr>
          <w:rFonts w:ascii="Calibri" w:eastAsia="SimSun" w:hAnsi="Calibri"/>
          <w:kern w:val="1"/>
          <w:sz w:val="20"/>
          <w:lang w:eastAsia="hi-IN" w:bidi="hi-IN"/>
        </w:rPr>
        <w:t>, MBA, ředitelem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FE69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techniku,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Operační stůl </w:t>
      </w:r>
      <w:proofErr w:type="spellStart"/>
      <w:r w:rsid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>Ramed</w:t>
      </w:r>
      <w:proofErr w:type="spellEnd"/>
      <w:r w:rsid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 </w:t>
      </w:r>
      <w:r w:rsidR="00DD511C"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příslušenstvím</w:t>
      </w:r>
      <w:r w:rsidR="00FE69B7"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324C1F" w:rsidRPr="00DD511C">
        <w:rPr>
          <w:rFonts w:ascii="Calibri" w:eastAsia="SimSun" w:hAnsi="Calibri"/>
          <w:i/>
          <w:kern w:val="1"/>
          <w:sz w:val="20"/>
          <w:szCs w:val="20"/>
          <w:lang w:eastAsia="hi-IN" w:bidi="hi-IN"/>
        </w:rPr>
        <w:t>(doplní dodavatel v souladu se svou nabídkou)</w:t>
      </w:r>
      <w:r w:rsidR="00324C1F"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>je</w:t>
      </w:r>
      <w:r w:rsidR="005E45F0"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hož </w:t>
      </w:r>
      <w:r w:rsidRPr="00DD511C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uvedena v příloze č. 1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pdf</w:t>
      </w:r>
      <w:proofErr w:type="spell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, .</w:t>
      </w:r>
      <w:proofErr w:type="spellStart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jpg</w:t>
      </w:r>
      <w:proofErr w:type="spellEnd"/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>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IIa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nebo III), je-li relevantní, toto prohlášení bude opatřeno razítkem a podpisem zástupce prodávajícího. V případě, že prodávající dodá zboží zařazené do třídy </w:t>
      </w:r>
      <w:proofErr w:type="spellStart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IIb</w:t>
      </w:r>
      <w:proofErr w:type="spellEnd"/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Slezské nemocnice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br/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v Opavě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, příspěvková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730 541 340, email: </w:t>
      </w:r>
      <w:hyperlink r:id="rId9" w:history="1">
        <w:r w:rsidRPr="004A44B7">
          <w:rPr>
            <w:rFonts w:ascii="Calibri" w:eastAsia="SimSun" w:hAnsi="Calibri"/>
            <w:kern w:val="1"/>
            <w:sz w:val="20"/>
            <w:szCs w:val="20"/>
            <w:lang w:eastAsia="hi-IN" w:bidi="hi-IN"/>
          </w:rPr>
          <w:t>petr.gabriel@nemocnice.opava.cz</w:t>
        </w:r>
      </w:hyperlink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2517A2" w:rsidRPr="002517A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542 700,00</w:t>
      </w:r>
      <w:r w:rsidR="002517A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2517A2" w:rsidRPr="002517A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113 967,00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2517A2" w:rsidRPr="002517A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2517A2" w:rsidRPr="002517A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656 667,00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  <w:r w:rsidR="00464D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Pořízení zdravotnického vybavení pro S</w:t>
      </w:r>
      <w:r w:rsidR="0018224F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lezskou nemocnici v Opavě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 xml:space="preserve">, p. </w:t>
      </w:r>
      <w:proofErr w:type="gramStart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proofErr w:type="gramEnd"/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(CZ.06.2.56/0.0/0.0/16_043/0001448)</w:t>
      </w:r>
    </w:p>
    <w:p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SNO/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</w:t>
      </w:r>
      <w:r w:rsidR="00485D3F">
        <w:rPr>
          <w:rFonts w:ascii="Calibri" w:eastAsia="SimSun" w:hAnsi="Calibri"/>
          <w:snapToGrid w:val="0"/>
          <w:kern w:val="1"/>
          <w:sz w:val="20"/>
          <w:lang w:eastAsia="hi-IN" w:bidi="hi-IN"/>
        </w:rPr>
        <w:t>2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SNO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na:</w:t>
      </w:r>
    </w:p>
    <w:p w:rsidR="00913E17" w:rsidRPr="00DD511C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e-mail: </w:t>
      </w:r>
      <w:r w:rsidR="00DD511C"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ramed@ramed.cz</w:t>
      </w:r>
      <w:r w:rsidRPr="00DD511C">
        <w:rPr>
          <w:rFonts w:ascii="Calibri" w:eastAsia="SimSun" w:hAnsi="Calibri"/>
          <w:i/>
          <w:kern w:val="1"/>
          <w:sz w:val="20"/>
          <w:szCs w:val="20"/>
          <w:lang w:eastAsia="hi-IN" w:bidi="hi-IN"/>
        </w:rPr>
        <w:t xml:space="preserve"> </w:t>
      </w:r>
    </w:p>
    <w:p w:rsidR="00913E17" w:rsidRPr="00DD511C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adresu:</w:t>
      </w:r>
      <w:r w:rsidR="00DD511C"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  <w:r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  <w:proofErr w:type="spellStart"/>
      <w:r w:rsidR="00DD511C"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Ramed</w:t>
      </w:r>
      <w:proofErr w:type="spellEnd"/>
      <w:r w:rsidR="00DD511C" w:rsidRPr="00DD511C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Kopřivnice s.r.o., Jiráskova 646/4, 742 21 Kopřivnice</w:t>
      </w:r>
    </w:p>
    <w:p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DD511C">
        <w:rPr>
          <w:rFonts w:ascii="Calibri" w:hAnsi="Calibri"/>
          <w:sz w:val="20"/>
          <w:szCs w:val="20"/>
          <w:lang w:eastAsia="ar-SA"/>
        </w:rPr>
        <w:t>Jakmile kupující odešle toto oznámení, bude se mít za to, že požaduje bezplatné odstranění vady,</w:t>
      </w:r>
      <w:r w:rsidRPr="00214E72">
        <w:rPr>
          <w:rFonts w:ascii="Calibri" w:hAnsi="Calibri"/>
          <w:sz w:val="20"/>
          <w:szCs w:val="20"/>
          <w:lang w:eastAsia="ar-SA"/>
        </w:rPr>
        <w:t xml:space="preserve"> neuvede-li v oznámení jinak.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musí kupujícímu neprodleně sdělit, v jakém termínu nastoupí k odstranění vad(y) s tím,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:rsidR="00913E17" w:rsidRDefault="00913E1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neodstraní vadu zboží ve stanovené lhůtě, je povinen zaplatit kupujícímu smluvní pokutu ve výši 0,2 % z  kupní ceny včetně  DPH, stanovené v čl. V odst. 1 této smlouvy, za každý i jen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:rsidR="006A36A9" w:rsidRPr="00A36F2B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metadat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:rsidR="006A36A9" w:rsidRPr="00A36F2B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2: Cenová kalkulace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1331"/>
        <w:gridCol w:w="4261"/>
      </w:tblGrid>
      <w:tr w:rsidR="006A36A9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:rsidR="006A36A9" w:rsidRPr="00DD511C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6A66D0" w:rsidRPr="00DD511C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DD511C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Pr="00DD511C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DD511C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DD511C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</w:t>
            </w:r>
            <w:r w:rsidR="00DD511C" w:rsidRPr="00DD511C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 Brně dne 23.4.2018</w:t>
            </w:r>
            <w:r w:rsidRPr="00DD511C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324C1F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:rsidR="006A36A9" w:rsidRPr="0043750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43750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437502" w:rsidRDefault="00DD511C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43750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Ing. Pavel Stratil, jednatel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</w:tbl>
    <w:p w:rsidR="00C22CBD" w:rsidRDefault="00C22CBD"/>
    <w:p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:rsidR="00C22CBD" w:rsidRDefault="00C22CBD">
      <w:r w:rsidRPr="0055210D">
        <w:rPr>
          <w:rFonts w:ascii="Calibri" w:eastAsia="SimSun" w:hAnsi="Calibri"/>
          <w:b/>
          <w:kern w:val="2"/>
          <w:lang w:eastAsia="hi-IN" w:bidi="hi-IN"/>
        </w:rPr>
        <w:t xml:space="preserve">Příloha č. 1 </w:t>
      </w:r>
      <w:r w:rsidR="00A45DE6" w:rsidRPr="0055210D">
        <w:rPr>
          <w:rFonts w:ascii="Calibri" w:eastAsia="SimSun" w:hAnsi="Calibri"/>
          <w:b/>
          <w:kern w:val="2"/>
          <w:lang w:eastAsia="hi-IN" w:bidi="hi-IN"/>
        </w:rPr>
        <w:t xml:space="preserve">- </w:t>
      </w:r>
      <w:r w:rsidRPr="0055210D">
        <w:rPr>
          <w:rFonts w:ascii="Calibri" w:eastAsia="SimSun" w:hAnsi="Calibri"/>
          <w:b/>
          <w:kern w:val="2"/>
          <w:lang w:eastAsia="hi-IN" w:bidi="hi-IN"/>
        </w:rPr>
        <w:t>Specifikace zboží</w:t>
      </w:r>
      <w:r w:rsidRPr="0055210D"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  <w:t xml:space="preserve"> </w:t>
      </w:r>
    </w:p>
    <w:p w:rsidR="00A45DE6" w:rsidRDefault="00A45DE6"/>
    <w:p w:rsidR="002517A2" w:rsidRDefault="002517A2" w:rsidP="002517A2">
      <w:pPr>
        <w:widowControl w:val="0"/>
        <w:tabs>
          <w:tab w:val="left" w:pos="90"/>
          <w:tab w:val="left" w:pos="180"/>
          <w:tab w:val="right" w:pos="9596"/>
        </w:tabs>
        <w:autoSpaceDE w:val="0"/>
        <w:autoSpaceDN w:val="0"/>
        <w:adjustRightInd w:val="0"/>
        <w:spacing w:before="30"/>
        <w:rPr>
          <w:rFonts w:ascii="Arial" w:hAnsi="Arial" w:cs="Arial"/>
          <w:b/>
          <w:bCs/>
          <w:color w:val="000000"/>
          <w:sz w:val="50"/>
          <w:szCs w:val="5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Fénix Brno, spol. s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r.o.</w:t>
      </w:r>
      <w:r>
        <w:rPr>
          <w:rFonts w:ascii="Arial" w:hAnsi="Arial" w:cs="Arial"/>
          <w:color w:val="000000"/>
          <w:sz w:val="18"/>
          <w:szCs w:val="18"/>
        </w:rPr>
        <w:t>Vackova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79</w:t>
      </w:r>
      <w:r>
        <w:rPr>
          <w:rFonts w:ascii="Arial" w:hAnsi="Arial" w:cs="Arial"/>
        </w:rPr>
        <w:tab/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spacing w:before="4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612 00  Brno</w:t>
      </w:r>
      <w:proofErr w:type="gramEnd"/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8"/>
          <w:szCs w:val="18"/>
        </w:rPr>
        <w:t>Tel.: 541 218 129 - 30, Fax: 541 214 640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spacing w:before="42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PRO:</w:t>
      </w:r>
    </w:p>
    <w:p w:rsidR="002517A2" w:rsidRDefault="002517A2" w:rsidP="002517A2">
      <w:pPr>
        <w:widowControl w:val="0"/>
        <w:tabs>
          <w:tab w:val="left" w:pos="90"/>
          <w:tab w:val="left" w:pos="5046"/>
          <w:tab w:val="left" w:pos="6183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Slezská nemocnice v Opavě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ČÍSLO: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n12180620</w:t>
      </w:r>
    </w:p>
    <w:p w:rsidR="002517A2" w:rsidRDefault="002517A2" w:rsidP="002517A2">
      <w:pPr>
        <w:widowControl w:val="0"/>
        <w:tabs>
          <w:tab w:val="left" w:pos="90"/>
          <w:tab w:val="left" w:pos="5040"/>
          <w:tab w:val="left" w:pos="6177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příspěvková organizace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22.04.2018</w:t>
      </w:r>
    </w:p>
    <w:p w:rsidR="002517A2" w:rsidRDefault="002517A2" w:rsidP="002517A2">
      <w:pPr>
        <w:widowControl w:val="0"/>
        <w:tabs>
          <w:tab w:val="left" w:pos="90"/>
          <w:tab w:val="left" w:pos="5040"/>
          <w:tab w:val="left" w:pos="6177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>Olomoucká 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VYŘIZUJE: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Bronislav Klaus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746 01  Opava</w:t>
      </w:r>
      <w:proofErr w:type="gramEnd"/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Česká republika</w:t>
      </w:r>
    </w:p>
    <w:p w:rsidR="002517A2" w:rsidRDefault="002517A2" w:rsidP="002517A2">
      <w:pPr>
        <w:widowControl w:val="0"/>
        <w:tabs>
          <w:tab w:val="left" w:pos="90"/>
          <w:tab w:val="left" w:pos="5040"/>
          <w:tab w:val="left" w:pos="6177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t>tel.: 553 766 111, fax: 553 766 483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+420 541 218 129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spacing w:before="3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Vážený pane, vážená paní,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dovolujeme si Vám předložit tuto nabídku, kterou jsme vypracovali na základě Vašich požadavků.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spacing w:before="235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</w:rPr>
        <w:t xml:space="preserve">„Pořízení zdravotnického vybavení pro Slezskou nemocnici v Opavě, p. o. – 2. 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etapa“ – ČÁST 4: operační stůl</w:t>
      </w:r>
    </w:p>
    <w:p w:rsidR="002517A2" w:rsidRDefault="002517A2" w:rsidP="002517A2">
      <w:pPr>
        <w:widowControl w:val="0"/>
        <w:tabs>
          <w:tab w:val="left" w:pos="90"/>
          <w:tab w:val="left" w:pos="801"/>
          <w:tab w:val="right" w:pos="6150"/>
          <w:tab w:val="right" w:pos="7941"/>
          <w:tab w:val="right" w:pos="9588"/>
        </w:tabs>
        <w:autoSpaceDE w:val="0"/>
        <w:autoSpaceDN w:val="0"/>
        <w:adjustRightInd w:val="0"/>
        <w:spacing w:before="28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POZICE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NÁZEV A POPIS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MNOŽSTVÍ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CENA / KUS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CENA CELKEM</w:t>
      </w:r>
    </w:p>
    <w:p w:rsidR="002517A2" w:rsidRDefault="002517A2" w:rsidP="002517A2">
      <w:pPr>
        <w:widowControl w:val="0"/>
        <w:tabs>
          <w:tab w:val="right" w:pos="7941"/>
          <w:tab w:val="right" w:pos="9588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BEZ DPH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BEZ DPH</w:t>
      </w:r>
    </w:p>
    <w:p w:rsidR="002517A2" w:rsidRDefault="002517A2" w:rsidP="002517A2">
      <w:pPr>
        <w:widowControl w:val="0"/>
        <w:tabs>
          <w:tab w:val="left" w:pos="801"/>
        </w:tabs>
        <w:autoSpaceDE w:val="0"/>
        <w:autoSpaceDN w:val="0"/>
        <w:adjustRightInd w:val="0"/>
        <w:spacing w:before="5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Operační stůl RAMED 7300</w:t>
      </w:r>
    </w:p>
    <w:p w:rsidR="002517A2" w:rsidRDefault="002517A2" w:rsidP="002517A2">
      <w:pPr>
        <w:widowControl w:val="0"/>
        <w:tabs>
          <w:tab w:val="left" w:pos="90"/>
          <w:tab w:val="left" w:pos="801"/>
          <w:tab w:val="left" w:pos="971"/>
          <w:tab w:val="right" w:pos="5940"/>
          <w:tab w:val="left" w:pos="6030"/>
          <w:tab w:val="right" w:pos="7941"/>
          <w:tab w:val="right" w:pos="9588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</w:rPr>
        <w:tab/>
      </w:r>
      <w:r>
        <w:rPr>
          <w:rFonts w:ascii="Wingdings" w:hAnsi="Wingdings" w:cs="Wingdings"/>
          <w:color w:val="FF0000"/>
          <w:sz w:val="20"/>
          <w:szCs w:val="20"/>
        </w:rPr>
        <w:t>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Elektromechanický operační stůl, dle náročnosti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528 000 Kč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528 000 Kč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je možno zvolit členitost pracovní desky z řady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4 - 8 segmentových pracovních ploch, které jsou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vždy RTG transparentní, osazeny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odnímatelným čalouněním. Polohování pracovní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desky (zdvih, TR, ATR, laterální vyklápění) se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uskutečňuje vždy motoricky, kvalitními lineárními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elektropohony LINAK. Pohony jsou napájeny z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bezúdržbových akumulátorů, které umožňují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pracovat bez překážejících přívodních kabelů,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jakož i nezávisle na dodávce elektřiny ze sítě.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Ke stolu je dodáván ruční nebo na přání i nožní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ovladač. Současně je možno zvolit počet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dalších elektricky ovládaných pohybů segmentů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pracovní desky včetně posuvu celé pracovní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plochy (zvláštní výbava). Stůl si zachovává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vysokou stabilitu i při mobilním uspořádání,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které umožňuje pojíždění po sále na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zabudovaných kolečkách.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konstrukce je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vyrobena z vysokojakostní chromniklové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nerezoceli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kvalitou potvrzenou atesty. Po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obvodu pracovní desky jsou umístěny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eurolišty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pro upevnění celé řady příslušenství.</w:t>
      </w:r>
    </w:p>
    <w:p w:rsidR="002517A2" w:rsidRDefault="002517A2" w:rsidP="002517A2">
      <w:pPr>
        <w:widowControl w:val="0"/>
        <w:tabs>
          <w:tab w:val="left" w:pos="9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Obj.číslo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R-R7300</w:t>
      </w:r>
    </w:p>
    <w:p w:rsidR="002517A2" w:rsidRDefault="002517A2" w:rsidP="002517A2">
      <w:pPr>
        <w:widowControl w:val="0"/>
        <w:tabs>
          <w:tab w:val="left" w:pos="801"/>
        </w:tabs>
        <w:autoSpaceDE w:val="0"/>
        <w:autoSpaceDN w:val="0"/>
        <w:adjustRightInd w:val="0"/>
        <w:spacing w:before="72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Opěrka ruky infuzní</w:t>
      </w:r>
    </w:p>
    <w:p w:rsidR="002517A2" w:rsidRDefault="002517A2" w:rsidP="002517A2">
      <w:pPr>
        <w:widowControl w:val="0"/>
        <w:tabs>
          <w:tab w:val="left" w:pos="90"/>
          <w:tab w:val="left" w:pos="801"/>
          <w:tab w:val="left" w:pos="971"/>
          <w:tab w:val="right" w:pos="5940"/>
          <w:tab w:val="left" w:pos="6030"/>
          <w:tab w:val="right" w:pos="7941"/>
          <w:tab w:val="right" w:pos="9588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002</w:t>
      </w:r>
      <w:r>
        <w:rPr>
          <w:rFonts w:ascii="Arial" w:hAnsi="Arial" w:cs="Arial"/>
        </w:rPr>
        <w:tab/>
      </w:r>
      <w:r>
        <w:rPr>
          <w:rFonts w:ascii="Wingdings" w:hAnsi="Wingdings" w:cs="Wingdings"/>
          <w:color w:val="FF0000"/>
          <w:sz w:val="20"/>
          <w:szCs w:val="20"/>
        </w:rPr>
        <w:t>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Obj.číslo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R-01.04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4 900 Kč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9 800 Kč</w:t>
      </w:r>
    </w:p>
    <w:p w:rsidR="002517A2" w:rsidRDefault="002517A2" w:rsidP="002517A2">
      <w:pPr>
        <w:widowControl w:val="0"/>
        <w:tabs>
          <w:tab w:val="left" w:pos="801"/>
        </w:tabs>
        <w:autoSpaceDE w:val="0"/>
        <w:autoSpaceDN w:val="0"/>
        <w:adjustRightInd w:val="0"/>
        <w:spacing w:before="5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Oddělovací rámek pro anestézii</w:t>
      </w:r>
    </w:p>
    <w:p w:rsidR="002517A2" w:rsidRDefault="002517A2" w:rsidP="002517A2">
      <w:pPr>
        <w:widowControl w:val="0"/>
        <w:tabs>
          <w:tab w:val="left" w:pos="90"/>
          <w:tab w:val="left" w:pos="801"/>
          <w:tab w:val="left" w:pos="971"/>
          <w:tab w:val="right" w:pos="5940"/>
          <w:tab w:val="left" w:pos="6030"/>
          <w:tab w:val="right" w:pos="7941"/>
          <w:tab w:val="right" w:pos="9588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003</w:t>
      </w:r>
      <w:r>
        <w:rPr>
          <w:rFonts w:ascii="Arial" w:hAnsi="Arial" w:cs="Arial"/>
        </w:rPr>
        <w:tab/>
      </w:r>
      <w:r>
        <w:rPr>
          <w:rFonts w:ascii="Wingdings" w:hAnsi="Wingdings" w:cs="Wingdings"/>
          <w:color w:val="FF0000"/>
          <w:sz w:val="20"/>
          <w:szCs w:val="20"/>
        </w:rPr>
        <w:t>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Obj.číslo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R-01.01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4 900 Kč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4 900 Kč</w:t>
      </w:r>
    </w:p>
    <w:p w:rsidR="002517A2" w:rsidRDefault="002517A2" w:rsidP="002517A2">
      <w:pPr>
        <w:widowControl w:val="0"/>
        <w:tabs>
          <w:tab w:val="right" w:pos="5835"/>
          <w:tab w:val="right" w:pos="7941"/>
        </w:tabs>
        <w:autoSpaceDE w:val="0"/>
        <w:autoSpaceDN w:val="0"/>
        <w:adjustRightInd w:val="0"/>
        <w:spacing w:before="176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CELKEM BEZ DPH: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542 700,00 Kč</w:t>
      </w:r>
    </w:p>
    <w:p w:rsidR="002517A2" w:rsidRDefault="002517A2" w:rsidP="002517A2">
      <w:pPr>
        <w:widowControl w:val="0"/>
        <w:tabs>
          <w:tab w:val="right" w:pos="5835"/>
          <w:tab w:val="right" w:pos="7941"/>
        </w:tabs>
        <w:autoSpaceDE w:val="0"/>
        <w:autoSpaceDN w:val="0"/>
        <w:adjustRightInd w:val="0"/>
        <w:spacing w:before="1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CELKEM DPH: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113 967,00 Kč</w:t>
      </w:r>
    </w:p>
    <w:p w:rsidR="002517A2" w:rsidRDefault="002517A2" w:rsidP="002517A2">
      <w:pPr>
        <w:widowControl w:val="0"/>
        <w:tabs>
          <w:tab w:val="right" w:pos="5835"/>
          <w:tab w:val="right" w:pos="7941"/>
        </w:tabs>
        <w:autoSpaceDE w:val="0"/>
        <w:autoSpaceDN w:val="0"/>
        <w:adjustRightInd w:val="0"/>
        <w:spacing w:before="1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CELKEM: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656 667,00 Kč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spacing w:before="10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Pracovníci naší firmy Vám rádi zodpoví jakékoliv bližší technické či obchodní dotazy. Děkujeme Vám za projevený zájem a 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těšíme se na spolupráci. 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 pozdravem     </w:t>
      </w:r>
    </w:p>
    <w:p w:rsidR="00435AE1" w:rsidRDefault="00435AE1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35AE1" w:rsidRDefault="00435AE1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35AE1" w:rsidRDefault="00435AE1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35AE1" w:rsidRDefault="00435AE1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Fénix Brno, spol. s r. o.</w:t>
      </w:r>
    </w:p>
    <w:p w:rsidR="002517A2" w:rsidRDefault="002517A2" w:rsidP="002517A2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Ing. Pavel Stratil</w:t>
      </w:r>
    </w:p>
    <w:p w:rsidR="00A22183" w:rsidRDefault="00A22183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2517A2" w:rsidRDefault="002517A2">
      <w:pPr>
        <w:spacing w:after="200" w:line="276" w:lineRule="auto"/>
      </w:pPr>
    </w:p>
    <w:p w:rsidR="00A45DE6" w:rsidRDefault="00A45DE6">
      <w:pPr>
        <w:rPr>
          <w:b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 xml:space="preserve">Příloha č. 2 - Cenová </w:t>
      </w:r>
      <w:r w:rsidRPr="00437502">
        <w:rPr>
          <w:rFonts w:ascii="Calibri" w:eastAsia="SimSun" w:hAnsi="Calibri"/>
          <w:b/>
          <w:kern w:val="2"/>
          <w:lang w:eastAsia="hi-IN" w:bidi="hi-IN"/>
        </w:rPr>
        <w:t>kalkulace</w:t>
      </w:r>
      <w:r w:rsidRPr="00437502">
        <w:rPr>
          <w:b/>
        </w:rPr>
        <w:t xml:space="preserve"> </w:t>
      </w:r>
    </w:p>
    <w:p w:rsidR="00435AE1" w:rsidRDefault="00435AE1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</w:p>
    <w:p w:rsidR="00435AE1" w:rsidRDefault="00435AE1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</w:p>
    <w:p w:rsidR="00435AE1" w:rsidRDefault="00435AE1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</w:p>
    <w:p w:rsidR="00435AE1" w:rsidRDefault="00435AE1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</w:p>
    <w:p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701"/>
        <w:gridCol w:w="1701"/>
        <w:gridCol w:w="1701"/>
      </w:tblGrid>
      <w:tr w:rsidR="00FB155D" w:rsidRPr="00C22CBD" w:rsidTr="00FB155D">
        <w:trPr>
          <w:trHeight w:val="519"/>
        </w:trPr>
        <w:tc>
          <w:tcPr>
            <w:tcW w:w="195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276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  <w:vAlign w:val="center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435AE1" w:rsidTr="00DB7E95">
        <w:trPr>
          <w:trHeight w:hRule="exact" w:val="397"/>
        </w:trPr>
        <w:tc>
          <w:tcPr>
            <w:tcW w:w="1951" w:type="dxa"/>
            <w:vAlign w:val="center"/>
          </w:tcPr>
          <w:p w:rsidR="00435AE1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R-R7300</w:t>
            </w: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Operační stůl RAMED 7300</w:t>
            </w:r>
          </w:p>
          <w:p w:rsidR="00435AE1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  <w:p w:rsidR="00435AE1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  <w:p w:rsidR="00435AE1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 ks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528 000,00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638 880,00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528 000,00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638 880,00</w:t>
            </w:r>
          </w:p>
        </w:tc>
      </w:tr>
      <w:tr w:rsidR="00435AE1" w:rsidTr="00FB155D">
        <w:trPr>
          <w:trHeight w:hRule="exact" w:val="397"/>
        </w:trPr>
        <w:tc>
          <w:tcPr>
            <w:tcW w:w="195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R-01.04</w:t>
            </w: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Opěrka ruky infuzní</w:t>
            </w:r>
          </w:p>
        </w:tc>
        <w:tc>
          <w:tcPr>
            <w:tcW w:w="1276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2 ks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4 900,00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5 929,00</w:t>
            </w:r>
          </w:p>
        </w:tc>
        <w:tc>
          <w:tcPr>
            <w:tcW w:w="1701" w:type="dxa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9 800,00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11 858,00</w:t>
            </w:r>
          </w:p>
        </w:tc>
      </w:tr>
      <w:tr w:rsidR="00435AE1" w:rsidTr="00D33D6E">
        <w:trPr>
          <w:trHeight w:hRule="exact" w:val="397"/>
        </w:trPr>
        <w:tc>
          <w:tcPr>
            <w:tcW w:w="195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R-01.01</w:t>
            </w: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Oddělovací rámek pro anestézii</w:t>
            </w:r>
          </w:p>
        </w:tc>
        <w:tc>
          <w:tcPr>
            <w:tcW w:w="1276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 ks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4 900,00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5 929,00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2517A2"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4 900,00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5 929,00</w:t>
            </w:r>
          </w:p>
        </w:tc>
      </w:tr>
      <w:tr w:rsidR="00435AE1" w:rsidRPr="00FB155D" w:rsidTr="00FB155D">
        <w:trPr>
          <w:trHeight w:hRule="exact" w:val="397"/>
        </w:trPr>
        <w:tc>
          <w:tcPr>
            <w:tcW w:w="195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276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435AE1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542 700,00</w:t>
            </w:r>
          </w:p>
        </w:tc>
        <w:tc>
          <w:tcPr>
            <w:tcW w:w="1701" w:type="dxa"/>
            <w:vAlign w:val="center"/>
          </w:tcPr>
          <w:p w:rsidR="00435AE1" w:rsidRPr="0055210D" w:rsidRDefault="00435AE1" w:rsidP="00435AE1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435AE1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656 667,00</w:t>
            </w:r>
          </w:p>
        </w:tc>
      </w:tr>
    </w:tbl>
    <w:p w:rsidR="00C22CBD" w:rsidRDefault="00C22CBD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6D4353"/>
    <w:p w:rsidR="00435AE1" w:rsidRDefault="00435AE1" w:rsidP="00435AE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Fénix Brno, spol. s r. o.</w:t>
      </w:r>
    </w:p>
    <w:p w:rsidR="00435AE1" w:rsidRDefault="00435AE1" w:rsidP="00435AE1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Ing. Pavel Stratil</w:t>
      </w:r>
    </w:p>
    <w:p w:rsidR="00435AE1" w:rsidRDefault="00435AE1" w:rsidP="006D4353"/>
    <w:sectPr w:rsidR="00435AE1" w:rsidSect="00A2218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6E" w:rsidRDefault="00A9346E" w:rsidP="009B0C36">
      <w:r>
        <w:separator/>
      </w:r>
    </w:p>
  </w:endnote>
  <w:endnote w:type="continuationSeparator" w:id="0">
    <w:p w:rsidR="00A9346E" w:rsidRDefault="00A9346E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D6359" w:rsidRDefault="00FD6359">
            <w:pPr>
              <w:pStyle w:val="Zpat"/>
              <w:jc w:val="center"/>
            </w:pPr>
          </w:p>
          <w:p w:rsidR="00FD6359" w:rsidRDefault="00B6314C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FD6359" w:rsidRDefault="00FD6359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B6314C">
              <w:rPr>
                <w:rFonts w:ascii="Calibri" w:hAnsi="Calibri" w:cs="Calibri"/>
                <w:b/>
                <w:noProof/>
                <w:sz w:val="22"/>
              </w:rPr>
              <w:t>11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B6314C">
              <w:rPr>
                <w:rFonts w:ascii="Calibri" w:hAnsi="Calibri" w:cs="Calibri"/>
                <w:b/>
                <w:noProof/>
                <w:sz w:val="22"/>
              </w:rPr>
              <w:t>11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:rsidR="00FD6359" w:rsidRPr="00FD6359" w:rsidRDefault="00A22183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="00FD6359" w:rsidRPr="00FD6359">
              <w:rPr>
                <w:rFonts w:ascii="Calibri" w:hAnsi="Calibri" w:cs="Calibri"/>
                <w:sz w:val="20"/>
              </w:rPr>
              <w:t>KS k VZ SNO/FMP/2017/0</w:t>
            </w:r>
            <w:r w:rsidR="006644F1">
              <w:rPr>
                <w:rFonts w:ascii="Calibri" w:hAnsi="Calibri" w:cs="Calibri"/>
                <w:sz w:val="20"/>
              </w:rPr>
              <w:t>2</w:t>
            </w:r>
            <w:r w:rsidR="00FD6359" w:rsidRPr="00FD6359">
              <w:rPr>
                <w:rFonts w:ascii="Calibri" w:hAnsi="Calibri" w:cs="Calibri"/>
                <w:sz w:val="20"/>
              </w:rPr>
              <w:t>/pořízení zdravotnického vybavení pro SNO-2. etapa</w:t>
            </w:r>
          </w:p>
          <w:p w:rsidR="00FD6359" w:rsidRDefault="00FD6359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83" w:rsidRDefault="00A22183" w:rsidP="00A22183">
    <w:pPr>
      <w:pStyle w:val="Zpat"/>
    </w:pPr>
  </w:p>
  <w:p w:rsidR="00A22183" w:rsidRDefault="00B6314C" w:rsidP="00A2218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Pr="00A22183">
      <w:rPr>
        <w:rFonts w:asciiTheme="minorHAnsi" w:hAnsiTheme="minorHAnsi" w:cstheme="minorHAnsi"/>
        <w:b/>
        <w:sz w:val="22"/>
        <w:szCs w:val="22"/>
      </w:rPr>
      <w:t xml:space="preserve"> z 10</w:t>
    </w:r>
  </w:p>
  <w:p w:rsidR="00A22183" w:rsidRPr="00A22183" w:rsidRDefault="00A22183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SNO/FMP/2017/0</w:t>
    </w:r>
    <w:r w:rsidR="00FF1562">
      <w:rPr>
        <w:rFonts w:asciiTheme="minorHAnsi" w:hAnsiTheme="minorHAnsi" w:cstheme="minorHAnsi"/>
        <w:sz w:val="20"/>
        <w:szCs w:val="20"/>
      </w:rPr>
      <w:t>2</w:t>
    </w:r>
    <w:r w:rsidRPr="00A22183">
      <w:rPr>
        <w:rFonts w:asciiTheme="minorHAnsi" w:hAnsiTheme="minorHAnsi" w:cstheme="minorHAnsi"/>
        <w:sz w:val="20"/>
        <w:szCs w:val="20"/>
      </w:rPr>
      <w:t>/pořízení zdravotnického vybavení pro SNO-2. etapa</w: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6E" w:rsidRDefault="00A9346E" w:rsidP="009B0C36">
      <w:r>
        <w:separator/>
      </w:r>
    </w:p>
  </w:footnote>
  <w:footnote w:type="continuationSeparator" w:id="0">
    <w:p w:rsidR="00A9346E" w:rsidRDefault="00A9346E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 w:rsidR="00DC64C0">
      <w:rPr>
        <w:noProof/>
      </w:rPr>
      <w:drawing>
        <wp:inline distT="0" distB="0" distL="0" distR="0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83" w:rsidRPr="00876FDC" w:rsidRDefault="00A22183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</w:t>
    </w:r>
    <w:r w:rsidRPr="00876FDC">
      <w:rPr>
        <w:sz w:val="16"/>
        <w:szCs w:val="16"/>
      </w:rPr>
      <w:t xml:space="preserve">Zadavatel: </w:t>
    </w:r>
  </w:p>
  <w:p w:rsidR="00A22183" w:rsidRPr="00876FDC" w:rsidRDefault="00A22183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</w:t>
    </w:r>
    <w:r w:rsidRPr="00876FDC">
      <w:rPr>
        <w:sz w:val="16"/>
        <w:szCs w:val="16"/>
      </w:rPr>
      <w:t xml:space="preserve">lezská nemocnice v Opavě, příspěvková </w:t>
    </w:r>
    <w:proofErr w:type="spellStart"/>
    <w:r w:rsidRPr="00876FDC">
      <w:rPr>
        <w:sz w:val="16"/>
        <w:szCs w:val="16"/>
      </w:rPr>
      <w:t>org</w:t>
    </w:r>
    <w:proofErr w:type="spellEnd"/>
    <w:r w:rsidRPr="00876FDC">
      <w:rPr>
        <w:sz w:val="16"/>
        <w:szCs w:val="16"/>
      </w:rPr>
      <w:t>.</w:t>
    </w:r>
  </w:p>
  <w:p w:rsidR="00A22183" w:rsidRPr="00876FDC" w:rsidRDefault="00A22183" w:rsidP="00A22183">
    <w:pPr>
      <w:pStyle w:val="Zhlav"/>
      <w:rPr>
        <w:sz w:val="16"/>
        <w:szCs w:val="16"/>
      </w:rPr>
    </w:pPr>
  </w:p>
  <w:p w:rsidR="00A22183" w:rsidRPr="00876FDC" w:rsidRDefault="00A22183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A22183" w:rsidRDefault="00871FAA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1FAA">
      <w:rPr>
        <w:sz w:val="16"/>
        <w:szCs w:val="16"/>
      </w:rPr>
      <w:t>„Pořízení zdravotnického vybavení pro Slezskou nemocnici v Opavě, p. o. – 2. etapa“ – ČÁST 4: operační stůl</w:t>
    </w:r>
  </w:p>
  <w:p w:rsidR="00A22183" w:rsidRDefault="00A22183" w:rsidP="00A22183">
    <w:pPr>
      <w:pStyle w:val="Zhlav"/>
    </w:pPr>
  </w:p>
  <w:p w:rsidR="00A22183" w:rsidRDefault="00A22183" w:rsidP="00A22183">
    <w:pPr>
      <w:pStyle w:val="Zhlav"/>
    </w:pPr>
    <w:r>
      <w:rPr>
        <w:noProof/>
      </w:rPr>
      <w:drawing>
        <wp:inline distT="0" distB="0" distL="0" distR="0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183" w:rsidRDefault="00A221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7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4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1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A9"/>
    <w:rsid w:val="00036D74"/>
    <w:rsid w:val="00060C8E"/>
    <w:rsid w:val="00070A32"/>
    <w:rsid w:val="000724BF"/>
    <w:rsid w:val="000D36BA"/>
    <w:rsid w:val="00120FA0"/>
    <w:rsid w:val="00125B5B"/>
    <w:rsid w:val="00173BE6"/>
    <w:rsid w:val="0018224F"/>
    <w:rsid w:val="00183F7F"/>
    <w:rsid w:val="001A165A"/>
    <w:rsid w:val="001B596A"/>
    <w:rsid w:val="001D792C"/>
    <w:rsid w:val="001F2F85"/>
    <w:rsid w:val="002168F1"/>
    <w:rsid w:val="0022065C"/>
    <w:rsid w:val="002517A2"/>
    <w:rsid w:val="00252EDF"/>
    <w:rsid w:val="00254B7C"/>
    <w:rsid w:val="002627D2"/>
    <w:rsid w:val="00262A6A"/>
    <w:rsid w:val="002845C1"/>
    <w:rsid w:val="002F5FD2"/>
    <w:rsid w:val="00313EE2"/>
    <w:rsid w:val="00324C1F"/>
    <w:rsid w:val="003430C4"/>
    <w:rsid w:val="0034495D"/>
    <w:rsid w:val="00371E40"/>
    <w:rsid w:val="00377317"/>
    <w:rsid w:val="00384616"/>
    <w:rsid w:val="003F65CD"/>
    <w:rsid w:val="00404291"/>
    <w:rsid w:val="00435AE1"/>
    <w:rsid w:val="00437502"/>
    <w:rsid w:val="00454AFF"/>
    <w:rsid w:val="00462F7D"/>
    <w:rsid w:val="00464D2C"/>
    <w:rsid w:val="004722AB"/>
    <w:rsid w:val="004759DF"/>
    <w:rsid w:val="00485D3F"/>
    <w:rsid w:val="004A44B7"/>
    <w:rsid w:val="004A6ACE"/>
    <w:rsid w:val="004C499D"/>
    <w:rsid w:val="004C684E"/>
    <w:rsid w:val="004E44C6"/>
    <w:rsid w:val="0053054B"/>
    <w:rsid w:val="00541181"/>
    <w:rsid w:val="0055210D"/>
    <w:rsid w:val="00562ECE"/>
    <w:rsid w:val="00562FA5"/>
    <w:rsid w:val="005667FC"/>
    <w:rsid w:val="00582AD2"/>
    <w:rsid w:val="00595449"/>
    <w:rsid w:val="005D13F6"/>
    <w:rsid w:val="005E4108"/>
    <w:rsid w:val="005E45F0"/>
    <w:rsid w:val="005F253D"/>
    <w:rsid w:val="006013B3"/>
    <w:rsid w:val="00647A96"/>
    <w:rsid w:val="006644F1"/>
    <w:rsid w:val="006A36A9"/>
    <w:rsid w:val="006A66D0"/>
    <w:rsid w:val="006C68BC"/>
    <w:rsid w:val="006D4353"/>
    <w:rsid w:val="006E112B"/>
    <w:rsid w:val="006F4943"/>
    <w:rsid w:val="00724329"/>
    <w:rsid w:val="00730495"/>
    <w:rsid w:val="00740349"/>
    <w:rsid w:val="00756F6B"/>
    <w:rsid w:val="00757715"/>
    <w:rsid w:val="00782111"/>
    <w:rsid w:val="00784323"/>
    <w:rsid w:val="007915AF"/>
    <w:rsid w:val="007F3550"/>
    <w:rsid w:val="008159BA"/>
    <w:rsid w:val="00816E91"/>
    <w:rsid w:val="00820A88"/>
    <w:rsid w:val="00871FAA"/>
    <w:rsid w:val="0087313E"/>
    <w:rsid w:val="00885D47"/>
    <w:rsid w:val="00886AE5"/>
    <w:rsid w:val="00890709"/>
    <w:rsid w:val="008A7807"/>
    <w:rsid w:val="008F2185"/>
    <w:rsid w:val="00913E17"/>
    <w:rsid w:val="009143AC"/>
    <w:rsid w:val="00975F9F"/>
    <w:rsid w:val="009A5D2F"/>
    <w:rsid w:val="009B0C36"/>
    <w:rsid w:val="009C4C43"/>
    <w:rsid w:val="009E5250"/>
    <w:rsid w:val="009F12A2"/>
    <w:rsid w:val="009F3A86"/>
    <w:rsid w:val="00A1327B"/>
    <w:rsid w:val="00A22183"/>
    <w:rsid w:val="00A32B70"/>
    <w:rsid w:val="00A36F2B"/>
    <w:rsid w:val="00A45DE6"/>
    <w:rsid w:val="00A6153B"/>
    <w:rsid w:val="00A84E6D"/>
    <w:rsid w:val="00A9346E"/>
    <w:rsid w:val="00A94CB1"/>
    <w:rsid w:val="00A97DF3"/>
    <w:rsid w:val="00AA0A1C"/>
    <w:rsid w:val="00AD7ACD"/>
    <w:rsid w:val="00AE1F0F"/>
    <w:rsid w:val="00AF367E"/>
    <w:rsid w:val="00AF7FBA"/>
    <w:rsid w:val="00B539F1"/>
    <w:rsid w:val="00B6314C"/>
    <w:rsid w:val="00B91721"/>
    <w:rsid w:val="00BB6A4B"/>
    <w:rsid w:val="00BF2FC2"/>
    <w:rsid w:val="00BF4810"/>
    <w:rsid w:val="00C22CBD"/>
    <w:rsid w:val="00C96C5E"/>
    <w:rsid w:val="00CA216B"/>
    <w:rsid w:val="00CC3673"/>
    <w:rsid w:val="00D026F4"/>
    <w:rsid w:val="00D2701F"/>
    <w:rsid w:val="00D335CC"/>
    <w:rsid w:val="00D34575"/>
    <w:rsid w:val="00D71975"/>
    <w:rsid w:val="00D8774B"/>
    <w:rsid w:val="00DC64C0"/>
    <w:rsid w:val="00DD511C"/>
    <w:rsid w:val="00E3141B"/>
    <w:rsid w:val="00E702F2"/>
    <w:rsid w:val="00EB3016"/>
    <w:rsid w:val="00F204CF"/>
    <w:rsid w:val="00F24E27"/>
    <w:rsid w:val="00F65150"/>
    <w:rsid w:val="00FB155D"/>
    <w:rsid w:val="00FC5BCF"/>
    <w:rsid w:val="00FD6359"/>
    <w:rsid w:val="00FE3AF9"/>
    <w:rsid w:val="00FE69B7"/>
    <w:rsid w:val="00FF134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.gabriel@nemocnice.opav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5D70-289C-4086-8402-82A00D8B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3190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Renáta Mrkvová</cp:lastModifiedBy>
  <cp:revision>3</cp:revision>
  <cp:lastPrinted>2017-08-30T12:44:00Z</cp:lastPrinted>
  <dcterms:created xsi:type="dcterms:W3CDTF">2018-08-17T09:01:00Z</dcterms:created>
  <dcterms:modified xsi:type="dcterms:W3CDTF">2018-08-17T09:02:00Z</dcterms:modified>
</cp:coreProperties>
</file>