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5F" w:rsidRDefault="0015245F">
      <w:pPr>
        <w:spacing w:after="22" w:line="259" w:lineRule="auto"/>
        <w:ind w:left="0" w:firstLine="0"/>
        <w:jc w:val="left"/>
      </w:pPr>
    </w:p>
    <w:p w:rsidR="0015245F" w:rsidRDefault="00C15D0B">
      <w:pPr>
        <w:pStyle w:val="Nadpis1"/>
      </w:pPr>
      <w:r>
        <w:t>OBJEDNÁVKA (SMLOUVA)</w:t>
      </w:r>
    </w:p>
    <w:p w:rsidR="0015245F" w:rsidRDefault="00C15D0B">
      <w:pPr>
        <w:spacing w:after="0" w:line="264" w:lineRule="auto"/>
        <w:ind w:left="663" w:right="475" w:hanging="10"/>
        <w:jc w:val="center"/>
      </w:pPr>
      <w:r>
        <w:t>číslo objednatele:</w:t>
      </w:r>
      <w:r>
        <w:rPr>
          <w:noProof/>
        </w:rPr>
        <w:t xml:space="preserve"> 06EU-003834</w:t>
      </w:r>
    </w:p>
    <w:p w:rsidR="0015245F" w:rsidRPr="00C15D0B" w:rsidRDefault="00C15D0B">
      <w:pPr>
        <w:spacing w:after="0" w:line="264" w:lineRule="auto"/>
        <w:ind w:left="663" w:right="10" w:hanging="10"/>
        <w:jc w:val="center"/>
        <w:rPr>
          <w:highlight w:val="black"/>
        </w:rPr>
      </w:pPr>
      <w:r>
        <w:t xml:space="preserve">Číslo dodavatele: </w:t>
      </w:r>
      <w:r w:rsidRPr="00C15D0B">
        <w:rPr>
          <w:highlight w:val="black"/>
        </w:rPr>
        <w:t>18-46</w:t>
      </w:r>
    </w:p>
    <w:p w:rsidR="0015245F" w:rsidRPr="00C15D0B" w:rsidRDefault="00C15D0B">
      <w:pPr>
        <w:spacing w:after="364" w:line="264" w:lineRule="auto"/>
        <w:ind w:left="663" w:hanging="10"/>
        <w:jc w:val="center"/>
        <w:rPr>
          <w:highlight w:val="black"/>
        </w:rPr>
      </w:pPr>
      <w:r>
        <w:t xml:space="preserve">ISPROFIN: </w:t>
      </w:r>
      <w:r w:rsidRPr="00C15D0B">
        <w:rPr>
          <w:highlight w:val="black"/>
        </w:rPr>
        <w:t>5001210002.16978.2018</w:t>
      </w:r>
    </w:p>
    <w:p w:rsidR="00167F96" w:rsidRDefault="00C15D0B" w:rsidP="00167F96">
      <w:pPr>
        <w:spacing w:after="0" w:line="360" w:lineRule="auto"/>
        <w:ind w:left="0" w:right="-17" w:firstLine="567"/>
        <w:jc w:val="center"/>
        <w:rPr>
          <w:b/>
          <w:sz w:val="28"/>
          <w:u w:val="single"/>
        </w:rPr>
      </w:pPr>
      <w:r w:rsidRPr="00C15D0B">
        <w:rPr>
          <w:b/>
          <w:sz w:val="28"/>
          <w:u w:val="single"/>
        </w:rPr>
        <w:t>I/26 Holýšov-okružní křižovatka (x Luční x K </w:t>
      </w:r>
      <w:proofErr w:type="spellStart"/>
      <w:r w:rsidRPr="00C15D0B">
        <w:rPr>
          <w:b/>
          <w:sz w:val="28"/>
          <w:u w:val="single"/>
        </w:rPr>
        <w:t>EvoBusu</w:t>
      </w:r>
      <w:proofErr w:type="spellEnd"/>
      <w:r w:rsidRPr="00C15D0B">
        <w:rPr>
          <w:b/>
          <w:sz w:val="28"/>
          <w:u w:val="single"/>
        </w:rPr>
        <w:t>)</w:t>
      </w:r>
    </w:p>
    <w:p w:rsidR="0015245F" w:rsidRDefault="00C15D0B" w:rsidP="00167F96">
      <w:pPr>
        <w:spacing w:after="0" w:line="360" w:lineRule="auto"/>
        <w:ind w:left="0" w:right="-17" w:firstLine="567"/>
        <w:jc w:val="center"/>
        <w:rPr>
          <w:b/>
          <w:sz w:val="28"/>
          <w:u w:val="single"/>
        </w:rPr>
      </w:pPr>
      <w:r w:rsidRPr="00C15D0B">
        <w:rPr>
          <w:b/>
          <w:sz w:val="28"/>
          <w:u w:val="single"/>
        </w:rPr>
        <w:t xml:space="preserve"> Studie - posouzení výkonnosti OK</w:t>
      </w:r>
    </w:p>
    <w:p w:rsidR="00167F96" w:rsidRPr="00C15D0B" w:rsidRDefault="00167F96" w:rsidP="00167F96">
      <w:pPr>
        <w:spacing w:after="0" w:line="360" w:lineRule="auto"/>
        <w:ind w:left="0" w:right="-17" w:firstLine="567"/>
        <w:jc w:val="center"/>
        <w:rPr>
          <w:b/>
          <w:u w:val="single"/>
        </w:rPr>
      </w:pPr>
    </w:p>
    <w:p w:rsidR="0015245F" w:rsidRPr="00C15D0B" w:rsidRDefault="00C15D0B">
      <w:pPr>
        <w:tabs>
          <w:tab w:val="center" w:pos="1390"/>
          <w:tab w:val="center" w:pos="6031"/>
        </w:tabs>
        <w:spacing w:after="11" w:line="259" w:lineRule="auto"/>
        <w:ind w:left="0" w:firstLine="0"/>
        <w:jc w:val="left"/>
        <w:rPr>
          <w:szCs w:val="24"/>
        </w:rPr>
      </w:pPr>
      <w:r>
        <w:rPr>
          <w:sz w:val="26"/>
        </w:rPr>
        <w:t xml:space="preserve">            </w:t>
      </w:r>
      <w:r w:rsidRPr="00C15D0B">
        <w:rPr>
          <w:szCs w:val="24"/>
        </w:rPr>
        <w:t>Objednatel:</w:t>
      </w:r>
      <w:r w:rsidRPr="00C15D0B">
        <w:rPr>
          <w:szCs w:val="24"/>
        </w:rPr>
        <w:tab/>
        <w:t>Dodavatel:</w:t>
      </w:r>
    </w:p>
    <w:p w:rsidR="0015245F" w:rsidRPr="00C15D0B" w:rsidRDefault="00C15D0B">
      <w:pPr>
        <w:tabs>
          <w:tab w:val="center" w:pos="2155"/>
          <w:tab w:val="center" w:pos="6847"/>
        </w:tabs>
        <w:ind w:left="0" w:firstLine="0"/>
        <w:jc w:val="left"/>
        <w:rPr>
          <w:szCs w:val="24"/>
        </w:rPr>
      </w:pPr>
      <w:r w:rsidRPr="00C15D0B">
        <w:rPr>
          <w:szCs w:val="24"/>
        </w:rPr>
        <w:tab/>
        <w:t>Ředitelství silnic a dálnic ČR</w:t>
      </w:r>
      <w:r w:rsidRPr="00C15D0B">
        <w:rPr>
          <w:szCs w:val="24"/>
        </w:rPr>
        <w:tab/>
        <w:t>Obchodní jméno: EDIP s.r.o.</w:t>
      </w:r>
    </w:p>
    <w:p w:rsidR="0015245F" w:rsidRPr="00C15D0B" w:rsidRDefault="00C15D0B">
      <w:pPr>
        <w:tabs>
          <w:tab w:val="center" w:pos="2770"/>
          <w:tab w:val="center" w:pos="7330"/>
        </w:tabs>
        <w:spacing w:after="58"/>
        <w:ind w:left="0" w:firstLine="0"/>
        <w:jc w:val="left"/>
        <w:rPr>
          <w:szCs w:val="24"/>
        </w:rPr>
      </w:pPr>
      <w:r w:rsidRPr="00C15D0B">
        <w:rPr>
          <w:szCs w:val="24"/>
        </w:rPr>
        <w:tab/>
        <w:t>Správa Plzeň. Hřímalého 37, 301 00 Plzeň</w:t>
      </w:r>
      <w:r w:rsidRPr="00C15D0B">
        <w:rPr>
          <w:szCs w:val="24"/>
        </w:rPr>
        <w:tab/>
        <w:t>Adresa: Pařížská 1230/1, 301 00 Plzeň</w:t>
      </w:r>
    </w:p>
    <w:p w:rsidR="0015245F" w:rsidRPr="00C15D0B" w:rsidRDefault="00C15D0B">
      <w:pPr>
        <w:tabs>
          <w:tab w:val="center" w:pos="1922"/>
          <w:tab w:val="center" w:pos="6679"/>
        </w:tabs>
        <w:spacing w:after="29" w:line="259" w:lineRule="auto"/>
        <w:ind w:left="0" w:firstLine="0"/>
        <w:jc w:val="left"/>
        <w:rPr>
          <w:szCs w:val="24"/>
          <w:highlight w:val="black"/>
        </w:rPr>
      </w:pPr>
      <w:r w:rsidRPr="00C15D0B">
        <w:rPr>
          <w:szCs w:val="24"/>
        </w:rPr>
        <w:tab/>
      </w:r>
      <w:r w:rsidRPr="00C15D0B">
        <w:rPr>
          <w:rFonts w:eastAsia="Courier New"/>
          <w:szCs w:val="24"/>
        </w:rPr>
        <w:t xml:space="preserve">Bankovní spojení: </w:t>
      </w:r>
      <w:r w:rsidRPr="00C15D0B">
        <w:rPr>
          <w:rFonts w:eastAsia="Courier New"/>
          <w:szCs w:val="24"/>
          <w:highlight w:val="black"/>
        </w:rPr>
        <w:t>ČNB</w:t>
      </w:r>
      <w:r w:rsidRPr="00C15D0B">
        <w:rPr>
          <w:rFonts w:eastAsia="Courier New"/>
          <w:szCs w:val="24"/>
        </w:rPr>
        <w:tab/>
        <w:t xml:space="preserve">Bankovní spojení: </w:t>
      </w:r>
      <w:r w:rsidRPr="00C15D0B">
        <w:rPr>
          <w:rFonts w:eastAsia="Courier New"/>
          <w:szCs w:val="24"/>
          <w:highlight w:val="black"/>
        </w:rPr>
        <w:t>ČSOB</w:t>
      </w:r>
    </w:p>
    <w:p w:rsidR="00C15D0B" w:rsidRPr="00C15D0B" w:rsidRDefault="00C15D0B" w:rsidP="00C15D0B">
      <w:pPr>
        <w:spacing w:after="48"/>
        <w:ind w:right="811"/>
        <w:rPr>
          <w:szCs w:val="24"/>
          <w:highlight w:val="black"/>
        </w:rPr>
      </w:pPr>
      <w:r>
        <w:rPr>
          <w:szCs w:val="24"/>
        </w:rPr>
        <w:t xml:space="preserve">         </w:t>
      </w:r>
      <w:r w:rsidRPr="00C15D0B">
        <w:rPr>
          <w:szCs w:val="24"/>
        </w:rPr>
        <w:t xml:space="preserve">číslo účtu: </w:t>
      </w:r>
      <w:r w:rsidRPr="00C15D0B">
        <w:rPr>
          <w:szCs w:val="24"/>
          <w:highlight w:val="black"/>
        </w:rPr>
        <w:t>20001-15937031/0710</w:t>
      </w:r>
      <w:r w:rsidRPr="00C15D0B">
        <w:rPr>
          <w:szCs w:val="24"/>
        </w:rPr>
        <w:tab/>
      </w:r>
      <w:r>
        <w:rPr>
          <w:szCs w:val="24"/>
        </w:rPr>
        <w:t xml:space="preserve">                    </w:t>
      </w:r>
      <w:r w:rsidRPr="00C15D0B">
        <w:rPr>
          <w:szCs w:val="24"/>
        </w:rPr>
        <w:t xml:space="preserve">číslo účtu: </w:t>
      </w:r>
      <w:r w:rsidRPr="00C15D0B">
        <w:rPr>
          <w:szCs w:val="24"/>
          <w:highlight w:val="black"/>
        </w:rPr>
        <w:t xml:space="preserve">250 107 804 / 0300 </w:t>
      </w:r>
    </w:p>
    <w:p w:rsidR="0015245F" w:rsidRPr="00C15D0B" w:rsidRDefault="00C15D0B" w:rsidP="00C15D0B">
      <w:pPr>
        <w:spacing w:after="48"/>
        <w:ind w:right="811"/>
        <w:rPr>
          <w:szCs w:val="24"/>
        </w:rPr>
      </w:pPr>
      <w:r>
        <w:rPr>
          <w:szCs w:val="24"/>
        </w:rPr>
        <w:t xml:space="preserve">          </w:t>
      </w:r>
      <w:r w:rsidRPr="00C15D0B">
        <w:rPr>
          <w:szCs w:val="24"/>
        </w:rPr>
        <w:t>IČO: 65993390</w:t>
      </w:r>
      <w:r w:rsidRPr="00C15D0B">
        <w:rPr>
          <w:szCs w:val="24"/>
        </w:rPr>
        <w:tab/>
      </w:r>
      <w:r>
        <w:rPr>
          <w:szCs w:val="24"/>
        </w:rPr>
        <w:t xml:space="preserve">                                            </w:t>
      </w:r>
      <w:r w:rsidRPr="00C15D0B">
        <w:rPr>
          <w:szCs w:val="24"/>
        </w:rPr>
        <w:t>IČO: 25462482</w:t>
      </w:r>
    </w:p>
    <w:p w:rsidR="0015245F" w:rsidRPr="00C15D0B" w:rsidRDefault="00C15D0B">
      <w:pPr>
        <w:tabs>
          <w:tab w:val="center" w:pos="1692"/>
          <w:tab w:val="center" w:pos="6382"/>
        </w:tabs>
        <w:ind w:left="0" w:firstLine="0"/>
        <w:jc w:val="left"/>
        <w:rPr>
          <w:szCs w:val="24"/>
        </w:rPr>
      </w:pPr>
      <w:r w:rsidRPr="00C15D0B">
        <w:rPr>
          <w:szCs w:val="24"/>
        </w:rPr>
        <w:tab/>
        <w:t>DIČ: C765993390</w:t>
      </w:r>
      <w:r w:rsidRPr="00C15D0B">
        <w:rPr>
          <w:szCs w:val="24"/>
        </w:rPr>
        <w:tab/>
        <w:t>DIČ: CZ25462482</w:t>
      </w:r>
    </w:p>
    <w:p w:rsidR="0015245F" w:rsidRPr="00C15D0B" w:rsidRDefault="00C15D0B">
      <w:pPr>
        <w:spacing w:after="10"/>
        <w:ind w:left="10" w:right="772" w:hanging="10"/>
        <w:jc w:val="right"/>
        <w:rPr>
          <w:szCs w:val="24"/>
          <w:highlight w:val="black"/>
        </w:rPr>
      </w:pPr>
      <w:r w:rsidRPr="00C15D0B">
        <w:rPr>
          <w:szCs w:val="24"/>
        </w:rPr>
        <w:t xml:space="preserve">Kontaktní osoba: </w:t>
      </w:r>
      <w:r w:rsidRPr="00C15D0B">
        <w:rPr>
          <w:szCs w:val="24"/>
          <w:highlight w:val="black"/>
        </w:rPr>
        <w:t xml:space="preserve">Ing. Jan </w:t>
      </w:r>
      <w:proofErr w:type="spellStart"/>
      <w:r w:rsidRPr="00C15D0B">
        <w:rPr>
          <w:szCs w:val="24"/>
          <w:highlight w:val="black"/>
        </w:rPr>
        <w:t>Martolos</w:t>
      </w:r>
      <w:proofErr w:type="spellEnd"/>
      <w:r w:rsidRPr="00C15D0B">
        <w:rPr>
          <w:szCs w:val="24"/>
          <w:highlight w:val="black"/>
        </w:rPr>
        <w:t>.</w:t>
      </w:r>
    </w:p>
    <w:p w:rsidR="0015245F" w:rsidRPr="00C15D0B" w:rsidRDefault="00C15D0B">
      <w:pPr>
        <w:spacing w:after="572"/>
        <w:ind w:left="10" w:right="922" w:hanging="10"/>
        <w:jc w:val="right"/>
        <w:rPr>
          <w:szCs w:val="24"/>
          <w:highlight w:val="black"/>
        </w:rPr>
      </w:pPr>
      <w:r w:rsidRPr="00C15D0B">
        <w:rPr>
          <w:szCs w:val="24"/>
          <w:highlight w:val="black"/>
        </w:rPr>
        <w:t>martolosnedip.cz, tel. 377224667</w:t>
      </w:r>
    </w:p>
    <w:p w:rsidR="0015245F" w:rsidRDefault="00C15D0B">
      <w:pPr>
        <w:spacing w:after="133"/>
        <w:ind w:left="835"/>
      </w:pPr>
      <w:r>
        <w:t>Tato objednávka - smlouva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rsidR="0015245F" w:rsidRDefault="00C15D0B">
      <w:pPr>
        <w:spacing w:after="295"/>
        <w:ind w:left="864"/>
      </w:pPr>
      <w:r>
        <w:t>Místo dodání: Ředitelství silnic a dálnic ČR, Správa Plzeň. Hřímalého 37, 301 00 Plzeň</w:t>
      </w:r>
    </w:p>
    <w:p w:rsidR="0015245F" w:rsidRDefault="00C15D0B">
      <w:pPr>
        <w:spacing w:after="163" w:line="259" w:lineRule="auto"/>
        <w:ind w:left="864" w:hanging="10"/>
        <w:jc w:val="left"/>
      </w:pPr>
      <w:r>
        <w:rPr>
          <w:sz w:val="26"/>
        </w:rPr>
        <w:t xml:space="preserve">Kontaktní osoba Objednatele: </w:t>
      </w:r>
      <w:r w:rsidRPr="00C15D0B">
        <w:rPr>
          <w:sz w:val="26"/>
          <w:highlight w:val="black"/>
        </w:rPr>
        <w:t>Ladislava Martínková, tel. 377 333 761</w:t>
      </w:r>
    </w:p>
    <w:p w:rsidR="0015245F" w:rsidRDefault="00C15D0B">
      <w:pPr>
        <w:spacing w:after="148"/>
        <w:ind w:left="869"/>
      </w:pPr>
      <w:r>
        <w:t>Fakturujte: Ředitelství silnic a dálnic ČR Správa Plzeň, Hřímalého 37, 301 00 Plzeň</w:t>
      </w:r>
    </w:p>
    <w:p w:rsidR="00167F96" w:rsidRDefault="00C15D0B" w:rsidP="00167F96">
      <w:pPr>
        <w:spacing w:after="0" w:line="259" w:lineRule="auto"/>
        <w:ind w:left="883" w:firstLine="0"/>
        <w:jc w:val="left"/>
      </w:pPr>
      <w:r>
        <w:t xml:space="preserve">Obchodní platební podmínky: </w:t>
      </w:r>
      <w:r>
        <w:rPr>
          <w:noProof/>
        </w:rPr>
        <w:t xml:space="preserve">Objednatel </w:t>
      </w:r>
      <w:r>
        <w:t xml:space="preserve">uhradí cenu jednorázovým bankovním převodem </w:t>
      </w:r>
      <w:r>
        <w:rPr>
          <w:noProof/>
        </w:rPr>
        <w:drawing>
          <wp:inline distT="0" distB="0" distL="0" distR="0">
            <wp:extent cx="137160" cy="73174"/>
            <wp:effectExtent l="0" t="0" r="0" b="0"/>
            <wp:docPr id="10758" name="Picture 10758"/>
            <wp:cNvGraphicFramePr/>
            <a:graphic xmlns:a="http://schemas.openxmlformats.org/drawingml/2006/main">
              <a:graphicData uri="http://schemas.openxmlformats.org/drawingml/2006/picture">
                <pic:pic xmlns:pic="http://schemas.openxmlformats.org/drawingml/2006/picture">
                  <pic:nvPicPr>
                    <pic:cNvPr id="10758" name="Picture 10758"/>
                    <pic:cNvPicPr/>
                  </pic:nvPicPr>
                  <pic:blipFill>
                    <a:blip r:embed="rId4"/>
                    <a:stretch>
                      <a:fillRect/>
                    </a:stretch>
                  </pic:blipFill>
                  <pic:spPr>
                    <a:xfrm>
                      <a:off x="0" y="0"/>
                      <a:ext cx="137160" cy="73174"/>
                    </a:xfrm>
                    <a:prstGeom prst="rect">
                      <a:avLst/>
                    </a:prstGeom>
                  </pic:spPr>
                </pic:pic>
              </a:graphicData>
            </a:graphic>
          </wp:inline>
        </w:drawing>
      </w:r>
      <w:r>
        <w:t xml:space="preserve">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místo dodání. Objednatel neposkytuje žádné </w:t>
      </w:r>
      <w:r>
        <w:rPr>
          <w:noProof/>
        </w:rPr>
        <w:drawing>
          <wp:inline distT="0" distB="0" distL="0" distR="0">
            <wp:extent cx="6096" cy="9146"/>
            <wp:effectExtent l="0" t="0" r="0" b="0"/>
            <wp:docPr id="1769" name="Picture 1769"/>
            <wp:cNvGraphicFramePr/>
            <a:graphic xmlns:a="http://schemas.openxmlformats.org/drawingml/2006/main">
              <a:graphicData uri="http://schemas.openxmlformats.org/drawingml/2006/picture">
                <pic:pic xmlns:pic="http://schemas.openxmlformats.org/drawingml/2006/picture">
                  <pic:nvPicPr>
                    <pic:cNvPr id="1769" name="Picture 1769"/>
                    <pic:cNvPicPr/>
                  </pic:nvPicPr>
                  <pic:blipFill>
                    <a:blip r:embed="rId5"/>
                    <a:stretch>
                      <a:fillRect/>
                    </a:stretch>
                  </pic:blipFill>
                  <pic:spPr>
                    <a:xfrm>
                      <a:off x="0" y="0"/>
                      <a:ext cx="6096" cy="9146"/>
                    </a:xfrm>
                    <a:prstGeom prst="rect">
                      <a:avLst/>
                    </a:prstGeom>
                  </pic:spPr>
                </pic:pic>
              </a:graphicData>
            </a:graphic>
          </wp:inline>
        </w:drawing>
      </w:r>
      <w:r>
        <w:t>zálohy ani dílčí platby. Potvrzením přijetí (akceptací) této objednávky se Dodavatel zavazuje plnit veškeré povinnosti v této objednávce uvedené. Objednatel výslovně vylučuje akceptaci objednávky Dodavatelem s jakýmikoliv změnami jejího obsahu k takovému - právnímu jednáni Dodavatele se nepřihlíží. Dodavatel poskytuje souhlas se </w:t>
      </w:r>
      <w:r>
        <w:rPr>
          <w:noProof/>
        </w:rPr>
        <w:t xml:space="preserve">zveřejněním </w:t>
      </w:r>
      <w:r>
        <w:t>objednávky jejího potvrzení v registru smluv zřízeném zákonem č.</w:t>
      </w:r>
      <w:r w:rsidR="00167F96">
        <w:t xml:space="preserve"> 340/2015 </w:t>
      </w:r>
      <w:r>
        <w:t xml:space="preserve"> </w:t>
      </w:r>
      <w:r w:rsidR="006F64E7">
        <w:t xml:space="preserve">Sb., </w:t>
      </w:r>
      <w:r w:rsidR="00167F96">
        <w:t>o zvl</w:t>
      </w:r>
      <w:r w:rsidR="00167F96">
        <w:t xml:space="preserve">áštních </w:t>
      </w:r>
      <w:r w:rsidR="00167F96">
        <w:t xml:space="preserve">podmínkách </w:t>
      </w:r>
      <w:r w:rsidR="00167F96">
        <w:t>účinnosti některých smluv</w:t>
      </w:r>
      <w:r w:rsidR="00167F96">
        <w:t xml:space="preserve">, </w:t>
      </w:r>
      <w:r w:rsidR="00167F96">
        <w:t xml:space="preserve"> uveřejňování těchto smluv</w:t>
      </w:r>
      <w:r w:rsidR="00167F96">
        <w:t xml:space="preserve"> a o registru</w:t>
      </w:r>
    </w:p>
    <w:p w:rsidR="0015245F" w:rsidRDefault="0015245F">
      <w:pPr>
        <w:ind w:left="869"/>
      </w:pPr>
    </w:p>
    <w:p w:rsidR="0015245F" w:rsidRDefault="00167F96">
      <w:pPr>
        <w:spacing w:after="155"/>
        <w:ind w:left="744" w:right="163"/>
      </w:pPr>
      <w:r>
        <w:lastRenderedPageBreak/>
        <w:t>smluv, ve znění</w:t>
      </w:r>
      <w:r w:rsidR="00C15D0B">
        <w:t xml:space="preserve"> p</w:t>
      </w:r>
      <w:r>
        <w:t>ozdějších předpisů (dále jako „</w:t>
      </w:r>
      <w:r w:rsidR="00C15D0B">
        <w:t>zákon o registru</w:t>
      </w:r>
      <w:r>
        <w:t xml:space="preserve"> smluv“), Objednatelem. Obj</w:t>
      </w:r>
      <w:r w:rsidR="00C15D0B">
        <w:t>ednávka je účinná okamži</w:t>
      </w:r>
      <w:r>
        <w:t>kem zveřejnění v registru smluv,</w:t>
      </w:r>
      <w:r w:rsidR="00C15D0B">
        <w:t xml:space="preserve"> přičemž Objednatel o této skutečnosti Dodavatele infor</w:t>
      </w:r>
      <w:r>
        <w:t>muje, Objednatel je oprávněn kdykoliv po uzavření objednávky</w:t>
      </w:r>
      <w:r w:rsidR="00C15D0B">
        <w:t xml:space="preserve"> tuto objednávku vypovědět s účinky od doručení písemné výpovědi Dodavateli, a to i bez uvedení důvodu. Výpověď objednávky dle předcházející věty nemá vliv na již řádně poskytnuté </w:t>
      </w:r>
      <w:r w:rsidR="00C15D0B">
        <w:rPr>
          <w:noProof/>
        </w:rPr>
        <w:drawing>
          <wp:inline distT="0" distB="0" distL="0" distR="0">
            <wp:extent cx="3048" cy="3049"/>
            <wp:effectExtent l="0" t="0" r="0" b="0"/>
            <wp:docPr id="3630" name="Picture 3630"/>
            <wp:cNvGraphicFramePr/>
            <a:graphic xmlns:a="http://schemas.openxmlformats.org/drawingml/2006/main">
              <a:graphicData uri="http://schemas.openxmlformats.org/drawingml/2006/picture">
                <pic:pic xmlns:pic="http://schemas.openxmlformats.org/drawingml/2006/picture">
                  <pic:nvPicPr>
                    <pic:cNvPr id="3630" name="Picture 3630"/>
                    <pic:cNvPicPr/>
                  </pic:nvPicPr>
                  <pic:blipFill>
                    <a:blip r:embed="rId6"/>
                    <a:stretch>
                      <a:fillRect/>
                    </a:stretch>
                  </pic:blipFill>
                  <pic:spPr>
                    <a:xfrm>
                      <a:off x="0" y="0"/>
                      <a:ext cx="3048" cy="3049"/>
                    </a:xfrm>
                    <a:prstGeom prst="rect">
                      <a:avLst/>
                    </a:prstGeom>
                  </pic:spPr>
                </pic:pic>
              </a:graphicData>
            </a:graphic>
          </wp:inline>
        </w:drawing>
      </w:r>
      <w:r w:rsidR="00C15D0B">
        <w:t>plnění včetně práv a povinností z něj vyplývajících.</w:t>
      </w:r>
      <w:r w:rsidR="00C15D0B">
        <w:rPr>
          <w:noProof/>
        </w:rPr>
        <w:drawing>
          <wp:inline distT="0" distB="0" distL="0" distR="0">
            <wp:extent cx="3048" cy="3049"/>
            <wp:effectExtent l="0" t="0" r="0" b="0"/>
            <wp:docPr id="3629" name="Picture 3629"/>
            <wp:cNvGraphicFramePr/>
            <a:graphic xmlns:a="http://schemas.openxmlformats.org/drawingml/2006/main">
              <a:graphicData uri="http://schemas.openxmlformats.org/drawingml/2006/picture">
                <pic:pic xmlns:pic="http://schemas.openxmlformats.org/drawingml/2006/picture">
                  <pic:nvPicPr>
                    <pic:cNvPr id="3629" name="Picture 3629"/>
                    <pic:cNvPicPr/>
                  </pic:nvPicPr>
                  <pic:blipFill>
                    <a:blip r:embed="rId7"/>
                    <a:stretch>
                      <a:fillRect/>
                    </a:stretch>
                  </pic:blipFill>
                  <pic:spPr>
                    <a:xfrm>
                      <a:off x="0" y="0"/>
                      <a:ext cx="3048" cy="3049"/>
                    </a:xfrm>
                    <a:prstGeom prst="rect">
                      <a:avLst/>
                    </a:prstGeom>
                  </pic:spPr>
                </pic:pic>
              </a:graphicData>
            </a:graphic>
          </wp:inline>
        </w:drawing>
      </w:r>
    </w:p>
    <w:p w:rsidR="0015245F" w:rsidRDefault="00C15D0B">
      <w:pPr>
        <w:spacing w:after="133" w:line="259" w:lineRule="auto"/>
        <w:ind w:left="734" w:hanging="10"/>
        <w:jc w:val="left"/>
      </w:pPr>
      <w:r>
        <w:rPr>
          <w:sz w:val="26"/>
        </w:rPr>
        <w:t>Záruční lhůta: dle Občanského zákoníku</w:t>
      </w:r>
    </w:p>
    <w:p w:rsidR="0015245F" w:rsidRDefault="00C15D0B">
      <w:pPr>
        <w:spacing w:after="124"/>
        <w:ind w:left="744"/>
      </w:pPr>
      <w:r>
        <w:t>Objednáváme u Vás: studii posouzení výkonnosti navrhované okružní křižovatky</w:t>
      </w:r>
    </w:p>
    <w:p w:rsidR="0015245F" w:rsidRDefault="00C15D0B">
      <w:pPr>
        <w:spacing w:after="133" w:line="259" w:lineRule="auto"/>
        <w:ind w:left="734" w:hanging="10"/>
        <w:jc w:val="left"/>
      </w:pPr>
      <w:r>
        <w:rPr>
          <w:sz w:val="26"/>
        </w:rPr>
        <w:t xml:space="preserve">Lhůta pro dodání či termín dodání: </w:t>
      </w:r>
      <w:r>
        <w:rPr>
          <w:sz w:val="26"/>
          <w:u w:val="single" w:color="000000"/>
        </w:rPr>
        <w:t xml:space="preserve">do </w:t>
      </w:r>
      <w:proofErr w:type="gramStart"/>
      <w:r>
        <w:rPr>
          <w:sz w:val="26"/>
          <w:u w:val="single" w:color="000000"/>
        </w:rPr>
        <w:t>15.11.2018</w:t>
      </w:r>
      <w:proofErr w:type="gramEnd"/>
    </w:p>
    <w:p w:rsidR="006F64E7" w:rsidRDefault="00C15D0B">
      <w:pPr>
        <w:spacing w:after="150" w:line="387" w:lineRule="auto"/>
        <w:ind w:left="744" w:right="4939"/>
      </w:pPr>
      <w:r>
        <w:t>Celková hodnota objednávk</w:t>
      </w:r>
      <w:r w:rsidR="00167F96">
        <w:t xml:space="preserve">y </w:t>
      </w:r>
      <w:r>
        <w:t xml:space="preserve"> v Kč: </w:t>
      </w:r>
    </w:p>
    <w:p w:rsidR="0015245F" w:rsidRDefault="00C15D0B">
      <w:pPr>
        <w:spacing w:after="150" w:line="387" w:lineRule="auto"/>
        <w:ind w:left="744" w:right="4939"/>
      </w:pPr>
      <w:r>
        <w:t xml:space="preserve">Cena bez DPH: </w:t>
      </w:r>
      <w:r w:rsidR="00167F96">
        <w:t xml:space="preserve">                     </w:t>
      </w:r>
      <w:r>
        <w:t>132 600,-</w:t>
      </w:r>
      <w:r>
        <w:rPr>
          <w:noProof/>
        </w:rPr>
        <w:drawing>
          <wp:inline distT="0" distB="0" distL="0" distR="0">
            <wp:extent cx="3048" cy="3049"/>
            <wp:effectExtent l="0" t="0" r="0" b="0"/>
            <wp:docPr id="3631" name="Picture 3631"/>
            <wp:cNvGraphicFramePr/>
            <a:graphic xmlns:a="http://schemas.openxmlformats.org/drawingml/2006/main">
              <a:graphicData uri="http://schemas.openxmlformats.org/drawingml/2006/picture">
                <pic:pic xmlns:pic="http://schemas.openxmlformats.org/drawingml/2006/picture">
                  <pic:nvPicPr>
                    <pic:cNvPr id="3631" name="Picture 3631"/>
                    <pic:cNvPicPr/>
                  </pic:nvPicPr>
                  <pic:blipFill>
                    <a:blip r:embed="rId8"/>
                    <a:stretch>
                      <a:fillRect/>
                    </a:stretch>
                  </pic:blipFill>
                  <pic:spPr>
                    <a:xfrm>
                      <a:off x="0" y="0"/>
                      <a:ext cx="3048" cy="3049"/>
                    </a:xfrm>
                    <a:prstGeom prst="rect">
                      <a:avLst/>
                    </a:prstGeom>
                  </pic:spPr>
                </pic:pic>
              </a:graphicData>
            </a:graphic>
          </wp:inline>
        </w:drawing>
      </w:r>
    </w:p>
    <w:p w:rsidR="0015245F" w:rsidRDefault="00C15D0B">
      <w:pPr>
        <w:tabs>
          <w:tab w:val="center" w:pos="1267"/>
          <w:tab w:val="center" w:pos="3302"/>
        </w:tabs>
        <w:spacing w:after="257"/>
        <w:ind w:left="0" w:firstLine="0"/>
        <w:jc w:val="left"/>
      </w:pPr>
      <w:r>
        <w:tab/>
        <w:t>DPH 21%:</w:t>
      </w:r>
      <w:r>
        <w:tab/>
      </w:r>
      <w:r w:rsidR="00167F96">
        <w:t xml:space="preserve">     </w:t>
      </w:r>
      <w:r w:rsidR="006F64E7">
        <w:t xml:space="preserve">                     </w:t>
      </w:r>
      <w:r>
        <w:t>27 846,-</w:t>
      </w:r>
    </w:p>
    <w:p w:rsidR="0015245F" w:rsidRPr="00167F96" w:rsidRDefault="00C15D0B">
      <w:pPr>
        <w:spacing w:after="415"/>
        <w:ind w:left="744"/>
        <w:rPr>
          <w:b/>
        </w:rPr>
      </w:pPr>
      <w:r w:rsidRPr="00167F96">
        <w:rPr>
          <w:b/>
        </w:rPr>
        <w:t xml:space="preserve">Cena celkem s DPH: </w:t>
      </w:r>
      <w:r w:rsidR="006F64E7">
        <w:rPr>
          <w:b/>
        </w:rPr>
        <w:t xml:space="preserve">           </w:t>
      </w:r>
      <w:r w:rsidRPr="00167F96">
        <w:rPr>
          <w:b/>
        </w:rPr>
        <w:t>160 446,-</w:t>
      </w:r>
    </w:p>
    <w:p w:rsidR="0015245F" w:rsidRDefault="00C15D0B">
      <w:pPr>
        <w:spacing w:after="132"/>
        <w:ind w:left="749" w:firstLine="0"/>
        <w:jc w:val="left"/>
      </w:pPr>
      <w:r>
        <w:t>V případě akceptace objednávky Objednatele Dodavatel objed</w:t>
      </w:r>
      <w:r w:rsidR="006F64E7">
        <w:t xml:space="preserve">návku písemně </w:t>
      </w:r>
      <w:proofErr w:type="gramStart"/>
      <w:r w:rsidR="006F64E7">
        <w:t>potvr</w:t>
      </w:r>
      <w:r>
        <w:t>dí</w:t>
      </w:r>
      <w:proofErr w:type="gramEnd"/>
      <w:r>
        <w:t xml:space="preserve"> prostřednictvím</w:t>
      </w:r>
      <w:r>
        <w:tab/>
        <w:t>e-mailu</w:t>
      </w:r>
      <w:r>
        <w:tab/>
        <w:t>zaslaného</w:t>
      </w:r>
      <w:r>
        <w:tab/>
        <w:t>do</w:t>
      </w:r>
      <w:r>
        <w:tab/>
        <w:t>e-mailové</w:t>
      </w:r>
      <w:r>
        <w:tab/>
        <w:t xml:space="preserve">schránky </w:t>
      </w:r>
      <w:r>
        <w:tab/>
        <w:t xml:space="preserve">Objednatele </w:t>
      </w:r>
      <w:r w:rsidR="00167F96" w:rsidRPr="00167F96">
        <w:rPr>
          <w:noProof/>
          <w:highlight w:val="black"/>
        </w:rPr>
        <w:t>xxxxxxxxxxxxxxxxxxxxx</w:t>
      </w:r>
      <w:r w:rsidR="00167F96">
        <w:rPr>
          <w:noProof/>
        </w:rPr>
        <w:t xml:space="preserve"> </w:t>
      </w:r>
      <w:r>
        <w:t>V případě nepotvrze</w:t>
      </w:r>
      <w:r w:rsidR="00167F96">
        <w:t>ní akceptace objednávky Objedna</w:t>
      </w:r>
      <w:r>
        <w:t xml:space="preserve">tele Dodavatelem </w:t>
      </w:r>
      <w:proofErr w:type="gramStart"/>
      <w:r>
        <w:t>platí</w:t>
      </w:r>
      <w:proofErr w:type="gramEnd"/>
      <w:r>
        <w:t>, že Dodavatel objednávku neakceptoval a objednávka je bez dalšího zneplatněna.</w:t>
      </w:r>
    </w:p>
    <w:p w:rsidR="0015245F" w:rsidRDefault="00C15D0B">
      <w:pPr>
        <w:spacing w:after="559" w:line="335" w:lineRule="auto"/>
        <w:ind w:left="754" w:firstLine="0"/>
        <w:jc w:val="left"/>
      </w:pPr>
      <w:r>
        <w:rPr>
          <w:sz w:val="22"/>
        </w:rPr>
        <w:t>Pokud není ve Smlouvě a jejích přílohách stanoveno jinak, řídí se právní vztah založený tou</w:t>
      </w:r>
      <w:r w:rsidR="006F64E7">
        <w:rPr>
          <w:sz w:val="22"/>
        </w:rPr>
        <w:t>to Smlouvou Občanským zákoníkem.</w:t>
      </w:r>
      <w:bookmarkStart w:id="0" w:name="_GoBack"/>
      <w:bookmarkEnd w:id="0"/>
    </w:p>
    <w:p w:rsidR="0015245F" w:rsidRDefault="00C15D0B">
      <w:pPr>
        <w:spacing w:after="128"/>
        <w:ind w:left="744"/>
      </w:pPr>
      <w:r>
        <w:t>Nedílnou součás</w:t>
      </w:r>
      <w:r w:rsidR="00167F96">
        <w:t>tí této objednávky jsou následuj</w:t>
      </w:r>
      <w:r>
        <w:t>ící přílohy:</w:t>
      </w:r>
    </w:p>
    <w:p w:rsidR="0015245F" w:rsidRDefault="00167F96" w:rsidP="00167F96">
      <w:pPr>
        <w:spacing w:line="372" w:lineRule="auto"/>
        <w:ind w:left="744" w:right="5194"/>
        <w:jc w:val="left"/>
      </w:pPr>
      <w:r>
        <w:t xml:space="preserve"> Příloha </w:t>
      </w:r>
      <w:proofErr w:type="gramStart"/>
      <w:r>
        <w:t>č.1</w:t>
      </w:r>
      <w:r w:rsidR="00C15D0B">
        <w:t xml:space="preserve"> — Specifikace</w:t>
      </w:r>
      <w:proofErr w:type="gramEnd"/>
      <w:r w:rsidR="00C15D0B">
        <w:t xml:space="preserve"> služeb </w:t>
      </w:r>
      <w:r>
        <w:t xml:space="preserve">  </w:t>
      </w:r>
      <w:r w:rsidR="00C15D0B">
        <w:t>Příloha č. 2 — Položkový rozpis ceny</w:t>
      </w:r>
    </w:p>
    <w:p w:rsidR="0015245F" w:rsidRDefault="0015245F"/>
    <w:p w:rsidR="00167F96" w:rsidRDefault="00167F96"/>
    <w:p w:rsidR="00167F96" w:rsidRDefault="00167F96">
      <w:pPr>
        <w:sectPr w:rsidR="00167F96">
          <w:pgSz w:w="11904" w:h="16834"/>
          <w:pgMar w:top="1253" w:right="1454" w:bottom="1657" w:left="826" w:header="708" w:footer="708" w:gutter="0"/>
          <w:cols w:space="708"/>
        </w:sectPr>
      </w:pPr>
    </w:p>
    <w:tbl>
      <w:tblPr>
        <w:tblStyle w:val="TableGrid"/>
        <w:tblW w:w="7395" w:type="dxa"/>
        <w:tblInd w:w="1536" w:type="dxa"/>
        <w:tblCellMar>
          <w:top w:w="5" w:type="dxa"/>
          <w:bottom w:w="4" w:type="dxa"/>
        </w:tblCellMar>
        <w:tblLook w:val="04A0" w:firstRow="1" w:lastRow="0" w:firstColumn="1" w:lastColumn="0" w:noHBand="0" w:noVBand="1"/>
      </w:tblPr>
      <w:tblGrid>
        <w:gridCol w:w="2433"/>
        <w:gridCol w:w="331"/>
        <w:gridCol w:w="1373"/>
        <w:gridCol w:w="3258"/>
      </w:tblGrid>
      <w:tr w:rsidR="0015245F" w:rsidTr="00167F96">
        <w:trPr>
          <w:trHeight w:val="422"/>
        </w:trPr>
        <w:tc>
          <w:tcPr>
            <w:tcW w:w="2433" w:type="dxa"/>
            <w:tcBorders>
              <w:top w:val="nil"/>
              <w:left w:val="nil"/>
              <w:bottom w:val="nil"/>
              <w:right w:val="nil"/>
            </w:tcBorders>
          </w:tcPr>
          <w:p w:rsidR="0015245F" w:rsidRDefault="00167F96">
            <w:pPr>
              <w:tabs>
                <w:tab w:val="right" w:pos="1891"/>
              </w:tabs>
              <w:spacing w:after="0" w:line="259" w:lineRule="auto"/>
              <w:ind w:left="0" w:firstLine="0"/>
              <w:jc w:val="left"/>
            </w:pPr>
            <w:r>
              <w:t>V Plzni dne 18-08-2018</w:t>
            </w:r>
          </w:p>
        </w:tc>
        <w:tc>
          <w:tcPr>
            <w:tcW w:w="331" w:type="dxa"/>
            <w:tcBorders>
              <w:top w:val="nil"/>
              <w:left w:val="nil"/>
              <w:bottom w:val="nil"/>
              <w:right w:val="nil"/>
            </w:tcBorders>
          </w:tcPr>
          <w:p w:rsidR="0015245F" w:rsidRDefault="0015245F">
            <w:pPr>
              <w:spacing w:after="0" w:line="259" w:lineRule="auto"/>
              <w:ind w:left="0" w:firstLine="0"/>
              <w:jc w:val="left"/>
            </w:pPr>
          </w:p>
        </w:tc>
        <w:tc>
          <w:tcPr>
            <w:tcW w:w="1373" w:type="dxa"/>
            <w:tcBorders>
              <w:top w:val="nil"/>
              <w:left w:val="nil"/>
              <w:bottom w:val="nil"/>
              <w:right w:val="nil"/>
            </w:tcBorders>
          </w:tcPr>
          <w:p w:rsidR="0015245F" w:rsidRDefault="0015245F">
            <w:pPr>
              <w:spacing w:after="0" w:line="259" w:lineRule="auto"/>
              <w:ind w:left="0" w:firstLine="0"/>
              <w:jc w:val="left"/>
            </w:pPr>
          </w:p>
        </w:tc>
        <w:tc>
          <w:tcPr>
            <w:tcW w:w="3258" w:type="dxa"/>
            <w:tcBorders>
              <w:top w:val="nil"/>
              <w:left w:val="nil"/>
              <w:bottom w:val="nil"/>
              <w:right w:val="nil"/>
            </w:tcBorders>
          </w:tcPr>
          <w:p w:rsidR="0015245F" w:rsidRDefault="00167F96">
            <w:pPr>
              <w:tabs>
                <w:tab w:val="center" w:pos="1322"/>
                <w:tab w:val="center" w:pos="2316"/>
                <w:tab w:val="right" w:pos="2674"/>
              </w:tabs>
              <w:spacing w:after="0" w:line="259" w:lineRule="auto"/>
              <w:ind w:left="0" w:firstLine="0"/>
              <w:jc w:val="left"/>
            </w:pPr>
            <w:r>
              <w:t xml:space="preserve">             V Plzni dne 07-08-2018</w:t>
            </w:r>
          </w:p>
        </w:tc>
      </w:tr>
      <w:tr w:rsidR="0015245F" w:rsidTr="00167F96">
        <w:trPr>
          <w:trHeight w:val="404"/>
        </w:trPr>
        <w:tc>
          <w:tcPr>
            <w:tcW w:w="2433" w:type="dxa"/>
            <w:tcBorders>
              <w:top w:val="nil"/>
              <w:left w:val="nil"/>
              <w:bottom w:val="nil"/>
              <w:right w:val="nil"/>
            </w:tcBorders>
            <w:vAlign w:val="bottom"/>
          </w:tcPr>
          <w:p w:rsidR="0015245F" w:rsidRDefault="00C15D0B">
            <w:pPr>
              <w:spacing w:after="0" w:line="259" w:lineRule="auto"/>
              <w:ind w:left="0" w:firstLine="0"/>
              <w:jc w:val="left"/>
            </w:pPr>
            <w:r>
              <w:t>Za Objednatele:</w:t>
            </w:r>
          </w:p>
        </w:tc>
        <w:tc>
          <w:tcPr>
            <w:tcW w:w="331" w:type="dxa"/>
            <w:tcBorders>
              <w:top w:val="nil"/>
              <w:left w:val="nil"/>
              <w:bottom w:val="nil"/>
              <w:right w:val="nil"/>
            </w:tcBorders>
          </w:tcPr>
          <w:p w:rsidR="0015245F" w:rsidRDefault="0015245F">
            <w:pPr>
              <w:spacing w:after="160" w:line="259" w:lineRule="auto"/>
              <w:ind w:left="0" w:firstLine="0"/>
              <w:jc w:val="left"/>
            </w:pPr>
          </w:p>
        </w:tc>
        <w:tc>
          <w:tcPr>
            <w:tcW w:w="1373" w:type="dxa"/>
            <w:tcBorders>
              <w:top w:val="nil"/>
              <w:left w:val="nil"/>
              <w:bottom w:val="nil"/>
              <w:right w:val="nil"/>
            </w:tcBorders>
          </w:tcPr>
          <w:p w:rsidR="0015245F" w:rsidRDefault="0015245F">
            <w:pPr>
              <w:spacing w:after="160" w:line="259" w:lineRule="auto"/>
              <w:ind w:left="0" w:firstLine="0"/>
              <w:jc w:val="left"/>
            </w:pPr>
          </w:p>
        </w:tc>
        <w:tc>
          <w:tcPr>
            <w:tcW w:w="3258" w:type="dxa"/>
            <w:tcBorders>
              <w:top w:val="nil"/>
              <w:left w:val="nil"/>
              <w:bottom w:val="nil"/>
              <w:right w:val="nil"/>
            </w:tcBorders>
            <w:vAlign w:val="bottom"/>
          </w:tcPr>
          <w:p w:rsidR="0015245F" w:rsidRDefault="00C15D0B">
            <w:pPr>
              <w:spacing w:after="0" w:line="259" w:lineRule="auto"/>
              <w:ind w:left="778" w:firstLine="0"/>
              <w:jc w:val="left"/>
            </w:pPr>
            <w:r>
              <w:t>Za Dodavatele:</w:t>
            </w:r>
          </w:p>
        </w:tc>
      </w:tr>
    </w:tbl>
    <w:p w:rsidR="0015245F" w:rsidRDefault="00167F96">
      <w:pPr>
        <w:pStyle w:val="Nadpis2"/>
        <w:tabs>
          <w:tab w:val="center" w:pos="754"/>
          <w:tab w:val="right" w:pos="10728"/>
        </w:tabs>
        <w:ind w:left="0"/>
      </w:pPr>
      <w:r>
        <w:tab/>
      </w:r>
      <w:r w:rsidR="00C15D0B">
        <w:tab/>
      </w:r>
    </w:p>
    <w:p w:rsidR="00167F96" w:rsidRDefault="00167F96">
      <w:pPr>
        <w:tabs>
          <w:tab w:val="center" w:pos="3936"/>
        </w:tabs>
        <w:spacing w:after="0" w:line="259" w:lineRule="auto"/>
        <w:ind w:left="0" w:firstLine="0"/>
        <w:jc w:val="left"/>
        <w:rPr>
          <w:rFonts w:ascii="Calibri" w:eastAsia="Calibri" w:hAnsi="Calibri" w:cs="Calibri"/>
          <w:sz w:val="36"/>
        </w:rPr>
      </w:pPr>
      <w:r>
        <w:rPr>
          <w:rFonts w:ascii="Calibri" w:eastAsia="Calibri" w:hAnsi="Calibri" w:cs="Calibri"/>
          <w:sz w:val="36"/>
        </w:rPr>
        <w:t xml:space="preserve">                 </w:t>
      </w:r>
    </w:p>
    <w:p w:rsidR="00167F96" w:rsidRDefault="00167F96">
      <w:pPr>
        <w:tabs>
          <w:tab w:val="center" w:pos="3936"/>
        </w:tabs>
        <w:spacing w:after="0" w:line="259" w:lineRule="auto"/>
        <w:ind w:left="0" w:firstLine="0"/>
        <w:jc w:val="left"/>
        <w:rPr>
          <w:rFonts w:ascii="Calibri" w:eastAsia="Calibri" w:hAnsi="Calibri" w:cs="Calibri"/>
          <w:sz w:val="36"/>
        </w:rPr>
      </w:pPr>
    </w:p>
    <w:p w:rsidR="00167F96" w:rsidRDefault="00167F96">
      <w:pPr>
        <w:tabs>
          <w:tab w:val="center" w:pos="3936"/>
        </w:tabs>
        <w:spacing w:after="0" w:line="259" w:lineRule="auto"/>
        <w:ind w:left="0" w:firstLine="0"/>
        <w:jc w:val="left"/>
        <w:rPr>
          <w:rFonts w:ascii="Calibri" w:eastAsia="Calibri" w:hAnsi="Calibri" w:cs="Calibri"/>
          <w:sz w:val="36"/>
        </w:rPr>
      </w:pPr>
    </w:p>
    <w:p w:rsidR="00167F96" w:rsidRDefault="00167F96">
      <w:pPr>
        <w:tabs>
          <w:tab w:val="center" w:pos="3936"/>
        </w:tabs>
        <w:spacing w:after="0" w:line="259" w:lineRule="auto"/>
        <w:ind w:left="0" w:firstLine="0"/>
        <w:jc w:val="left"/>
        <w:rPr>
          <w:rFonts w:ascii="Calibri" w:eastAsia="Calibri" w:hAnsi="Calibri" w:cs="Calibri"/>
          <w:sz w:val="36"/>
        </w:rPr>
      </w:pPr>
    </w:p>
    <w:p w:rsidR="00167F96" w:rsidRDefault="00167F96">
      <w:pPr>
        <w:tabs>
          <w:tab w:val="center" w:pos="3936"/>
        </w:tabs>
        <w:spacing w:after="0" w:line="259" w:lineRule="auto"/>
        <w:ind w:left="0" w:firstLine="0"/>
        <w:jc w:val="left"/>
        <w:rPr>
          <w:rFonts w:ascii="Calibri" w:eastAsia="Calibri" w:hAnsi="Calibri" w:cs="Calibri"/>
          <w:sz w:val="36"/>
        </w:rPr>
      </w:pPr>
    </w:p>
    <w:p w:rsidR="00167F96" w:rsidRDefault="00167F96">
      <w:pPr>
        <w:tabs>
          <w:tab w:val="center" w:pos="3936"/>
        </w:tabs>
        <w:spacing w:after="0" w:line="259" w:lineRule="auto"/>
        <w:ind w:left="0" w:firstLine="0"/>
        <w:jc w:val="left"/>
        <w:rPr>
          <w:rFonts w:ascii="Calibri" w:eastAsia="Calibri" w:hAnsi="Calibri" w:cs="Calibri"/>
          <w:sz w:val="36"/>
        </w:rPr>
      </w:pPr>
    </w:p>
    <w:p w:rsidR="0015245F" w:rsidRDefault="00C15D0B" w:rsidP="00167F96">
      <w:pPr>
        <w:tabs>
          <w:tab w:val="center" w:pos="3936"/>
        </w:tabs>
        <w:spacing w:after="0" w:line="259" w:lineRule="auto"/>
        <w:ind w:left="0" w:firstLine="1418"/>
        <w:jc w:val="left"/>
      </w:pPr>
      <w:r>
        <w:rPr>
          <w:rFonts w:ascii="Calibri" w:eastAsia="Calibri" w:hAnsi="Calibri" w:cs="Calibri"/>
          <w:sz w:val="36"/>
          <w:u w:val="single" w:color="000000"/>
        </w:rPr>
        <w:t>Příloha č. 1 Specifikace služeb</w:t>
      </w:r>
    </w:p>
    <w:p w:rsidR="0015245F" w:rsidRDefault="0015245F">
      <w:pPr>
        <w:spacing w:after="297" w:line="259" w:lineRule="auto"/>
        <w:ind w:left="0" w:firstLine="0"/>
        <w:jc w:val="left"/>
      </w:pPr>
    </w:p>
    <w:p w:rsidR="0015245F" w:rsidRDefault="00C15D0B">
      <w:pPr>
        <w:spacing w:after="600" w:line="391" w:lineRule="auto"/>
        <w:ind w:left="1521" w:hanging="10"/>
        <w:jc w:val="left"/>
      </w:pPr>
      <w:r>
        <w:rPr>
          <w:rFonts w:ascii="Calibri" w:eastAsia="Calibri" w:hAnsi="Calibri" w:cs="Calibri"/>
          <w:sz w:val="22"/>
          <w:u w:val="single" w:color="000000"/>
        </w:rPr>
        <w:t>Zdůvodnění:</w:t>
      </w:r>
      <w:r>
        <w:rPr>
          <w:rFonts w:ascii="Calibri" w:eastAsia="Calibri" w:hAnsi="Calibri" w:cs="Calibri"/>
          <w:sz w:val="22"/>
        </w:rPr>
        <w:t xml:space="preserve"> Cílem studie je posoudit navrhované technické řešení budoucí OK z hlediska její výkonnosti.</w:t>
      </w:r>
    </w:p>
    <w:p w:rsidR="0015245F" w:rsidRDefault="00C15D0B">
      <w:pPr>
        <w:spacing w:after="600" w:line="268" w:lineRule="auto"/>
        <w:ind w:left="1521" w:hanging="10"/>
        <w:jc w:val="left"/>
      </w:pPr>
      <w:r>
        <w:rPr>
          <w:rFonts w:ascii="Calibri" w:eastAsia="Calibri" w:hAnsi="Calibri" w:cs="Calibri"/>
          <w:u w:val="single" w:color="000000"/>
        </w:rPr>
        <w:t>Popis činnosti:</w:t>
      </w:r>
      <w:r>
        <w:rPr>
          <w:rFonts w:ascii="Calibri" w:eastAsia="Calibri" w:hAnsi="Calibri" w:cs="Calibri"/>
        </w:rPr>
        <w:t xml:space="preserve"> STUDIE bude obsahovat - DOPRAVNÍ PRŮZKUM, POSOUZENÍ VÝKONNOSTI. Výstupem bude inženýrské posouzení s grafickými a tabulkovými přílohami.</w:t>
      </w:r>
    </w:p>
    <w:p w:rsidR="0015245F" w:rsidRDefault="00C15D0B">
      <w:pPr>
        <w:spacing w:after="573" w:line="268" w:lineRule="auto"/>
        <w:ind w:left="1521" w:hanging="10"/>
        <w:jc w:val="left"/>
      </w:pPr>
      <w:r>
        <w:rPr>
          <w:rFonts w:ascii="Calibri" w:eastAsia="Calibri" w:hAnsi="Calibri" w:cs="Calibri"/>
          <w:sz w:val="22"/>
          <w:u w:val="single" w:color="000000"/>
        </w:rPr>
        <w:t>Počet výtisků</w:t>
      </w:r>
      <w:r>
        <w:rPr>
          <w:rFonts w:ascii="Calibri" w:eastAsia="Calibri" w:hAnsi="Calibri" w:cs="Calibri"/>
          <w:sz w:val="22"/>
        </w:rPr>
        <w:t xml:space="preserve"> — 3 paré v papírové podobě, 3 paré v digitální podobě.</w:t>
      </w:r>
    </w:p>
    <w:p w:rsidR="0015245F" w:rsidRDefault="00C15D0B">
      <w:pPr>
        <w:spacing w:after="0" w:line="259" w:lineRule="auto"/>
        <w:ind w:left="1531" w:firstLine="0"/>
        <w:jc w:val="left"/>
      </w:pPr>
      <w:r>
        <w:rPr>
          <w:rFonts w:ascii="Calibri" w:eastAsia="Calibri" w:hAnsi="Calibri" w:cs="Calibri"/>
          <w:u w:val="single" w:color="000000"/>
        </w:rPr>
        <w:t>Soupis prací:</w:t>
      </w:r>
    </w:p>
    <w:tbl>
      <w:tblPr>
        <w:tblStyle w:val="TableGrid"/>
        <w:tblW w:w="8006" w:type="dxa"/>
        <w:tblInd w:w="1539" w:type="dxa"/>
        <w:tblCellMar>
          <w:top w:w="62" w:type="dxa"/>
          <w:left w:w="69" w:type="dxa"/>
        </w:tblCellMar>
        <w:tblLook w:val="04A0" w:firstRow="1" w:lastRow="0" w:firstColumn="1" w:lastColumn="0" w:noHBand="0" w:noVBand="1"/>
      </w:tblPr>
      <w:tblGrid>
        <w:gridCol w:w="3683"/>
        <w:gridCol w:w="1745"/>
        <w:gridCol w:w="1082"/>
        <w:gridCol w:w="1496"/>
      </w:tblGrid>
      <w:tr w:rsidR="0015245F">
        <w:trPr>
          <w:trHeight w:val="543"/>
        </w:trPr>
        <w:tc>
          <w:tcPr>
            <w:tcW w:w="3683" w:type="dxa"/>
            <w:tcBorders>
              <w:top w:val="single" w:sz="2" w:space="0" w:color="000000"/>
              <w:left w:val="single" w:sz="2" w:space="0" w:color="000000"/>
              <w:bottom w:val="single" w:sz="2" w:space="0" w:color="000000"/>
              <w:right w:val="single" w:sz="2" w:space="0" w:color="000000"/>
            </w:tcBorders>
            <w:vAlign w:val="bottom"/>
          </w:tcPr>
          <w:p w:rsidR="0015245F" w:rsidRDefault="00C15D0B">
            <w:pPr>
              <w:spacing w:after="0" w:line="259" w:lineRule="auto"/>
              <w:ind w:left="10" w:firstLine="0"/>
              <w:jc w:val="left"/>
            </w:pPr>
            <w:r>
              <w:rPr>
                <w:sz w:val="22"/>
              </w:rPr>
              <w:t>Nabízená činnost</w:t>
            </w:r>
          </w:p>
        </w:tc>
        <w:tc>
          <w:tcPr>
            <w:tcW w:w="1745" w:type="dxa"/>
            <w:tcBorders>
              <w:top w:val="single" w:sz="2" w:space="0" w:color="000000"/>
              <w:left w:val="single" w:sz="2" w:space="0" w:color="000000"/>
              <w:bottom w:val="single" w:sz="2" w:space="0" w:color="000000"/>
              <w:right w:val="single" w:sz="2" w:space="0" w:color="000000"/>
            </w:tcBorders>
            <w:vAlign w:val="bottom"/>
          </w:tcPr>
          <w:p w:rsidR="0015245F" w:rsidRDefault="00C15D0B" w:rsidP="006F64E7">
            <w:pPr>
              <w:spacing w:after="0" w:line="259" w:lineRule="auto"/>
              <w:ind w:left="8" w:firstLine="0"/>
              <w:jc w:val="left"/>
            </w:pPr>
            <w:r>
              <w:rPr>
                <w:sz w:val="22"/>
              </w:rPr>
              <w:t xml:space="preserve">Cena bez DPH (Kč) </w:t>
            </w:r>
          </w:p>
        </w:tc>
        <w:tc>
          <w:tcPr>
            <w:tcW w:w="1082" w:type="dxa"/>
            <w:tcBorders>
              <w:top w:val="single" w:sz="2" w:space="0" w:color="000000"/>
              <w:left w:val="single" w:sz="2" w:space="0" w:color="000000"/>
              <w:bottom w:val="single" w:sz="2" w:space="0" w:color="000000"/>
              <w:right w:val="single" w:sz="2" w:space="0" w:color="000000"/>
            </w:tcBorders>
          </w:tcPr>
          <w:p w:rsidR="0015245F" w:rsidRDefault="00C15D0B" w:rsidP="006F64E7">
            <w:pPr>
              <w:spacing w:after="0" w:line="259" w:lineRule="auto"/>
              <w:ind w:left="10" w:firstLine="0"/>
              <w:jc w:val="left"/>
            </w:pPr>
            <w:r>
              <w:rPr>
                <w:sz w:val="22"/>
              </w:rPr>
              <w:t>DPH (21</w:t>
            </w:r>
            <w:r w:rsidR="006F64E7">
              <w:t>%)</w:t>
            </w:r>
          </w:p>
        </w:tc>
        <w:tc>
          <w:tcPr>
            <w:tcW w:w="1496" w:type="dxa"/>
            <w:tcBorders>
              <w:top w:val="single" w:sz="2" w:space="0" w:color="000000"/>
              <w:left w:val="single" w:sz="2" w:space="0" w:color="000000"/>
              <w:bottom w:val="single" w:sz="2" w:space="0" w:color="000000"/>
              <w:right w:val="single" w:sz="2" w:space="0" w:color="000000"/>
            </w:tcBorders>
          </w:tcPr>
          <w:p w:rsidR="0015245F" w:rsidRDefault="00C15D0B">
            <w:pPr>
              <w:spacing w:after="0" w:line="259" w:lineRule="auto"/>
              <w:ind w:left="3" w:firstLine="0"/>
              <w:jc w:val="left"/>
            </w:pPr>
            <w:r>
              <w:rPr>
                <w:sz w:val="22"/>
              </w:rPr>
              <w:t>Cena s DPH</w:t>
            </w:r>
          </w:p>
        </w:tc>
      </w:tr>
      <w:tr w:rsidR="0015245F">
        <w:trPr>
          <w:trHeight w:val="302"/>
        </w:trPr>
        <w:tc>
          <w:tcPr>
            <w:tcW w:w="3683" w:type="dxa"/>
            <w:tcBorders>
              <w:top w:val="single" w:sz="2" w:space="0" w:color="000000"/>
              <w:left w:val="single" w:sz="2" w:space="0" w:color="000000"/>
              <w:bottom w:val="single" w:sz="2" w:space="0" w:color="000000"/>
              <w:right w:val="single" w:sz="2" w:space="0" w:color="000000"/>
            </w:tcBorders>
          </w:tcPr>
          <w:p w:rsidR="0015245F" w:rsidRDefault="00C15D0B">
            <w:pPr>
              <w:spacing w:after="0" w:line="259" w:lineRule="auto"/>
              <w:ind w:left="14" w:firstLine="0"/>
              <w:jc w:val="left"/>
            </w:pPr>
            <w:r>
              <w:rPr>
                <w:sz w:val="22"/>
              </w:rPr>
              <w:t>Dopravně inženýrská studie</w:t>
            </w:r>
          </w:p>
        </w:tc>
        <w:tc>
          <w:tcPr>
            <w:tcW w:w="1745" w:type="dxa"/>
            <w:tcBorders>
              <w:top w:val="single" w:sz="2" w:space="0" w:color="000000"/>
              <w:left w:val="single" w:sz="2" w:space="0" w:color="000000"/>
              <w:bottom w:val="single" w:sz="2" w:space="0" w:color="000000"/>
              <w:right w:val="single" w:sz="2" w:space="0" w:color="000000"/>
            </w:tcBorders>
          </w:tcPr>
          <w:p w:rsidR="0015245F" w:rsidRDefault="0015245F">
            <w:pPr>
              <w:spacing w:after="0" w:line="259" w:lineRule="auto"/>
              <w:ind w:left="0" w:right="62" w:firstLine="0"/>
              <w:jc w:val="center"/>
            </w:pPr>
          </w:p>
        </w:tc>
        <w:tc>
          <w:tcPr>
            <w:tcW w:w="1082" w:type="dxa"/>
            <w:tcBorders>
              <w:top w:val="single" w:sz="2" w:space="0" w:color="000000"/>
              <w:left w:val="single" w:sz="2" w:space="0" w:color="000000"/>
              <w:bottom w:val="single" w:sz="2" w:space="0" w:color="000000"/>
              <w:right w:val="single" w:sz="2" w:space="0" w:color="000000"/>
            </w:tcBorders>
          </w:tcPr>
          <w:p w:rsidR="0015245F" w:rsidRDefault="0015245F">
            <w:pPr>
              <w:spacing w:after="0" w:line="259" w:lineRule="auto"/>
              <w:ind w:left="0" w:right="72" w:firstLine="0"/>
              <w:jc w:val="center"/>
            </w:pPr>
          </w:p>
        </w:tc>
        <w:tc>
          <w:tcPr>
            <w:tcW w:w="1496" w:type="dxa"/>
            <w:tcBorders>
              <w:top w:val="single" w:sz="2" w:space="0" w:color="000000"/>
              <w:left w:val="single" w:sz="2" w:space="0" w:color="000000"/>
              <w:bottom w:val="single" w:sz="2" w:space="0" w:color="000000"/>
              <w:right w:val="single" w:sz="2" w:space="0" w:color="000000"/>
            </w:tcBorders>
          </w:tcPr>
          <w:p w:rsidR="0015245F" w:rsidRDefault="0015245F">
            <w:pPr>
              <w:spacing w:after="0" w:line="259" w:lineRule="auto"/>
              <w:ind w:left="0" w:right="62" w:firstLine="0"/>
              <w:jc w:val="center"/>
            </w:pPr>
          </w:p>
        </w:tc>
      </w:tr>
      <w:tr w:rsidR="0015245F">
        <w:trPr>
          <w:trHeight w:val="298"/>
        </w:trPr>
        <w:tc>
          <w:tcPr>
            <w:tcW w:w="3683" w:type="dxa"/>
            <w:tcBorders>
              <w:top w:val="single" w:sz="2" w:space="0" w:color="000000"/>
              <w:left w:val="single" w:sz="2" w:space="0" w:color="000000"/>
              <w:bottom w:val="single" w:sz="2" w:space="0" w:color="000000"/>
              <w:right w:val="single" w:sz="2" w:space="0" w:color="000000"/>
            </w:tcBorders>
          </w:tcPr>
          <w:p w:rsidR="0015245F" w:rsidRDefault="0015245F">
            <w:pPr>
              <w:spacing w:after="160" w:line="259" w:lineRule="auto"/>
              <w:ind w:left="0" w:firstLine="0"/>
              <w:jc w:val="left"/>
            </w:pPr>
          </w:p>
        </w:tc>
        <w:tc>
          <w:tcPr>
            <w:tcW w:w="1745" w:type="dxa"/>
            <w:tcBorders>
              <w:top w:val="single" w:sz="2" w:space="0" w:color="000000"/>
              <w:left w:val="single" w:sz="2" w:space="0" w:color="000000"/>
              <w:bottom w:val="single" w:sz="2" w:space="0" w:color="000000"/>
              <w:right w:val="single" w:sz="2" w:space="0" w:color="000000"/>
            </w:tcBorders>
          </w:tcPr>
          <w:p w:rsidR="0015245F" w:rsidRDefault="0015245F">
            <w:pPr>
              <w:spacing w:after="160" w:line="259" w:lineRule="auto"/>
              <w:ind w:left="0" w:firstLine="0"/>
              <w:jc w:val="left"/>
            </w:pPr>
          </w:p>
        </w:tc>
        <w:tc>
          <w:tcPr>
            <w:tcW w:w="1082" w:type="dxa"/>
            <w:tcBorders>
              <w:top w:val="single" w:sz="2" w:space="0" w:color="000000"/>
              <w:left w:val="single" w:sz="2" w:space="0" w:color="000000"/>
              <w:bottom w:val="single" w:sz="2" w:space="0" w:color="000000"/>
              <w:right w:val="single" w:sz="2" w:space="0" w:color="000000"/>
            </w:tcBorders>
          </w:tcPr>
          <w:p w:rsidR="0015245F" w:rsidRDefault="0015245F">
            <w:pPr>
              <w:spacing w:after="160" w:line="259" w:lineRule="auto"/>
              <w:ind w:left="0" w:firstLine="0"/>
              <w:jc w:val="left"/>
            </w:pPr>
          </w:p>
        </w:tc>
        <w:tc>
          <w:tcPr>
            <w:tcW w:w="1496" w:type="dxa"/>
            <w:tcBorders>
              <w:top w:val="single" w:sz="2" w:space="0" w:color="000000"/>
              <w:left w:val="single" w:sz="2" w:space="0" w:color="000000"/>
              <w:bottom w:val="single" w:sz="2" w:space="0" w:color="000000"/>
              <w:right w:val="single" w:sz="2" w:space="0" w:color="000000"/>
            </w:tcBorders>
          </w:tcPr>
          <w:p w:rsidR="0015245F" w:rsidRDefault="0015245F">
            <w:pPr>
              <w:spacing w:after="160" w:line="259" w:lineRule="auto"/>
              <w:ind w:left="0" w:firstLine="0"/>
              <w:jc w:val="left"/>
            </w:pPr>
          </w:p>
        </w:tc>
      </w:tr>
      <w:tr w:rsidR="0015245F">
        <w:trPr>
          <w:trHeight w:val="325"/>
        </w:trPr>
        <w:tc>
          <w:tcPr>
            <w:tcW w:w="3683" w:type="dxa"/>
            <w:tcBorders>
              <w:top w:val="single" w:sz="2" w:space="0" w:color="000000"/>
              <w:left w:val="single" w:sz="2" w:space="0" w:color="000000"/>
              <w:bottom w:val="single" w:sz="2" w:space="0" w:color="000000"/>
              <w:right w:val="single" w:sz="2" w:space="0" w:color="000000"/>
            </w:tcBorders>
          </w:tcPr>
          <w:p w:rsidR="0015245F" w:rsidRDefault="00C15D0B">
            <w:pPr>
              <w:spacing w:after="0" w:line="259" w:lineRule="auto"/>
              <w:ind w:left="10" w:firstLine="0"/>
              <w:jc w:val="left"/>
            </w:pPr>
            <w:r>
              <w:rPr>
                <w:sz w:val="22"/>
              </w:rPr>
              <w:t>Cena celkem</w:t>
            </w:r>
          </w:p>
        </w:tc>
        <w:tc>
          <w:tcPr>
            <w:tcW w:w="1745" w:type="dxa"/>
            <w:tcBorders>
              <w:top w:val="single" w:sz="2" w:space="0" w:color="000000"/>
              <w:left w:val="single" w:sz="2" w:space="0" w:color="000000"/>
              <w:bottom w:val="single" w:sz="2" w:space="0" w:color="000000"/>
              <w:right w:val="single" w:sz="2" w:space="0" w:color="000000"/>
            </w:tcBorders>
            <w:vAlign w:val="bottom"/>
          </w:tcPr>
          <w:p w:rsidR="0015245F" w:rsidRDefault="0015245F">
            <w:pPr>
              <w:spacing w:after="0" w:line="259" w:lineRule="auto"/>
              <w:ind w:left="0" w:right="62" w:firstLine="0"/>
              <w:jc w:val="center"/>
            </w:pPr>
          </w:p>
        </w:tc>
        <w:tc>
          <w:tcPr>
            <w:tcW w:w="1082" w:type="dxa"/>
            <w:tcBorders>
              <w:top w:val="single" w:sz="2" w:space="0" w:color="000000"/>
              <w:left w:val="single" w:sz="2" w:space="0" w:color="000000"/>
              <w:bottom w:val="single" w:sz="2" w:space="0" w:color="000000"/>
              <w:right w:val="single" w:sz="2" w:space="0" w:color="000000"/>
            </w:tcBorders>
            <w:vAlign w:val="bottom"/>
          </w:tcPr>
          <w:p w:rsidR="0015245F" w:rsidRDefault="0015245F">
            <w:pPr>
              <w:spacing w:after="0" w:line="259" w:lineRule="auto"/>
              <w:ind w:left="0" w:right="62" w:firstLine="0"/>
              <w:jc w:val="center"/>
            </w:pPr>
          </w:p>
        </w:tc>
        <w:tc>
          <w:tcPr>
            <w:tcW w:w="1496" w:type="dxa"/>
            <w:tcBorders>
              <w:top w:val="single" w:sz="2" w:space="0" w:color="000000"/>
              <w:left w:val="single" w:sz="2" w:space="0" w:color="000000"/>
              <w:bottom w:val="single" w:sz="2" w:space="0" w:color="000000"/>
              <w:right w:val="single" w:sz="2" w:space="0" w:color="000000"/>
            </w:tcBorders>
            <w:vAlign w:val="bottom"/>
          </w:tcPr>
          <w:p w:rsidR="0015245F" w:rsidRDefault="0015245F">
            <w:pPr>
              <w:spacing w:after="0" w:line="259" w:lineRule="auto"/>
              <w:ind w:left="0" w:right="53" w:firstLine="0"/>
              <w:jc w:val="center"/>
            </w:pPr>
          </w:p>
        </w:tc>
      </w:tr>
    </w:tbl>
    <w:p w:rsidR="0015245F" w:rsidRDefault="0015245F" w:rsidP="00167F96">
      <w:pPr>
        <w:spacing w:after="0" w:line="259" w:lineRule="auto"/>
        <w:jc w:val="left"/>
      </w:pPr>
    </w:p>
    <w:sectPr w:rsidR="0015245F">
      <w:type w:val="continuous"/>
      <w:pgSz w:w="11904" w:h="16834"/>
      <w:pgMar w:top="1277" w:right="1536" w:bottom="298" w:left="14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5F"/>
    <w:rsid w:val="0015245F"/>
    <w:rsid w:val="00167F96"/>
    <w:rsid w:val="006F64E7"/>
    <w:rsid w:val="00C15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5347"/>
  <w15:docId w15:val="{43216DBE-6B12-463B-A3E9-5A11F062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5" w:line="265" w:lineRule="auto"/>
      <w:ind w:left="183" w:hanging="5"/>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886"/>
      <w:outlineLvl w:val="0"/>
    </w:pPr>
    <w:rPr>
      <w:rFonts w:ascii="Times New Roman" w:eastAsia="Times New Roman" w:hAnsi="Times New Roman" w:cs="Times New Roman"/>
      <w:color w:val="000000"/>
      <w:sz w:val="52"/>
    </w:rPr>
  </w:style>
  <w:style w:type="paragraph" w:styleId="Nadpis2">
    <w:name w:val="heading 2"/>
    <w:next w:val="Normln"/>
    <w:link w:val="Nadpis2Char"/>
    <w:uiPriority w:val="9"/>
    <w:unhideWhenUsed/>
    <w:qFormat/>
    <w:pPr>
      <w:keepNext/>
      <w:keepLines/>
      <w:spacing w:after="0"/>
      <w:ind w:left="336" w:right="-509"/>
      <w:outlineLvl w:val="1"/>
    </w:pPr>
    <w:rPr>
      <w:rFonts w:ascii="Times New Roman" w:eastAsia="Times New Roman" w:hAnsi="Times New Roman" w:cs="Times New Roman"/>
      <w:color w:val="000000"/>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48"/>
    </w:rPr>
  </w:style>
  <w:style w:type="character" w:customStyle="1" w:styleId="Nadpis1Char">
    <w:name w:val="Nadpis 1 Char"/>
    <w:link w:val="Nadpis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3642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2</cp:revision>
  <dcterms:created xsi:type="dcterms:W3CDTF">2018-08-16T07:19:00Z</dcterms:created>
  <dcterms:modified xsi:type="dcterms:W3CDTF">2018-08-16T07:19:00Z</dcterms:modified>
</cp:coreProperties>
</file>