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F74" w:rsidRDefault="003D3A0F" w:rsidP="003D3A0F">
      <w:r>
        <w:rPr>
          <w:b/>
          <w:bCs/>
          <w:sz w:val="32"/>
          <w:szCs w:val="32"/>
        </w:rPr>
        <w:t xml:space="preserve">                         </w:t>
      </w:r>
      <w:r w:rsidR="00634F74">
        <w:rPr>
          <w:b/>
          <w:bCs/>
          <w:sz w:val="32"/>
          <w:szCs w:val="32"/>
        </w:rPr>
        <w:t xml:space="preserve">KUPNÍ SMLOUVA </w:t>
      </w:r>
      <w:r>
        <w:rPr>
          <w:b/>
          <w:bCs/>
          <w:sz w:val="32"/>
          <w:szCs w:val="32"/>
        </w:rPr>
        <w:t>č. 161278/2016</w:t>
      </w:r>
    </w:p>
    <w:p w:rsidR="00634F74" w:rsidRDefault="00634F74" w:rsidP="00634F74">
      <w:pPr>
        <w:jc w:val="center"/>
        <w:rPr>
          <w:b/>
          <w:bCs/>
          <w:sz w:val="22"/>
          <w:szCs w:val="22"/>
        </w:rPr>
      </w:pPr>
    </w:p>
    <w:p w:rsidR="00634F74" w:rsidRDefault="00634F74" w:rsidP="00634F74">
      <w:pPr>
        <w:rPr>
          <w:b/>
          <w:bCs/>
          <w:color w:val="FF0000"/>
          <w:sz w:val="22"/>
          <w:szCs w:val="22"/>
        </w:rPr>
      </w:pPr>
    </w:p>
    <w:p w:rsidR="00634F74" w:rsidRDefault="00634F74" w:rsidP="00634F74">
      <w:pPr>
        <w:jc w:val="center"/>
        <w:rPr>
          <w:b/>
          <w:bCs/>
        </w:rPr>
      </w:pPr>
      <w:r>
        <w:rPr>
          <w:b/>
          <w:bCs/>
        </w:rPr>
        <w:t>Čl. I. Smluvní strany</w:t>
      </w:r>
    </w:p>
    <w:p w:rsidR="00634F74" w:rsidRDefault="00634F74" w:rsidP="00634F74">
      <w:pPr>
        <w:rPr>
          <w:b/>
          <w:bCs/>
        </w:rPr>
      </w:pPr>
    </w:p>
    <w:p w:rsidR="00634F74" w:rsidRDefault="00634F74" w:rsidP="00634F74">
      <w:pPr>
        <w:rPr>
          <w:i/>
          <w:iCs/>
        </w:rPr>
      </w:pPr>
    </w:p>
    <w:p w:rsidR="00634F74" w:rsidRDefault="00634F74" w:rsidP="00634F74">
      <w:pPr>
        <w:rPr>
          <w:b/>
          <w:bCs/>
        </w:rPr>
      </w:pPr>
      <w:r>
        <w:rPr>
          <w:b/>
          <w:bCs/>
        </w:rPr>
        <w:t xml:space="preserve">PROMA REHA, s.r.o. </w:t>
      </w:r>
    </w:p>
    <w:p w:rsidR="00634F74" w:rsidRDefault="00634F74" w:rsidP="00634F74">
      <w:r>
        <w:t>se sídlem:</w:t>
      </w:r>
      <w:r>
        <w:tab/>
      </w:r>
      <w:r>
        <w:tab/>
        <w:t>Riegrova 342, Česká Skalice, PSČ: 552 03</w:t>
      </w:r>
    </w:p>
    <w:p w:rsidR="00634F74" w:rsidRDefault="00634F74" w:rsidP="00634F74">
      <w:pPr>
        <w:ind w:left="2124" w:hanging="2124"/>
      </w:pPr>
      <w:r>
        <w:t>Zapsán:</w:t>
      </w:r>
      <w:r>
        <w:rPr>
          <w:i/>
          <w:iCs/>
        </w:rPr>
        <w:tab/>
      </w:r>
      <w:r>
        <w:t xml:space="preserve">v obchod. rejstříku </w:t>
      </w:r>
      <w:proofErr w:type="gramStart"/>
      <w:r>
        <w:t>vedeném</w:t>
      </w:r>
      <w:proofErr w:type="gramEnd"/>
      <w:r>
        <w:t xml:space="preserve"> u Krajského soudu v Hradci Králové, oddíl C, vložka 7945</w:t>
      </w:r>
    </w:p>
    <w:p w:rsidR="00634F74" w:rsidRDefault="00634F74" w:rsidP="00634F74">
      <w:pPr>
        <w:pStyle w:val="Nadpis1"/>
        <w:rPr>
          <w:i w:val="0"/>
          <w:iCs w:val="0"/>
        </w:rPr>
      </w:pPr>
      <w:r>
        <w:rPr>
          <w:i w:val="0"/>
          <w:iCs w:val="0"/>
        </w:rPr>
        <w:t xml:space="preserve">IČ: </w:t>
      </w:r>
      <w:r>
        <w:rPr>
          <w:i w:val="0"/>
          <w:iCs w:val="0"/>
        </w:rPr>
        <w:tab/>
      </w:r>
      <w:r>
        <w:rPr>
          <w:i w:val="0"/>
          <w:iCs w:val="0"/>
        </w:rPr>
        <w:tab/>
      </w:r>
      <w:r>
        <w:rPr>
          <w:i w:val="0"/>
          <w:iCs w:val="0"/>
        </w:rPr>
        <w:tab/>
        <w:t xml:space="preserve">63219107 </w:t>
      </w:r>
    </w:p>
    <w:p w:rsidR="00634F74" w:rsidRDefault="00634F74" w:rsidP="00634F74">
      <w:pPr>
        <w:pStyle w:val="Nadpis1"/>
        <w:rPr>
          <w:i w:val="0"/>
          <w:iCs w:val="0"/>
        </w:rPr>
      </w:pPr>
      <w:r>
        <w:rPr>
          <w:i w:val="0"/>
          <w:iCs w:val="0"/>
        </w:rPr>
        <w:t>DIČ</w:t>
      </w:r>
      <w:r>
        <w:t>:</w:t>
      </w:r>
      <w:r>
        <w:tab/>
      </w:r>
      <w:r>
        <w:tab/>
      </w:r>
      <w:r>
        <w:tab/>
      </w:r>
      <w:r>
        <w:rPr>
          <w:i w:val="0"/>
          <w:iCs w:val="0"/>
        </w:rPr>
        <w:t xml:space="preserve">CZ63219107 </w:t>
      </w:r>
    </w:p>
    <w:p w:rsidR="00634F74" w:rsidRDefault="00634F74" w:rsidP="00634F74">
      <w:pPr>
        <w:pStyle w:val="Nadpis1"/>
        <w:ind w:left="2124" w:hanging="2124"/>
        <w:rPr>
          <w:i w:val="0"/>
          <w:iCs w:val="0"/>
        </w:rPr>
      </w:pPr>
      <w:r>
        <w:rPr>
          <w:i w:val="0"/>
          <w:iCs w:val="0"/>
        </w:rPr>
        <w:t xml:space="preserve">Bankovní </w:t>
      </w:r>
      <w:r w:rsidR="00F72EF5">
        <w:rPr>
          <w:i w:val="0"/>
          <w:iCs w:val="0"/>
        </w:rPr>
        <w:t>spojení:</w:t>
      </w:r>
      <w:r w:rsidR="00F72EF5">
        <w:rPr>
          <w:i w:val="0"/>
          <w:iCs w:val="0"/>
        </w:rPr>
        <w:tab/>
      </w:r>
      <w:proofErr w:type="spellStart"/>
      <w:r w:rsidR="00F72EF5">
        <w:rPr>
          <w:i w:val="0"/>
          <w:iCs w:val="0"/>
        </w:rPr>
        <w:t>Raiffeisenbank</w:t>
      </w:r>
      <w:proofErr w:type="spellEnd"/>
      <w:r w:rsidR="00F72EF5">
        <w:rPr>
          <w:i w:val="0"/>
          <w:iCs w:val="0"/>
        </w:rPr>
        <w:t xml:space="preserve"> a.s.</w:t>
      </w:r>
    </w:p>
    <w:p w:rsidR="00634F74" w:rsidRDefault="00634F74" w:rsidP="00634F74">
      <w:pPr>
        <w:pStyle w:val="Nadpis1"/>
        <w:ind w:left="2124" w:hanging="2124"/>
        <w:rPr>
          <w:i w:val="0"/>
          <w:iCs w:val="0"/>
        </w:rPr>
      </w:pPr>
      <w:r>
        <w:rPr>
          <w:i w:val="0"/>
          <w:iCs w:val="0"/>
        </w:rPr>
        <w:t xml:space="preserve">Číslo  </w:t>
      </w:r>
      <w:proofErr w:type="gramStart"/>
      <w:r>
        <w:rPr>
          <w:i w:val="0"/>
          <w:iCs w:val="0"/>
        </w:rPr>
        <w:t>úč</w:t>
      </w:r>
      <w:r w:rsidR="00F72EF5">
        <w:rPr>
          <w:i w:val="0"/>
          <w:iCs w:val="0"/>
        </w:rPr>
        <w:t>tu :</w:t>
      </w:r>
      <w:proofErr w:type="gramEnd"/>
      <w:r w:rsidR="00F72EF5">
        <w:rPr>
          <w:i w:val="0"/>
          <w:iCs w:val="0"/>
        </w:rPr>
        <w:t xml:space="preserve">               </w:t>
      </w:r>
      <w:r w:rsidR="009432A8" w:rsidRPr="00733237">
        <w:rPr>
          <w:i w:val="0"/>
          <w:iCs w:val="0"/>
        </w:rPr>
        <w:t xml:space="preserve"> </w:t>
      </w:r>
      <w:r>
        <w:rPr>
          <w:i w:val="0"/>
          <w:iCs w:val="0"/>
        </w:rPr>
        <w:t xml:space="preserve"> </w:t>
      </w:r>
    </w:p>
    <w:p w:rsidR="00634F74" w:rsidRDefault="00C8224A" w:rsidP="00634F74">
      <w:pPr>
        <w:pStyle w:val="Nadpis1"/>
        <w:rPr>
          <w:i w:val="0"/>
          <w:iCs w:val="0"/>
        </w:rPr>
      </w:pPr>
      <w:r>
        <w:rPr>
          <w:i w:val="0"/>
          <w:iCs w:val="0"/>
        </w:rPr>
        <w:t>Zastoupen:</w:t>
      </w:r>
      <w:r>
        <w:rPr>
          <w:i w:val="0"/>
          <w:iCs w:val="0"/>
        </w:rPr>
        <w:tab/>
      </w:r>
      <w:r>
        <w:rPr>
          <w:i w:val="0"/>
          <w:iCs w:val="0"/>
        </w:rPr>
        <w:tab/>
        <w:t>Radkem</w:t>
      </w:r>
      <w:r w:rsidR="00634F74">
        <w:rPr>
          <w:i w:val="0"/>
          <w:iCs w:val="0"/>
        </w:rPr>
        <w:t xml:space="preserve"> Jakubským, jednatelem společnosti</w:t>
      </w:r>
    </w:p>
    <w:p w:rsidR="00634F74" w:rsidRDefault="00634F74" w:rsidP="00634F74"/>
    <w:p w:rsidR="00634F74" w:rsidRDefault="00634F74" w:rsidP="00634F74">
      <w:pPr>
        <w:jc w:val="center"/>
      </w:pPr>
      <w:r>
        <w:t>dále jen „prodávající“</w:t>
      </w:r>
    </w:p>
    <w:p w:rsidR="00634F74" w:rsidRDefault="00634F74" w:rsidP="00634F74"/>
    <w:p w:rsidR="00634F74" w:rsidRDefault="00634F74" w:rsidP="00634F74">
      <w:pPr>
        <w:jc w:val="center"/>
      </w:pPr>
      <w:r>
        <w:t>a</w:t>
      </w:r>
    </w:p>
    <w:p w:rsidR="00C10602" w:rsidRDefault="00C10602" w:rsidP="00C10602">
      <w:r w:rsidRPr="00641AA1">
        <w:rPr>
          <w:b/>
        </w:rPr>
        <w:t>Domov Na zámečku Rokytnice, p. o.,</w:t>
      </w:r>
    </w:p>
    <w:p w:rsidR="00C10602" w:rsidRDefault="00634F74" w:rsidP="00C10602">
      <w:r>
        <w:t xml:space="preserve">se sídlem:                 </w:t>
      </w:r>
      <w:r w:rsidR="00795DC4">
        <w:t xml:space="preserve"> </w:t>
      </w:r>
      <w:r>
        <w:t xml:space="preserve"> </w:t>
      </w:r>
      <w:r w:rsidR="00C10602">
        <w:t>Rokytnice č. p. 1, PSČ 751 04</w:t>
      </w:r>
    </w:p>
    <w:p w:rsidR="00634F74" w:rsidRDefault="0012708C" w:rsidP="00634F74">
      <w:pPr>
        <w:pStyle w:val="Nadpis1"/>
        <w:rPr>
          <w:i w:val="0"/>
          <w:iCs w:val="0"/>
        </w:rPr>
      </w:pPr>
      <w:r>
        <w:rPr>
          <w:i w:val="0"/>
          <w:iCs w:val="0"/>
        </w:rPr>
        <w:t xml:space="preserve">IČ: </w:t>
      </w:r>
      <w:r>
        <w:rPr>
          <w:i w:val="0"/>
          <w:iCs w:val="0"/>
        </w:rPr>
        <w:tab/>
      </w:r>
      <w:r>
        <w:rPr>
          <w:i w:val="0"/>
          <w:iCs w:val="0"/>
        </w:rPr>
        <w:tab/>
      </w:r>
      <w:r>
        <w:rPr>
          <w:i w:val="0"/>
          <w:iCs w:val="0"/>
        </w:rPr>
        <w:tab/>
      </w:r>
      <w:r w:rsidR="00C10602" w:rsidRPr="00C10602">
        <w:rPr>
          <w:i w:val="0"/>
        </w:rPr>
        <w:t>61985911</w:t>
      </w:r>
      <w:r w:rsidR="00634F74" w:rsidRPr="00C10602">
        <w:rPr>
          <w:i w:val="0"/>
          <w:iCs w:val="0"/>
        </w:rPr>
        <w:t xml:space="preserve"> </w:t>
      </w:r>
    </w:p>
    <w:p w:rsidR="00634F74" w:rsidRDefault="0012708C" w:rsidP="00634F74">
      <w:pPr>
        <w:pStyle w:val="Nadpis1"/>
        <w:rPr>
          <w:i w:val="0"/>
          <w:iCs w:val="0"/>
        </w:rPr>
      </w:pPr>
      <w:r>
        <w:rPr>
          <w:i w:val="0"/>
          <w:iCs w:val="0"/>
        </w:rPr>
        <w:t>Zastoupen:</w:t>
      </w:r>
      <w:r>
        <w:rPr>
          <w:i w:val="0"/>
          <w:iCs w:val="0"/>
        </w:rPr>
        <w:tab/>
        <w:t xml:space="preserve">            </w:t>
      </w:r>
      <w:r w:rsidR="00C10602" w:rsidRPr="00C10602">
        <w:rPr>
          <w:i w:val="0"/>
        </w:rPr>
        <w:t>JUDr. Eva Fabová   - ředitelka</w:t>
      </w:r>
    </w:p>
    <w:p w:rsidR="00634F74" w:rsidRDefault="00634F74" w:rsidP="00634F74"/>
    <w:p w:rsidR="00634F74" w:rsidRDefault="00634F74" w:rsidP="00634F74">
      <w:pPr>
        <w:jc w:val="center"/>
      </w:pPr>
      <w:r>
        <w:t>dále jen „kupující“</w:t>
      </w:r>
    </w:p>
    <w:p w:rsidR="00634F74" w:rsidRDefault="00634F74" w:rsidP="00634F74"/>
    <w:p w:rsidR="00634F74" w:rsidRDefault="00634F74" w:rsidP="00634F74">
      <w:r>
        <w:t>uzavřeli níže uvedeného dne, měsíce a roku na základě úplné a bezvýhradné shody o všech dále uvedených ustanoveních podle § 2079 a násl. zákona č. 89/2012 Sb., občanský zákoník, tuto kupní smlouvu (dále jen „Smlouva“)</w:t>
      </w:r>
    </w:p>
    <w:p w:rsidR="00634F74" w:rsidRDefault="00634F74" w:rsidP="00634F74">
      <w:pPr>
        <w:jc w:val="center"/>
      </w:pPr>
    </w:p>
    <w:p w:rsidR="00634F74" w:rsidRDefault="00634F74" w:rsidP="00634F74"/>
    <w:p w:rsidR="00634F74" w:rsidRDefault="00634F74" w:rsidP="00634F74">
      <w:pPr>
        <w:jc w:val="center"/>
        <w:rPr>
          <w:b/>
        </w:rPr>
      </w:pPr>
      <w:r>
        <w:rPr>
          <w:b/>
        </w:rPr>
        <w:t>Čl. II. Předmět smlouvy</w:t>
      </w:r>
    </w:p>
    <w:p w:rsidR="00634F74" w:rsidRDefault="00634F74" w:rsidP="00634F74">
      <w:pPr>
        <w:jc w:val="center"/>
      </w:pPr>
    </w:p>
    <w:p w:rsidR="00634F74" w:rsidRDefault="00634F74" w:rsidP="00634F74">
      <w:pPr>
        <w:ind w:left="284" w:hanging="284"/>
        <w:jc w:val="both"/>
      </w:pPr>
      <w:r>
        <w:t>1.</w:t>
      </w:r>
      <w:r>
        <w:tab/>
        <w:t xml:space="preserve">Předmětem této smlouvy je zajištění dodávky, montáže a zaškolení obsluhy zboží, přesně specifikovaného v příloze č. 1 této smlouvy, která je její nedílnou součástí. </w:t>
      </w:r>
    </w:p>
    <w:p w:rsidR="00634F74" w:rsidRDefault="00634F74" w:rsidP="00634F74">
      <w:pPr>
        <w:jc w:val="center"/>
      </w:pPr>
    </w:p>
    <w:p w:rsidR="00634F74" w:rsidRDefault="00634F74" w:rsidP="00634F74">
      <w:pPr>
        <w:jc w:val="center"/>
        <w:rPr>
          <w:b/>
        </w:rPr>
      </w:pPr>
      <w:r>
        <w:rPr>
          <w:b/>
        </w:rPr>
        <w:t>Čl. III. Kupní cena a platební podmínky</w:t>
      </w:r>
    </w:p>
    <w:p w:rsidR="00634F74" w:rsidRDefault="00634F74" w:rsidP="00634F74">
      <w:pPr>
        <w:jc w:val="both"/>
      </w:pPr>
    </w:p>
    <w:p w:rsidR="00634F74" w:rsidRDefault="00634F74" w:rsidP="00634F74">
      <w:pPr>
        <w:numPr>
          <w:ilvl w:val="0"/>
          <w:numId w:val="1"/>
        </w:numPr>
        <w:tabs>
          <w:tab w:val="num" w:pos="284"/>
        </w:tabs>
        <w:ind w:left="284" w:hanging="284"/>
        <w:jc w:val="both"/>
      </w:pPr>
      <w:r>
        <w:t>Kupní cena dodávky zboží činí:</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9"/>
        <w:gridCol w:w="2753"/>
      </w:tblGrid>
      <w:tr w:rsidR="00634F74" w:rsidTr="008306E0">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634F74" w:rsidP="008306E0">
            <w:pPr>
              <w:spacing w:before="120"/>
            </w:pPr>
            <w:r>
              <w:t>Cena bez DPH:</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206830" w:rsidP="008306E0">
            <w:pPr>
              <w:spacing w:before="120"/>
              <w:jc w:val="right"/>
            </w:pPr>
            <w:r>
              <w:t>151 829</w:t>
            </w:r>
            <w:r w:rsidR="00634F74">
              <w:t xml:space="preserve">,-  Kč     </w:t>
            </w:r>
          </w:p>
        </w:tc>
      </w:tr>
      <w:tr w:rsidR="00634F74" w:rsidTr="008306E0">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634F74" w:rsidP="008306E0">
            <w:pPr>
              <w:spacing w:before="120"/>
            </w:pPr>
            <w:proofErr w:type="gramStart"/>
            <w:r>
              <w:t>DPH :</w:t>
            </w:r>
            <w:r w:rsidR="003D3A0F">
              <w:t xml:space="preserve"> 15%</w:t>
            </w:r>
            <w:proofErr w:type="gramEnd"/>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206830" w:rsidP="008306E0">
            <w:pPr>
              <w:spacing w:before="120"/>
              <w:jc w:val="right"/>
            </w:pPr>
            <w:r>
              <w:t>22 774</w:t>
            </w:r>
            <w:r w:rsidR="00634F74">
              <w:t>,-  Kč</w:t>
            </w:r>
          </w:p>
        </w:tc>
      </w:tr>
      <w:tr w:rsidR="00634F74" w:rsidTr="008306E0">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634F74" w:rsidP="008306E0">
            <w:pPr>
              <w:spacing w:before="120"/>
            </w:pPr>
            <w:r>
              <w:t>Celková kupní cena včetně DPH:</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634F74" w:rsidRDefault="00206830" w:rsidP="008306E0">
            <w:pPr>
              <w:spacing w:before="120"/>
              <w:jc w:val="right"/>
            </w:pPr>
            <w:r>
              <w:t>174 603</w:t>
            </w:r>
            <w:r w:rsidR="00634F74">
              <w:t xml:space="preserve">,-  Kč </w:t>
            </w:r>
          </w:p>
        </w:tc>
      </w:tr>
    </w:tbl>
    <w:p w:rsidR="00634F74" w:rsidRDefault="00634F74" w:rsidP="00634F74">
      <w:pPr>
        <w:ind w:left="284" w:hanging="284"/>
        <w:jc w:val="both"/>
      </w:pPr>
    </w:p>
    <w:p w:rsidR="00634F74" w:rsidRDefault="00634F74" w:rsidP="005E1D59">
      <w:pPr>
        <w:numPr>
          <w:ilvl w:val="0"/>
          <w:numId w:val="1"/>
        </w:numPr>
        <w:tabs>
          <w:tab w:val="num" w:pos="284"/>
        </w:tabs>
        <w:ind w:left="284" w:hanging="284"/>
      </w:pPr>
      <w:r>
        <w:t>Kupní cena byla stranami sjednána na částku</w:t>
      </w:r>
      <w:r w:rsidR="00C10602">
        <w:t>1</w:t>
      </w:r>
      <w:r w:rsidR="00206830">
        <w:t>74.603</w:t>
      </w:r>
      <w:r w:rsidRPr="00F72EF5">
        <w:rPr>
          <w:b/>
        </w:rPr>
        <w:t>,-</w:t>
      </w:r>
      <w:r>
        <w:t xml:space="preserve"> Kč </w:t>
      </w:r>
      <w:proofErr w:type="gramStart"/>
      <w:r>
        <w:t>slovy</w:t>
      </w:r>
      <w:proofErr w:type="gramEnd"/>
      <w:r>
        <w:t xml:space="preserve"> </w:t>
      </w:r>
      <w:r w:rsidR="005E1D59">
        <w:t>–</w:t>
      </w:r>
      <w:proofErr w:type="spellStart"/>
      <w:proofErr w:type="gramStart"/>
      <w:r w:rsidR="00C10602">
        <w:t>sto</w:t>
      </w:r>
      <w:r w:rsidR="00206830">
        <w:t>sedmdesátčtyřitisícšestsettři</w:t>
      </w:r>
      <w:proofErr w:type="spellEnd"/>
      <w:proofErr w:type="gramEnd"/>
      <w:r w:rsidR="00206830">
        <w:t xml:space="preserve"> koruny</w:t>
      </w:r>
      <w:r w:rsidR="005E1D59">
        <w:t>,</w:t>
      </w:r>
      <w:r>
        <w:t xml:space="preserve"> včetně DPH.</w:t>
      </w:r>
    </w:p>
    <w:p w:rsidR="00634F74" w:rsidRDefault="00634F74" w:rsidP="00634F74">
      <w:pPr>
        <w:numPr>
          <w:ilvl w:val="0"/>
          <w:numId w:val="1"/>
        </w:numPr>
        <w:tabs>
          <w:tab w:val="num" w:pos="284"/>
        </w:tabs>
        <w:ind w:left="284" w:hanging="284"/>
        <w:jc w:val="both"/>
      </w:pPr>
      <w:r>
        <w:t>Sjednanou kupní cenu zaplatí kupující na základě daňového dokladu – faktury, splatné do 30 dní po jejím vystavení.</w:t>
      </w:r>
    </w:p>
    <w:p w:rsidR="00634F74" w:rsidRDefault="00634F74" w:rsidP="00634F74">
      <w:pPr>
        <w:numPr>
          <w:ilvl w:val="0"/>
          <w:numId w:val="1"/>
        </w:numPr>
        <w:tabs>
          <w:tab w:val="num" w:pos="284"/>
        </w:tabs>
        <w:ind w:left="284" w:hanging="284"/>
        <w:jc w:val="both"/>
      </w:pPr>
      <w:r>
        <w:lastRenderedPageBreak/>
        <w:t>Právo na vystavení faktury vzniká prodávajícímu dnem podpisu dodacího listu, potvrzujícího dodání jednotlivých částí dodávky dle bodu IV. této smlouvy.</w:t>
      </w:r>
    </w:p>
    <w:p w:rsidR="00634F74" w:rsidRDefault="00634F74" w:rsidP="00634F74">
      <w:pPr>
        <w:numPr>
          <w:ilvl w:val="0"/>
          <w:numId w:val="1"/>
        </w:numPr>
        <w:tabs>
          <w:tab w:val="num" w:pos="284"/>
        </w:tabs>
        <w:ind w:left="284" w:hanging="284"/>
        <w:jc w:val="both"/>
      </w:pPr>
      <w:r>
        <w:t>Cena je uvedena včetně dopravy na místo plnění, montáže - zprovoznění zboží, a zaškolení obsluhy.</w:t>
      </w:r>
    </w:p>
    <w:p w:rsidR="00634F74" w:rsidRDefault="00634F74" w:rsidP="00634F74">
      <w:pPr>
        <w:jc w:val="center"/>
      </w:pPr>
    </w:p>
    <w:p w:rsidR="00634F74" w:rsidRDefault="00634F74" w:rsidP="00634F74">
      <w:pPr>
        <w:jc w:val="center"/>
        <w:rPr>
          <w:b/>
        </w:rPr>
      </w:pPr>
      <w:r>
        <w:rPr>
          <w:b/>
        </w:rPr>
        <w:t>Čl. IV. Doba a místo plnění</w:t>
      </w:r>
    </w:p>
    <w:p w:rsidR="00634F74" w:rsidRDefault="00634F74" w:rsidP="00634F74">
      <w:pPr>
        <w:jc w:val="both"/>
      </w:pPr>
    </w:p>
    <w:p w:rsidR="00634F74" w:rsidRDefault="00634F74" w:rsidP="00634F74">
      <w:pPr>
        <w:ind w:left="284" w:hanging="284"/>
        <w:jc w:val="both"/>
      </w:pPr>
      <w:r>
        <w:t>1.</w:t>
      </w:r>
      <w:r>
        <w:tab/>
        <w:t>Dobou plnění pro výše uvedené výrobky dle uv</w:t>
      </w:r>
      <w:r w:rsidR="007F59FF">
        <w:t>edené specifikace je</w:t>
      </w:r>
      <w:r w:rsidR="005707FB">
        <w:t xml:space="preserve"> termín 7</w:t>
      </w:r>
      <w:r>
        <w:t xml:space="preserve"> týdnů od podpisu této kupní smlouvy.</w:t>
      </w:r>
    </w:p>
    <w:p w:rsidR="00634F74" w:rsidRDefault="00634F74" w:rsidP="00634F74">
      <w:pPr>
        <w:ind w:left="284" w:hanging="284"/>
        <w:jc w:val="both"/>
      </w:pPr>
      <w:r>
        <w:t>2.</w:t>
      </w:r>
      <w:r>
        <w:tab/>
        <w:t>Přesný termín dodávky zboží bude kupujícímu sdělen minimálně 2 pracovní dny předem. Případnou změnu termínu dodání zboží, zaviněnou okolnostmi, které prodávající nemohl s dostatečnou odbornou péčí předvídat, oznámí prodávající kupujícímu bez zbytečného odkladu předem.</w:t>
      </w:r>
    </w:p>
    <w:p w:rsidR="00634F74" w:rsidRDefault="00634F74" w:rsidP="00634F74">
      <w:pPr>
        <w:ind w:left="284" w:hanging="284"/>
        <w:jc w:val="both"/>
      </w:pPr>
      <w:r>
        <w:t>3.</w:t>
      </w:r>
      <w:r>
        <w:tab/>
        <w:t>Místem pln</w:t>
      </w:r>
      <w:r w:rsidR="00C10602">
        <w:t>ění je Domov Na zámečku Rokytnice</w:t>
      </w:r>
      <w:r>
        <w:t xml:space="preserve">. </w:t>
      </w:r>
    </w:p>
    <w:p w:rsidR="00634F74" w:rsidRDefault="00634F74" w:rsidP="00634F74">
      <w:pPr>
        <w:ind w:left="284" w:hanging="284"/>
        <w:jc w:val="both"/>
      </w:pPr>
      <w:r>
        <w:t>4.</w:t>
      </w:r>
      <w:r>
        <w:tab/>
        <w:t>Při změně specifikace Kupní smlouvy nebo její přílohy, od okamžiku přijetí změny prodávajícím začíná běžet nová lhůta dodání s novým termínem dodání. V případě, že příloha nebude obsahovat podrobnou specifikaci zboží vč. barevného provedení, lhůta pro dodání začne běžet až od okamžiku písemného doplnění chybějících údajů ze strany kupujícího.</w:t>
      </w:r>
    </w:p>
    <w:p w:rsidR="00634F74" w:rsidRDefault="00634F74" w:rsidP="00634F74"/>
    <w:p w:rsidR="00634F74" w:rsidRDefault="00634F74" w:rsidP="00634F74">
      <w:pPr>
        <w:jc w:val="center"/>
        <w:rPr>
          <w:b/>
        </w:rPr>
      </w:pPr>
      <w:r>
        <w:rPr>
          <w:b/>
        </w:rPr>
        <w:t>Čl. IV. Dodání zboží</w:t>
      </w:r>
    </w:p>
    <w:p w:rsidR="00634F74" w:rsidRDefault="00634F74" w:rsidP="00634F74">
      <w:pPr>
        <w:jc w:val="both"/>
      </w:pPr>
    </w:p>
    <w:p w:rsidR="00634F74" w:rsidRDefault="00634F74" w:rsidP="00634F74">
      <w:pPr>
        <w:ind w:left="284" w:hanging="284"/>
        <w:jc w:val="both"/>
      </w:pPr>
      <w:r>
        <w:t>1.</w:t>
      </w:r>
      <w:r>
        <w:tab/>
        <w:t>Dodáním zboží se rozumí postup, jehož završením je fyzické předání zboží kupujícímu. Převzetí dodaného zboží potvrdí kupující podpisem oprávněné osoby na dodacím listu, vystaveném za tím účelem prodávajícím a to při převzetí zboží osobou zmocněnou kupujícím k převzetí zboží.</w:t>
      </w:r>
    </w:p>
    <w:p w:rsidR="00634F74" w:rsidRDefault="00634F74" w:rsidP="00634F74">
      <w:pPr>
        <w:ind w:left="284" w:hanging="284"/>
        <w:jc w:val="both"/>
      </w:pPr>
      <w:r>
        <w:t>2.</w:t>
      </w:r>
      <w:r>
        <w:tab/>
        <w:t>Spolu se zbožím je prodávající povinen dodat veškeré doklady, které jsou potřebné k používání zboží a které osvědčují technické požadavky na zdravotnické prostředky, jako např. návod k použití v českém jazyce a příslušné certifikáty.</w:t>
      </w:r>
    </w:p>
    <w:p w:rsidR="00634F74" w:rsidRDefault="00634F74" w:rsidP="00634F74">
      <w:pPr>
        <w:ind w:left="284" w:hanging="284"/>
        <w:jc w:val="both"/>
      </w:pPr>
      <w:r>
        <w:t>3.</w:t>
      </w:r>
      <w:r>
        <w:tab/>
        <w:t>Kupující se zavazuje poskytnout prodávajícímu veškerou potřebnou součinnost, nutnou k dodání zboží dle této smlouvy.</w:t>
      </w:r>
    </w:p>
    <w:p w:rsidR="00634F74" w:rsidRDefault="00634F74" w:rsidP="00634F74">
      <w:pPr>
        <w:ind w:left="284" w:hanging="284"/>
        <w:jc w:val="both"/>
      </w:pPr>
      <w:r>
        <w:t>4.</w:t>
      </w:r>
      <w:r>
        <w:tab/>
        <w:t>Odmítne-li kupující bezdůvodně zboží převzít a podepsat dodací list, považuje se zboží za řádně dodané od okamžiku, kdy kupující odmítl bezdůvodně zboží převzít. V tomto okamžiku na kupujícího přechází nebezpečí nahodilé zkázy nebo škody, jakoby zboží převzal.</w:t>
      </w:r>
    </w:p>
    <w:p w:rsidR="00634F74" w:rsidRDefault="00634F74" w:rsidP="00634F74">
      <w:pPr>
        <w:ind w:left="284" w:hanging="284"/>
        <w:jc w:val="both"/>
      </w:pPr>
      <w:r>
        <w:t>5.</w:t>
      </w:r>
      <w:r>
        <w:tab/>
        <w:t>Prodávající je povinen provést montáž dodaného zboží do prostor, určených kupujícím v této smlouvě.</w:t>
      </w:r>
    </w:p>
    <w:p w:rsidR="00634F74" w:rsidRDefault="00634F74" w:rsidP="00634F74">
      <w:pPr>
        <w:ind w:left="284" w:hanging="284"/>
        <w:jc w:val="both"/>
      </w:pPr>
      <w:r>
        <w:t>6.</w:t>
      </w:r>
      <w:r>
        <w:tab/>
        <w:t xml:space="preserve">Kupující se zavazuje poskytnout prodávajícímu veškerou potřebnou součinnost k provedení montáže. Při nesplnění této povinnosti odpovídá kupující za škodu tím vzniklou. </w:t>
      </w:r>
    </w:p>
    <w:p w:rsidR="00634F74" w:rsidRDefault="00634F74" w:rsidP="00634F74">
      <w:pPr>
        <w:jc w:val="center"/>
      </w:pPr>
    </w:p>
    <w:p w:rsidR="00634F74" w:rsidRDefault="00634F74" w:rsidP="00634F74">
      <w:pPr>
        <w:jc w:val="center"/>
        <w:rPr>
          <w:b/>
        </w:rPr>
      </w:pPr>
    </w:p>
    <w:p w:rsidR="00634F74" w:rsidRDefault="00634F74" w:rsidP="00634F74">
      <w:pPr>
        <w:jc w:val="center"/>
        <w:rPr>
          <w:b/>
        </w:rPr>
      </w:pPr>
    </w:p>
    <w:p w:rsidR="00634F74" w:rsidRDefault="00634F74" w:rsidP="00634F74">
      <w:pPr>
        <w:jc w:val="center"/>
        <w:rPr>
          <w:b/>
        </w:rPr>
      </w:pPr>
    </w:p>
    <w:p w:rsidR="00634F74" w:rsidRDefault="00634F74" w:rsidP="00634F74">
      <w:pPr>
        <w:jc w:val="center"/>
        <w:rPr>
          <w:b/>
        </w:rPr>
      </w:pPr>
    </w:p>
    <w:p w:rsidR="00634F74" w:rsidRDefault="00634F74" w:rsidP="00634F74">
      <w:pPr>
        <w:jc w:val="center"/>
        <w:rPr>
          <w:b/>
        </w:rPr>
      </w:pPr>
    </w:p>
    <w:p w:rsidR="0034241E" w:rsidRDefault="0034241E" w:rsidP="00634F74">
      <w:pPr>
        <w:jc w:val="center"/>
        <w:rPr>
          <w:b/>
        </w:rPr>
      </w:pPr>
    </w:p>
    <w:p w:rsidR="00C10602" w:rsidRDefault="00C10602" w:rsidP="00634F74">
      <w:pPr>
        <w:jc w:val="center"/>
        <w:rPr>
          <w:b/>
        </w:rPr>
      </w:pPr>
    </w:p>
    <w:p w:rsidR="00C10602" w:rsidRDefault="00C10602" w:rsidP="00634F74">
      <w:pPr>
        <w:jc w:val="center"/>
        <w:rPr>
          <w:b/>
        </w:rPr>
      </w:pPr>
    </w:p>
    <w:p w:rsidR="00C10602" w:rsidRDefault="00C10602" w:rsidP="00634F74">
      <w:pPr>
        <w:jc w:val="center"/>
        <w:rPr>
          <w:b/>
        </w:rPr>
      </w:pPr>
    </w:p>
    <w:p w:rsidR="00C10602" w:rsidRDefault="00C10602" w:rsidP="00634F74">
      <w:pPr>
        <w:jc w:val="center"/>
        <w:rPr>
          <w:b/>
        </w:rPr>
      </w:pPr>
    </w:p>
    <w:p w:rsidR="00634F74" w:rsidRDefault="00634F74" w:rsidP="00634F74">
      <w:pPr>
        <w:jc w:val="center"/>
        <w:rPr>
          <w:b/>
        </w:rPr>
      </w:pPr>
      <w:r>
        <w:rPr>
          <w:b/>
        </w:rPr>
        <w:lastRenderedPageBreak/>
        <w:t>Čl. V. Záruky a prohlášení smluvních stran</w:t>
      </w:r>
    </w:p>
    <w:p w:rsidR="00634F74" w:rsidRDefault="00634F74" w:rsidP="00634F74">
      <w:pPr>
        <w:jc w:val="both"/>
      </w:pPr>
    </w:p>
    <w:p w:rsidR="00634F74" w:rsidRDefault="00634F74" w:rsidP="00634F74">
      <w:pPr>
        <w:numPr>
          <w:ilvl w:val="0"/>
          <w:numId w:val="2"/>
        </w:numPr>
        <w:tabs>
          <w:tab w:val="num" w:pos="240"/>
        </w:tabs>
        <w:ind w:left="240" w:hanging="240"/>
        <w:jc w:val="both"/>
      </w:pPr>
      <w:r>
        <w:t xml:space="preserve">Prodávající touto smlouvou výslovně přejímá záruku za </w:t>
      </w:r>
      <w:r w:rsidR="007F59FF">
        <w:t>jakost dodaného zboží v délce 40</w:t>
      </w:r>
      <w:r>
        <w:t xml:space="preserve"> měsíců ode dne převzetí zboží. </w:t>
      </w:r>
    </w:p>
    <w:p w:rsidR="00634F74" w:rsidRDefault="00634F74" w:rsidP="00634F74">
      <w:pPr>
        <w:numPr>
          <w:ilvl w:val="0"/>
          <w:numId w:val="2"/>
        </w:numPr>
        <w:tabs>
          <w:tab w:val="num" w:pos="240"/>
        </w:tabs>
        <w:ind w:left="240" w:hanging="240"/>
        <w:jc w:val="both"/>
      </w:pPr>
      <w:r>
        <w:t>Záruka se nevztahuje na běžné opotřebení zboží vzniklé jeho obvyklým užíváním a na součásti zboží, jejichž sama životnost je kratší než délka záruky. Záruka se dále nevztahuje na vady způsobené nesprávným užíváním zboží a dále na vady vzniklé působením živelní pohromy, požáru apod. Záruka se nevztahuje na mechanické poškození způsobené nesprávným nakládáním se zbožím nebo úmyslným poškozením zboží kupujícím či jinou osobou.</w:t>
      </w:r>
    </w:p>
    <w:p w:rsidR="00634F74" w:rsidRDefault="00634F74" w:rsidP="00634F74">
      <w:pPr>
        <w:numPr>
          <w:ilvl w:val="0"/>
          <w:numId w:val="2"/>
        </w:numPr>
        <w:tabs>
          <w:tab w:val="num" w:pos="240"/>
        </w:tabs>
        <w:ind w:left="240" w:hanging="240"/>
        <w:jc w:val="both"/>
      </w:pPr>
      <w:r>
        <w:t xml:space="preserve">Kupující není v průběhu záruční doby provádět na zboží žádné úpravy či opravy. Kupující bude po dobu záruky používat výhradně originální náhradní příslušenství a díly dodávané prodávajícím. Pokud by kupující použil jiné příslušenství nebo do zboží neoprávněně zasáhl, ztrácí nárok na záruku. </w:t>
      </w:r>
    </w:p>
    <w:p w:rsidR="00634F74" w:rsidRDefault="00634F74" w:rsidP="00634F74">
      <w:pPr>
        <w:numPr>
          <w:ilvl w:val="0"/>
          <w:numId w:val="2"/>
        </w:numPr>
        <w:tabs>
          <w:tab w:val="num" w:pos="240"/>
        </w:tabs>
        <w:ind w:left="240" w:hanging="240"/>
        <w:jc w:val="both"/>
      </w:pPr>
      <w:r>
        <w:t>Záruka se nevztahuje na vady, které se projeví během záruční lhůty v důsledku neodborného zacházení či nedostatku péče nebo zanedbání běžné údržby ze strany kupujícího či uživatele zboží, obsluhy zboží či jiné osoby, stejně tak za vady, které jsou způsobeny neodbornou manipulací uživatele zboží.</w:t>
      </w:r>
    </w:p>
    <w:p w:rsidR="00634F74" w:rsidRDefault="00634F74" w:rsidP="00634F74">
      <w:pPr>
        <w:jc w:val="both"/>
        <w:rPr>
          <w:b/>
        </w:rPr>
      </w:pPr>
    </w:p>
    <w:p w:rsidR="00634F74" w:rsidRDefault="00634F74" w:rsidP="00634F74">
      <w:pPr>
        <w:jc w:val="center"/>
        <w:rPr>
          <w:b/>
        </w:rPr>
      </w:pPr>
      <w:r>
        <w:rPr>
          <w:b/>
        </w:rPr>
        <w:t>Čl. VI. Servis</w:t>
      </w:r>
    </w:p>
    <w:p w:rsidR="00634F74" w:rsidRDefault="00634F74" w:rsidP="00634F74">
      <w:pPr>
        <w:jc w:val="center"/>
      </w:pPr>
    </w:p>
    <w:p w:rsidR="00634F74" w:rsidRDefault="00634F74" w:rsidP="00634F74">
      <w:pPr>
        <w:numPr>
          <w:ilvl w:val="0"/>
          <w:numId w:val="3"/>
        </w:numPr>
        <w:tabs>
          <w:tab w:val="num" w:pos="285"/>
        </w:tabs>
        <w:ind w:left="285" w:hanging="285"/>
        <w:jc w:val="both"/>
      </w:pPr>
      <w:r>
        <w:t xml:space="preserve">Zjištěné vady je kupující povinen oznámit prodávajícímu písemně bez zbytečného odkladu </w:t>
      </w:r>
    </w:p>
    <w:p w:rsidR="00634F74" w:rsidRDefault="00634F74" w:rsidP="00634F74">
      <w:pPr>
        <w:ind w:left="284"/>
        <w:jc w:val="both"/>
      </w:pPr>
      <w:r>
        <w:t>na e-mail :</w:t>
      </w:r>
      <w:r w:rsidR="00542913">
        <w:t xml:space="preserve"> </w:t>
      </w:r>
      <w:r>
        <w:t xml:space="preserve">a současně na tel. číslo: </w:t>
      </w:r>
    </w:p>
    <w:p w:rsidR="00634F74" w:rsidRDefault="00634F74" w:rsidP="00634F74">
      <w:pPr>
        <w:numPr>
          <w:ilvl w:val="0"/>
          <w:numId w:val="3"/>
        </w:numPr>
        <w:tabs>
          <w:tab w:val="left" w:pos="284"/>
        </w:tabs>
        <w:ind w:hanging="2340"/>
        <w:jc w:val="both"/>
      </w:pPr>
      <w:r>
        <w:t>Pozáruční servisní podmínky (servisní středisko</w:t>
      </w:r>
      <w:r>
        <w:tab/>
        <w:t>Česká Skalice):</w:t>
      </w:r>
    </w:p>
    <w:p w:rsidR="00634F74" w:rsidRDefault="00634F74" w:rsidP="00634F74">
      <w:pPr>
        <w:ind w:left="284"/>
        <w:jc w:val="both"/>
      </w:pPr>
      <w:r>
        <w:t xml:space="preserve">- jízdné </w:t>
      </w:r>
      <w:r>
        <w:tab/>
        <w:t xml:space="preserve">                    </w:t>
      </w:r>
      <w:r w:rsidR="009432A8">
        <w:t xml:space="preserve">                              13</w:t>
      </w:r>
      <w:r>
        <w:t>,- Kč bez DPH/1 km</w:t>
      </w:r>
    </w:p>
    <w:p w:rsidR="00634F74" w:rsidRDefault="00634F74" w:rsidP="00634F74">
      <w:pPr>
        <w:ind w:left="284"/>
        <w:jc w:val="both"/>
      </w:pPr>
      <w:r>
        <w:t xml:space="preserve">- servisní práce </w:t>
      </w:r>
      <w:r>
        <w:tab/>
        <w:t xml:space="preserve">                                      100,- Kč bez DPH/každých započatých 10 min</w:t>
      </w:r>
    </w:p>
    <w:p w:rsidR="00634F74" w:rsidRDefault="00634F74" w:rsidP="00634F74">
      <w:pPr>
        <w:ind w:left="284"/>
        <w:jc w:val="both"/>
      </w:pPr>
      <w:r>
        <w:t>- kontrola mechanického lůžka</w:t>
      </w:r>
      <w:r>
        <w:tab/>
        <w:t xml:space="preserve">                 252,- Kč bez DPH</w:t>
      </w:r>
    </w:p>
    <w:p w:rsidR="00634F74" w:rsidRDefault="00634F74" w:rsidP="00634F74">
      <w:pPr>
        <w:ind w:left="284"/>
        <w:jc w:val="both"/>
      </w:pPr>
      <w:r>
        <w:t xml:space="preserve">- kontrola el. </w:t>
      </w:r>
      <w:proofErr w:type="gramStart"/>
      <w:r>
        <w:t>nebo</w:t>
      </w:r>
      <w:proofErr w:type="gramEnd"/>
      <w:r>
        <w:t xml:space="preserve"> hydraulického lůžka</w:t>
      </w:r>
      <w:r>
        <w:tab/>
        <w:t xml:space="preserve">      504,- Kč bez DPH</w:t>
      </w:r>
    </w:p>
    <w:p w:rsidR="00634F74" w:rsidRDefault="00634F74" w:rsidP="00634F74">
      <w:pPr>
        <w:ind w:left="284"/>
        <w:jc w:val="both"/>
      </w:pPr>
      <w:r>
        <w:t>- kontrola lůžka určeného pro JIP nebo ARO 756,- Kč bez DPH</w:t>
      </w:r>
    </w:p>
    <w:p w:rsidR="00634F74" w:rsidRDefault="00634F74" w:rsidP="00634F74">
      <w:pPr>
        <w:jc w:val="center"/>
      </w:pPr>
    </w:p>
    <w:p w:rsidR="00634F74" w:rsidRDefault="00634F74" w:rsidP="00634F74">
      <w:pPr>
        <w:jc w:val="center"/>
        <w:rPr>
          <w:b/>
        </w:rPr>
      </w:pPr>
      <w:r>
        <w:rPr>
          <w:b/>
        </w:rPr>
        <w:t xml:space="preserve">Čl. VII. Přechod vlastnictví </w:t>
      </w:r>
    </w:p>
    <w:p w:rsidR="00634F74" w:rsidRDefault="00634F74" w:rsidP="00634F74">
      <w:pPr>
        <w:jc w:val="center"/>
      </w:pPr>
    </w:p>
    <w:p w:rsidR="00634F74" w:rsidRDefault="00634F74" w:rsidP="00634F74">
      <w:pPr>
        <w:numPr>
          <w:ilvl w:val="0"/>
          <w:numId w:val="4"/>
        </w:numPr>
        <w:tabs>
          <w:tab w:val="num" w:pos="284"/>
        </w:tabs>
        <w:ind w:left="284" w:hanging="284"/>
        <w:jc w:val="both"/>
      </w:pPr>
      <w:r>
        <w:t xml:space="preserve">K přechodu vlastnictví zboží na kupujícího dochází dnem úhrady celé částky, resp. poslední uhrazené faktury.  </w:t>
      </w:r>
    </w:p>
    <w:p w:rsidR="00634F74" w:rsidRDefault="00634F74" w:rsidP="00634F74">
      <w:pPr>
        <w:jc w:val="both"/>
      </w:pPr>
    </w:p>
    <w:p w:rsidR="00634F74" w:rsidRDefault="00634F74" w:rsidP="00634F74">
      <w:pPr>
        <w:jc w:val="center"/>
        <w:rPr>
          <w:b/>
        </w:rPr>
      </w:pPr>
      <w:r>
        <w:rPr>
          <w:b/>
        </w:rPr>
        <w:t>Čl. VIII. Úroky z prodlení a smluvní pokuty</w:t>
      </w:r>
    </w:p>
    <w:p w:rsidR="00634F74" w:rsidRDefault="00634F74" w:rsidP="00634F74">
      <w:pPr>
        <w:jc w:val="center"/>
      </w:pPr>
    </w:p>
    <w:p w:rsidR="00634F74" w:rsidRDefault="00634F74" w:rsidP="00634F74">
      <w:pPr>
        <w:numPr>
          <w:ilvl w:val="0"/>
          <w:numId w:val="5"/>
        </w:numPr>
        <w:tabs>
          <w:tab w:val="num" w:pos="284"/>
        </w:tabs>
        <w:ind w:left="284"/>
        <w:jc w:val="both"/>
      </w:pPr>
      <w:r>
        <w:t xml:space="preserve">V případně prodlení s úhradou ceny zboží je kupující povinen zaplatit prodávajícímu úrok z prodlení ve výši 0,01% z dlužné částky za každý den prodlení ve lhůtě 30 dnů po splatnosti a 0,5%  z dlužné částky za každý den prodlení ve lhůtě delší než 30 dnů po splatnosti. </w:t>
      </w:r>
    </w:p>
    <w:p w:rsidR="00634F74" w:rsidRDefault="00634F74" w:rsidP="00634F74">
      <w:pPr>
        <w:numPr>
          <w:ilvl w:val="0"/>
          <w:numId w:val="5"/>
        </w:numPr>
        <w:tabs>
          <w:tab w:val="num" w:pos="284"/>
        </w:tabs>
        <w:ind w:left="284"/>
        <w:jc w:val="both"/>
      </w:pPr>
      <w:r>
        <w:t xml:space="preserve">V případě prodlení prodávajícího s plněním závazků z této smlouvy je tento povinen zaplatit kupujícímu smluvní pokutu ve výši 0,01% z ceny nedodané části předmětu plnění za každý den prodlení ve lhůtě 30 dnů a 0,5% z ceny nedodané části předmětu plnění za každý den prodlení ve lhůtě delší než 30 dnů. </w:t>
      </w:r>
    </w:p>
    <w:p w:rsidR="00634F74" w:rsidRDefault="00634F74" w:rsidP="00634F74">
      <w:pPr>
        <w:jc w:val="both"/>
      </w:pPr>
    </w:p>
    <w:p w:rsidR="00634F74" w:rsidRDefault="00634F74" w:rsidP="00634F74">
      <w:pPr>
        <w:jc w:val="center"/>
        <w:rPr>
          <w:b/>
        </w:rPr>
      </w:pPr>
    </w:p>
    <w:p w:rsidR="00634F74" w:rsidRDefault="00634F74" w:rsidP="00634F74">
      <w:pPr>
        <w:jc w:val="center"/>
        <w:rPr>
          <w:b/>
        </w:rPr>
      </w:pPr>
    </w:p>
    <w:p w:rsidR="00634F74" w:rsidRDefault="00634F74" w:rsidP="00634F74">
      <w:pPr>
        <w:jc w:val="center"/>
        <w:rPr>
          <w:b/>
        </w:rPr>
      </w:pPr>
    </w:p>
    <w:p w:rsidR="00634F74" w:rsidRDefault="00634F74" w:rsidP="00634F74">
      <w:pPr>
        <w:jc w:val="center"/>
        <w:rPr>
          <w:b/>
        </w:rPr>
      </w:pPr>
    </w:p>
    <w:p w:rsidR="0034241E" w:rsidRDefault="0034241E" w:rsidP="00634F74">
      <w:pPr>
        <w:jc w:val="center"/>
        <w:rPr>
          <w:b/>
        </w:rPr>
      </w:pPr>
    </w:p>
    <w:p w:rsidR="0034241E" w:rsidRDefault="0034241E" w:rsidP="00634F74">
      <w:pPr>
        <w:jc w:val="center"/>
        <w:rPr>
          <w:b/>
        </w:rPr>
      </w:pPr>
    </w:p>
    <w:p w:rsidR="0034241E" w:rsidRDefault="0034241E" w:rsidP="00634F74">
      <w:pPr>
        <w:jc w:val="center"/>
        <w:rPr>
          <w:b/>
        </w:rPr>
      </w:pPr>
    </w:p>
    <w:p w:rsidR="00634F74" w:rsidRDefault="00634F74" w:rsidP="00634F74">
      <w:pPr>
        <w:jc w:val="center"/>
        <w:rPr>
          <w:b/>
        </w:rPr>
      </w:pPr>
      <w:r>
        <w:rPr>
          <w:b/>
        </w:rPr>
        <w:t>Čl. IX. Ostatní ujednání</w:t>
      </w:r>
    </w:p>
    <w:p w:rsidR="00634F74" w:rsidRDefault="00634F74" w:rsidP="00634F74">
      <w:pPr>
        <w:jc w:val="both"/>
      </w:pPr>
    </w:p>
    <w:p w:rsidR="00634F74" w:rsidRDefault="00634F74" w:rsidP="00634F74">
      <w:pPr>
        <w:numPr>
          <w:ilvl w:val="0"/>
          <w:numId w:val="6"/>
        </w:numPr>
        <w:tabs>
          <w:tab w:val="num" w:pos="284"/>
        </w:tabs>
        <w:ind w:left="284"/>
        <w:jc w:val="both"/>
      </w:pPr>
      <w:r>
        <w:t xml:space="preserve">Prodávající si vyhrazuje právo změny celkové ceny zakázky v návaznosti na změnu DPH a to dle platné zákonné sazby DPH v době uskutečnění zdanitelného plnění v případě, že dojde před dodáním zboží ke změně zákonné výše DPH.  </w:t>
      </w:r>
    </w:p>
    <w:p w:rsidR="00634F74" w:rsidRDefault="00634F74" w:rsidP="00634F74">
      <w:pPr>
        <w:jc w:val="both"/>
      </w:pPr>
    </w:p>
    <w:p w:rsidR="00634F74" w:rsidRDefault="00634F74" w:rsidP="00634F74">
      <w:pPr>
        <w:jc w:val="center"/>
      </w:pPr>
    </w:p>
    <w:p w:rsidR="00634F74" w:rsidRDefault="00634F74" w:rsidP="00634F74">
      <w:pPr>
        <w:jc w:val="center"/>
        <w:rPr>
          <w:b/>
        </w:rPr>
      </w:pPr>
      <w:r>
        <w:rPr>
          <w:b/>
        </w:rPr>
        <w:t>Čl. X. Důvěrné informace</w:t>
      </w:r>
    </w:p>
    <w:p w:rsidR="00634F74" w:rsidRDefault="00634F74" w:rsidP="00634F74">
      <w:pPr>
        <w:jc w:val="center"/>
        <w:rPr>
          <w:b/>
        </w:rPr>
      </w:pPr>
    </w:p>
    <w:p w:rsidR="00634F74" w:rsidRDefault="00634F74" w:rsidP="00634F74">
      <w:r>
        <w:t>1.  Smluvní strany jsou si vědomy toho, že v rámci součinnosti při plnění smlouvy si mohou vzájemně úmyslně nebo i opominutím poskytnout informace, které budou považovány za důvěrné (dále jen "důvěrné informace").</w:t>
      </w:r>
    </w:p>
    <w:p w:rsidR="00634F74" w:rsidRDefault="00634F74" w:rsidP="00634F74">
      <w:r>
        <w:t>2.  Za důvěrné jsou považovány veškeré poskytnuté podklady a informace bez ohledu na způsob či formu jejich poskytnutí, přičemž jsou zároveň považovány za obchodní tajemství ve smyslu § 504 občanského zákoníku.</w:t>
      </w:r>
    </w:p>
    <w:p w:rsidR="00634F74" w:rsidRDefault="00634F74" w:rsidP="00634F74">
      <w:r>
        <w:t>3.  Smluvní strany se zavazují zachovávat v tajnosti veškeré důvěrné informace týkající se jiné smluvní strany a používat důvěrné informace týkající se druhé smluvní strany pouze pro účely stanovené touto smlouvou.</w:t>
      </w:r>
    </w:p>
    <w:p w:rsidR="00634F74" w:rsidRDefault="00634F74" w:rsidP="00634F74">
      <w:r>
        <w:t>4.  Smluvní strany se zavazují po obdržení písemné žádosti druhé smluvní strany bez zbytečného odkladu vrátit druhé smluvní straně všechny kopie důvěrných informací, které se druhé smluvní strany týkají, nebo tyto kopie na žádost druhé smluvní strany zničit, není-li to v rozporu s účelem smlouvy a potvrdit druhé smluvní straně jejich zničení písemným potvrzením.</w:t>
      </w:r>
    </w:p>
    <w:p w:rsidR="00634F74" w:rsidRDefault="00634F74" w:rsidP="00634F74">
      <w:r>
        <w:t>5.  Porušením povinnosti neposkytovat důvěrné informace není poskytnutí důvěrných informací poradcům a auditorům příslušné smluvní strany a rovněž v případě, že jsou takové informace poskytovány třetím osobám na základě příslušných právních předpisů.</w:t>
      </w:r>
    </w:p>
    <w:p w:rsidR="00634F74" w:rsidRDefault="00634F74" w:rsidP="00634F74">
      <w:pPr>
        <w:rPr>
          <w:b/>
        </w:rPr>
      </w:pPr>
    </w:p>
    <w:p w:rsidR="00634F74" w:rsidRDefault="00634F74" w:rsidP="00634F74">
      <w:pPr>
        <w:jc w:val="center"/>
      </w:pPr>
    </w:p>
    <w:p w:rsidR="00634F74" w:rsidRDefault="00634F74" w:rsidP="00634F74">
      <w:pPr>
        <w:jc w:val="center"/>
        <w:rPr>
          <w:b/>
        </w:rPr>
      </w:pPr>
      <w:r>
        <w:rPr>
          <w:b/>
        </w:rPr>
        <w:t>Čl. XI. Ukončení smlouvy</w:t>
      </w:r>
    </w:p>
    <w:p w:rsidR="00634F74" w:rsidRDefault="00634F74" w:rsidP="00634F74">
      <w:pPr>
        <w:jc w:val="center"/>
        <w:rPr>
          <w:b/>
        </w:rPr>
      </w:pPr>
    </w:p>
    <w:p w:rsidR="00634F74" w:rsidRDefault="00634F74" w:rsidP="00634F74">
      <w:r>
        <w:t>1.  Smlouvu lze ukončit pouze splněním, dohodou nebo odstoupením dle níže stanovených podmínek.</w:t>
      </w:r>
    </w:p>
    <w:p w:rsidR="00634F74" w:rsidRDefault="00634F74" w:rsidP="00634F74">
      <w:r>
        <w:t>2.  Za podstatné porušení povinnosti, které je důvodem k odstoupení od Smlouvy, považují smluvní strany porušení následujících povinností:</w:t>
      </w:r>
    </w:p>
    <w:p w:rsidR="00634F74" w:rsidRDefault="00634F74" w:rsidP="00634F74">
      <w:r>
        <w:t>a)</w:t>
      </w:r>
      <w:r>
        <w:tab/>
        <w:t>prodlení kupujícího s úhradou sjednané ceny o více než deset dní</w:t>
      </w:r>
    </w:p>
    <w:p w:rsidR="00634F74" w:rsidRDefault="00634F74" w:rsidP="00634F74">
      <w:r>
        <w:t>b)</w:t>
      </w:r>
      <w:r>
        <w:tab/>
        <w:t>jakékoliv porušení povinnosti dle čl. X. Smlouvy</w:t>
      </w:r>
    </w:p>
    <w:p w:rsidR="00634F74" w:rsidRDefault="00634F74" w:rsidP="00634F74">
      <w:r>
        <w:t xml:space="preserve">3.  Odstoupení je účinné dnem doručení oznámení o odstoupení příslušné smluvní straně. </w:t>
      </w:r>
    </w:p>
    <w:p w:rsidR="00634F74" w:rsidRDefault="00634F74" w:rsidP="00634F74">
      <w:r>
        <w:t xml:space="preserve">4.  V případě odstoupení od Smlouvy ze strany prodávajícího dle </w:t>
      </w:r>
      <w:proofErr w:type="spellStart"/>
      <w:r>
        <w:t>ust</w:t>
      </w:r>
      <w:proofErr w:type="spellEnd"/>
      <w:r>
        <w:t xml:space="preserve">. </w:t>
      </w:r>
      <w:proofErr w:type="gramStart"/>
      <w:r>
        <w:t>XI..2 Smlouvy</w:t>
      </w:r>
      <w:proofErr w:type="gramEnd"/>
      <w:r>
        <w:t xml:space="preserve">, písm. a) je kupující povinen vrátit na své náklady zboží prodávajícímu do deseti dnů od doručení odstoupení. </w:t>
      </w:r>
    </w:p>
    <w:p w:rsidR="00634F74" w:rsidRDefault="00634F74" w:rsidP="00634F74">
      <w:pPr>
        <w:jc w:val="center"/>
      </w:pPr>
      <w:r>
        <w:rPr>
          <w:b/>
        </w:rPr>
        <w:t>Čl. XII. Doručování písemností</w:t>
      </w:r>
    </w:p>
    <w:p w:rsidR="00634F74" w:rsidRDefault="00634F74" w:rsidP="00634F74">
      <w:pPr>
        <w:jc w:val="center"/>
      </w:pPr>
    </w:p>
    <w:p w:rsidR="00634F74" w:rsidRDefault="00634F74" w:rsidP="00634F74">
      <w:r>
        <w:t>1.  Veškeré písemnosti dle Smlouvy budou doručovány druhé smluvní straně v listinné formě nebo elektronicky.</w:t>
      </w:r>
    </w:p>
    <w:p w:rsidR="00634F74" w:rsidRDefault="00634F74" w:rsidP="00634F74">
      <w:r>
        <w:t>2.  Strany si sjednaly, že ze shora uvedených forem komunikace je upřednostňovanou formou email.</w:t>
      </w:r>
    </w:p>
    <w:p w:rsidR="00634F74" w:rsidRDefault="00634F74" w:rsidP="00634F74">
      <w:r>
        <w:t xml:space="preserve">3.  Smluvní strany konstatují, že veškeré písemnosti v listinné se považují za došlé jejich doručením do sféry druhého účastníka za níže stanovených podmínek, přičemž se doručuje na </w:t>
      </w:r>
      <w:r>
        <w:lastRenderedPageBreak/>
        <w:t xml:space="preserve">poslední známou adresu druhé smluvní strany. V pochybnostech se má za to, že se </w:t>
      </w:r>
      <w:proofErr w:type="gramStart"/>
      <w:r>
        <w:t>jedná          o poslední</w:t>
      </w:r>
      <w:proofErr w:type="gramEnd"/>
      <w:r>
        <w:t xml:space="preserve"> adresu či emailovou schránku oficiálně uvedené v záhlaví této smlouvy sdělenou řádně druhou smluvní stranou v případě její změny do doby odeslání písemnosti.</w:t>
      </w:r>
    </w:p>
    <w:p w:rsidR="00634F74" w:rsidRDefault="00634F74" w:rsidP="00634F74">
      <w:r>
        <w:t>4.  Při prokazování odeslání písemnosti je dostatečné, když odesílatel doloží, že písemnost v listinné formě byla doručena osobně nebo odeslána prostřednictvím poskytovatele poštovních služeb a v případě zaslání elektronickou poštou, že odesílatel obdržel potvrzení o doručení od druhé smluvní strany.</w:t>
      </w:r>
    </w:p>
    <w:p w:rsidR="00634F74" w:rsidRDefault="00634F74" w:rsidP="00634F74"/>
    <w:p w:rsidR="00634F74" w:rsidRDefault="00634F74" w:rsidP="00634F74">
      <w:pPr>
        <w:jc w:val="center"/>
      </w:pPr>
      <w:r>
        <w:rPr>
          <w:b/>
        </w:rPr>
        <w:t>Čl. XII. Rozhodné právo</w:t>
      </w:r>
    </w:p>
    <w:p w:rsidR="00634F74" w:rsidRDefault="00634F74" w:rsidP="00634F74">
      <w:pPr>
        <w:jc w:val="center"/>
      </w:pPr>
    </w:p>
    <w:p w:rsidR="00634F74" w:rsidRDefault="00634F74" w:rsidP="00634F74">
      <w:r>
        <w:t>1.   Smlouva se řídí výhradně českým právem, zejména občanským zákoníkem a předpisy souvisejícími.</w:t>
      </w:r>
    </w:p>
    <w:p w:rsidR="00634F74" w:rsidRDefault="00634F74" w:rsidP="00634F74"/>
    <w:p w:rsidR="00634F74" w:rsidRDefault="00634F74" w:rsidP="00634F74">
      <w:pPr>
        <w:jc w:val="center"/>
        <w:rPr>
          <w:b/>
        </w:rPr>
      </w:pPr>
      <w:r>
        <w:rPr>
          <w:b/>
        </w:rPr>
        <w:t>Čl. X. Závěrečná ustanovení</w:t>
      </w:r>
    </w:p>
    <w:p w:rsidR="00634F74" w:rsidRDefault="00634F74" w:rsidP="00634F74">
      <w:pPr>
        <w:jc w:val="both"/>
      </w:pPr>
    </w:p>
    <w:p w:rsidR="00634F74" w:rsidRDefault="00634F74" w:rsidP="00634F74">
      <w:r>
        <w:t>1.  Smlouva může být měněna nebo doplňována pouze písemnými dodatky po dohodě smluvních stran. Jiná ujednání jsou neplatná.</w:t>
      </w:r>
    </w:p>
    <w:p w:rsidR="00634F74" w:rsidRDefault="00634F74" w:rsidP="00634F74">
      <w:r>
        <w:t>2.  Smlouva nabývá platnosti a účinnosti dnem jejího podpisu oběma smluvními stranami.</w:t>
      </w:r>
    </w:p>
    <w:p w:rsidR="00634F74" w:rsidRDefault="00634F74" w:rsidP="00634F74">
      <w:r>
        <w:t>3.  Smluvní strany se zavazují, že se vyvarují všech jednání, která by mohla poškodit práva a zájmy druhé smluvní strany.</w:t>
      </w:r>
    </w:p>
    <w:p w:rsidR="00634F74" w:rsidRDefault="00634F74" w:rsidP="00634F74">
      <w:r>
        <w:t xml:space="preserve">4.  Smlouva se vyhotovuje ve dvou stejnopisech, které mají platnost originálu, z nichž po jednom stejnopisu obdrží každá ze smluvních stran. </w:t>
      </w:r>
    </w:p>
    <w:p w:rsidR="00634F74" w:rsidRDefault="0034241E" w:rsidP="00634F74">
      <w:r>
        <w:t>5.  Ukáže-l</w:t>
      </w:r>
      <w:r w:rsidR="00634F74">
        <w:t>i se jedno nebo více ustanovení Smlouvy neplatným nebo nevykonatelným, zůstává smlouva jako celek v platnosti, přičemž za neplatnou nebo nevykonatelnou bude považována pouze ta její část, které se důvod neplatnosti nebo nevykonatelnosti přímo týká. Smluvní strany se zavazují toto/tato ustanovení nahradit či doplnit novou smluvní úpravou tak, aby smysl a účel této smlouvy při respektování vůle smluvních stran zůstal zachován.</w:t>
      </w:r>
    </w:p>
    <w:p w:rsidR="00634F74" w:rsidRDefault="00634F74" w:rsidP="00634F74">
      <w:r>
        <w:t>6.  V případě, že na jedné nebo na druhé smluvní straně nastanou změny skutečností uvedených v této smlouvě (např. změna sídla, změna jednajících osob apod.), je povinna smluvní strana, u níž došlo k těmto změnám, uvedené změny druhé smluvní straně písemně oznámit. Pokud tak neučiní, odpovídá druhé smluvní straně za vzniklou škodu.</w:t>
      </w:r>
    </w:p>
    <w:p w:rsidR="00634F74" w:rsidRDefault="00634F74" w:rsidP="00634F74">
      <w:r>
        <w:t>7.  Smluvní strany prohlašují, že souhlasí s obsahem Smlouvy a že Smlouva byla sepsána na základě jejich pravé a svobodné vůle, nebyla ujednána v tísni ani za jinak jednostranně nevýhodných podmínek.</w:t>
      </w:r>
    </w:p>
    <w:p w:rsidR="00634F74" w:rsidRDefault="00634F74" w:rsidP="00634F74"/>
    <w:p w:rsidR="00634F74" w:rsidRDefault="00634F74" w:rsidP="00634F74">
      <w:r>
        <w:t>8.  Nedílnou součástí smlouvy je následující příloha: Cenová nabídka</w:t>
      </w:r>
    </w:p>
    <w:p w:rsidR="00634F74" w:rsidRDefault="00634F74" w:rsidP="00634F74">
      <w:pPr>
        <w:jc w:val="both"/>
      </w:pPr>
    </w:p>
    <w:p w:rsidR="00634F74" w:rsidRDefault="00634F74" w:rsidP="00634F74">
      <w:pPr>
        <w:jc w:val="both"/>
      </w:pPr>
    </w:p>
    <w:p w:rsidR="00634F74" w:rsidRDefault="00634F74" w:rsidP="00634F74">
      <w:pPr>
        <w:jc w:val="both"/>
      </w:pPr>
    </w:p>
    <w:p w:rsidR="00634F74" w:rsidRDefault="003D3A0F" w:rsidP="00634F74">
      <w:pPr>
        <w:jc w:val="both"/>
      </w:pPr>
      <w:r>
        <w:t>V Rokytnici dne:</w:t>
      </w:r>
      <w:r w:rsidR="00634F74">
        <w:tab/>
      </w:r>
      <w:r w:rsidR="00634F74">
        <w:tab/>
      </w:r>
      <w:r w:rsidR="00634F74">
        <w:tab/>
      </w:r>
      <w:r w:rsidR="00634F74">
        <w:tab/>
      </w:r>
      <w:r w:rsidR="00AB0586">
        <w:t xml:space="preserve">       </w:t>
      </w:r>
      <w:r w:rsidR="00634F74">
        <w:t> </w:t>
      </w:r>
      <w:r w:rsidR="00FF1FA3">
        <w:t xml:space="preserve">    </w:t>
      </w:r>
      <w:r>
        <w:t xml:space="preserve">    </w:t>
      </w:r>
      <w:proofErr w:type="gramStart"/>
      <w:r>
        <w:t xml:space="preserve">V </w:t>
      </w:r>
      <w:r w:rsidR="00FF1FA3">
        <w:t xml:space="preserve"> </w:t>
      </w:r>
      <w:r w:rsidR="00634F74">
        <w:t>České</w:t>
      </w:r>
      <w:proofErr w:type="gramEnd"/>
      <w:r w:rsidR="00634F74">
        <w:t xml:space="preserve"> Skalici dne: </w:t>
      </w:r>
    </w:p>
    <w:p w:rsidR="00634F74" w:rsidRDefault="00634F74" w:rsidP="00634F74">
      <w:pPr>
        <w:jc w:val="both"/>
      </w:pPr>
    </w:p>
    <w:p w:rsidR="00634F74" w:rsidRDefault="00634F74" w:rsidP="00634F74">
      <w:pPr>
        <w:jc w:val="both"/>
      </w:pPr>
    </w:p>
    <w:p w:rsidR="00634F74" w:rsidRDefault="00634F74" w:rsidP="00634F74">
      <w:pPr>
        <w:jc w:val="both"/>
      </w:pPr>
    </w:p>
    <w:p w:rsidR="00634F74" w:rsidRDefault="00634F74" w:rsidP="00634F74">
      <w:pPr>
        <w:jc w:val="both"/>
      </w:pPr>
    </w:p>
    <w:p w:rsidR="00634F74" w:rsidRDefault="00634F74" w:rsidP="00634F74">
      <w:pPr>
        <w:jc w:val="both"/>
      </w:pPr>
      <w:r>
        <w:t>……………………………………….</w:t>
      </w:r>
      <w:r>
        <w:tab/>
      </w:r>
      <w:r>
        <w:tab/>
        <w:t xml:space="preserve">    ……………………………………</w:t>
      </w:r>
    </w:p>
    <w:p w:rsidR="00634F74" w:rsidRDefault="00634F74" w:rsidP="00634F74">
      <w:pPr>
        <w:jc w:val="both"/>
      </w:pPr>
      <w:r>
        <w:t xml:space="preserve">        </w:t>
      </w:r>
      <w:r w:rsidR="00C10602">
        <w:t xml:space="preserve">     </w:t>
      </w:r>
      <w:r>
        <w:t xml:space="preserve">  kupující</w:t>
      </w:r>
      <w:r>
        <w:tab/>
      </w:r>
      <w:r>
        <w:tab/>
      </w:r>
      <w:r>
        <w:tab/>
      </w:r>
      <w:r>
        <w:tab/>
      </w:r>
      <w:r>
        <w:tab/>
      </w:r>
      <w:r>
        <w:tab/>
        <w:t xml:space="preserve">    prodávající</w:t>
      </w:r>
    </w:p>
    <w:p w:rsidR="00634F74" w:rsidRDefault="00C10602" w:rsidP="00C10602">
      <w:r>
        <w:t xml:space="preserve">       </w:t>
      </w:r>
      <w:r w:rsidRPr="00C10602">
        <w:t>JUDr. Eva Fabová</w:t>
      </w:r>
      <w:r w:rsidRPr="00C10602">
        <w:rPr>
          <w:i/>
        </w:rPr>
        <w:t>  </w:t>
      </w:r>
      <w:r w:rsidR="00634F74">
        <w:tab/>
        <w:t xml:space="preserve">          </w:t>
      </w:r>
      <w:r w:rsidR="00C8224A">
        <w:t xml:space="preserve">                         </w:t>
      </w:r>
      <w:r w:rsidR="007F59FF">
        <w:t xml:space="preserve">           </w:t>
      </w:r>
      <w:r w:rsidR="00C8224A">
        <w:t xml:space="preserve"> Radek</w:t>
      </w:r>
      <w:r w:rsidR="007F59FF">
        <w:t xml:space="preserve"> Jakubský</w:t>
      </w:r>
    </w:p>
    <w:p w:rsidR="003D3A0F" w:rsidRDefault="00634F74" w:rsidP="003D3A0F">
      <w:pPr>
        <w:jc w:val="both"/>
      </w:pPr>
      <w:r>
        <w:t xml:space="preserve">      </w:t>
      </w:r>
      <w:r w:rsidR="007F59FF">
        <w:t xml:space="preserve">  </w:t>
      </w:r>
      <w:r w:rsidR="00C10602">
        <w:t xml:space="preserve">      </w:t>
      </w:r>
      <w:r w:rsidR="007F59FF">
        <w:t xml:space="preserve"> </w:t>
      </w:r>
      <w:r>
        <w:t xml:space="preserve">ředitelka                                      </w:t>
      </w:r>
      <w:r>
        <w:tab/>
      </w:r>
      <w:r>
        <w:tab/>
      </w:r>
      <w:r w:rsidR="007F59FF">
        <w:t xml:space="preserve">          </w:t>
      </w:r>
      <w:r>
        <w:t xml:space="preserve">jednatel společnosti      </w:t>
      </w:r>
    </w:p>
    <w:p w:rsidR="00542913" w:rsidRDefault="00542913" w:rsidP="003D3A0F">
      <w:pPr>
        <w:jc w:val="both"/>
        <w:rPr>
          <w:b/>
        </w:rPr>
      </w:pPr>
    </w:p>
    <w:p w:rsidR="00542913" w:rsidRDefault="00542913" w:rsidP="003D3A0F">
      <w:pPr>
        <w:jc w:val="both"/>
        <w:rPr>
          <w:b/>
        </w:rPr>
      </w:pPr>
    </w:p>
    <w:p w:rsidR="00634F74" w:rsidRDefault="00634F74" w:rsidP="003D3A0F">
      <w:pPr>
        <w:jc w:val="both"/>
      </w:pPr>
      <w:bookmarkStart w:id="0" w:name="_GoBack"/>
      <w:bookmarkEnd w:id="0"/>
      <w:r>
        <w:rPr>
          <w:b/>
        </w:rPr>
        <w:lastRenderedPageBreak/>
        <w:t>Příloha č.1:</w:t>
      </w:r>
      <w:r w:rsidR="009432A8">
        <w:rPr>
          <w:b/>
        </w:rPr>
        <w:t xml:space="preserve"> </w:t>
      </w:r>
      <w:r>
        <w:rPr>
          <w:b/>
        </w:rPr>
        <w:t xml:space="preserve"> Cenová nabídka</w:t>
      </w:r>
    </w:p>
    <w:p w:rsidR="00634F74" w:rsidRDefault="00634F74" w:rsidP="00634F74"/>
    <w:p w:rsidR="009432A8" w:rsidRDefault="009432A8"/>
    <w:tbl>
      <w:tblPr>
        <w:tblW w:w="8960" w:type="dxa"/>
        <w:tblCellMar>
          <w:left w:w="70" w:type="dxa"/>
          <w:right w:w="70" w:type="dxa"/>
        </w:tblCellMar>
        <w:tblLook w:val="04A0" w:firstRow="1" w:lastRow="0" w:firstColumn="1" w:lastColumn="0" w:noHBand="0" w:noVBand="1"/>
      </w:tblPr>
      <w:tblGrid>
        <w:gridCol w:w="576"/>
        <w:gridCol w:w="2080"/>
        <w:gridCol w:w="1100"/>
        <w:gridCol w:w="1160"/>
        <w:gridCol w:w="1160"/>
        <w:gridCol w:w="580"/>
        <w:gridCol w:w="1160"/>
        <w:gridCol w:w="1160"/>
      </w:tblGrid>
      <w:tr w:rsidR="00206830" w:rsidRPr="00206830" w:rsidTr="00206830">
        <w:trPr>
          <w:trHeight w:val="636"/>
        </w:trPr>
        <w:tc>
          <w:tcPr>
            <w:tcW w:w="560" w:type="dxa"/>
            <w:tcBorders>
              <w:top w:val="double" w:sz="6" w:space="0" w:color="auto"/>
              <w:left w:val="double" w:sz="6" w:space="0" w:color="auto"/>
              <w:bottom w:val="double" w:sz="6" w:space="0" w:color="auto"/>
              <w:right w:val="double" w:sz="6" w:space="0" w:color="auto"/>
            </w:tcBorders>
            <w:shd w:val="clear" w:color="000000" w:fill="DCE6F1"/>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Počet ks</w:t>
            </w:r>
          </w:p>
        </w:tc>
        <w:tc>
          <w:tcPr>
            <w:tcW w:w="208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Název</w:t>
            </w:r>
          </w:p>
        </w:tc>
        <w:tc>
          <w:tcPr>
            <w:tcW w:w="110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Cena za ks</w:t>
            </w:r>
          </w:p>
        </w:tc>
        <w:tc>
          <w:tcPr>
            <w:tcW w:w="116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Cena / ks po slevě</w:t>
            </w:r>
          </w:p>
        </w:tc>
        <w:tc>
          <w:tcPr>
            <w:tcW w:w="116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Celkem bez DPH</w:t>
            </w:r>
          </w:p>
        </w:tc>
        <w:tc>
          <w:tcPr>
            <w:tcW w:w="58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proofErr w:type="gramStart"/>
            <w:r w:rsidRPr="00206830">
              <w:rPr>
                <w:rFonts w:ascii="Arial CE" w:hAnsi="Arial CE" w:cs="Arial CE"/>
                <w:b/>
                <w:bCs/>
                <w:color w:val="auto"/>
                <w:sz w:val="16"/>
                <w:szCs w:val="16"/>
              </w:rPr>
              <w:t>DPH     %</w:t>
            </w:r>
            <w:proofErr w:type="gramEnd"/>
          </w:p>
        </w:tc>
        <w:tc>
          <w:tcPr>
            <w:tcW w:w="116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proofErr w:type="gramStart"/>
            <w:r w:rsidRPr="00206830">
              <w:rPr>
                <w:rFonts w:ascii="Arial CE" w:hAnsi="Arial CE" w:cs="Arial CE"/>
                <w:b/>
                <w:bCs/>
                <w:color w:val="auto"/>
                <w:sz w:val="16"/>
                <w:szCs w:val="16"/>
              </w:rPr>
              <w:t>DPH              Kč</w:t>
            </w:r>
            <w:proofErr w:type="gramEnd"/>
          </w:p>
        </w:tc>
        <w:tc>
          <w:tcPr>
            <w:tcW w:w="1160" w:type="dxa"/>
            <w:tcBorders>
              <w:top w:val="double" w:sz="6" w:space="0" w:color="auto"/>
              <w:left w:val="nil"/>
              <w:bottom w:val="double" w:sz="6" w:space="0" w:color="auto"/>
              <w:right w:val="double" w:sz="6" w:space="0" w:color="auto"/>
            </w:tcBorders>
            <w:shd w:val="clear" w:color="000000" w:fill="DCE6F1"/>
            <w:noWrap/>
            <w:vAlign w:val="bottom"/>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CENA vč. DPH</w:t>
            </w:r>
          </w:p>
        </w:tc>
      </w:tr>
      <w:tr w:rsidR="00206830" w:rsidRPr="00206830" w:rsidTr="00206830">
        <w:trPr>
          <w:trHeight w:val="288"/>
        </w:trPr>
        <w:tc>
          <w:tcPr>
            <w:tcW w:w="560" w:type="dxa"/>
            <w:tcBorders>
              <w:top w:val="nil"/>
              <w:left w:val="nil"/>
              <w:bottom w:val="nil"/>
              <w:right w:val="nil"/>
            </w:tcBorders>
            <w:shd w:val="clear" w:color="auto" w:fill="auto"/>
            <w:noWrap/>
            <w:vAlign w:val="bottom"/>
            <w:hideMark/>
          </w:tcPr>
          <w:p w:rsidR="00206830" w:rsidRPr="00206830" w:rsidRDefault="00206830" w:rsidP="00206830">
            <w:pPr>
              <w:jc w:val="center"/>
              <w:rPr>
                <w:rFonts w:ascii="Arial CE" w:hAnsi="Arial CE" w:cs="Arial CE"/>
                <w:b/>
                <w:bCs/>
                <w:color w:val="auto"/>
                <w:sz w:val="16"/>
                <w:szCs w:val="16"/>
              </w:rPr>
            </w:pPr>
          </w:p>
        </w:tc>
        <w:tc>
          <w:tcPr>
            <w:tcW w:w="208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110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116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116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58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116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c>
          <w:tcPr>
            <w:tcW w:w="1160" w:type="dxa"/>
            <w:tcBorders>
              <w:top w:val="nil"/>
              <w:left w:val="nil"/>
              <w:bottom w:val="nil"/>
              <w:right w:val="nil"/>
            </w:tcBorders>
            <w:shd w:val="clear" w:color="auto" w:fill="auto"/>
            <w:noWrap/>
            <w:vAlign w:val="bottom"/>
            <w:hideMark/>
          </w:tcPr>
          <w:p w:rsidR="00206830" w:rsidRPr="00206830" w:rsidRDefault="00206830" w:rsidP="00206830">
            <w:pPr>
              <w:rPr>
                <w:color w:val="auto"/>
                <w:sz w:val="20"/>
                <w:szCs w:val="20"/>
              </w:rPr>
            </w:pPr>
          </w:p>
        </w:tc>
      </w:tr>
      <w:tr w:rsidR="00206830" w:rsidRPr="00206830" w:rsidTr="00206830">
        <w:trPr>
          <w:trHeight w:val="432"/>
        </w:trPr>
        <w:tc>
          <w:tcPr>
            <w:tcW w:w="560" w:type="dxa"/>
            <w:tcBorders>
              <w:top w:val="double" w:sz="6" w:space="0" w:color="auto"/>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7</w:t>
            </w:r>
          </w:p>
        </w:tc>
        <w:tc>
          <w:tcPr>
            <w:tcW w:w="2080" w:type="dxa"/>
            <w:tcBorders>
              <w:top w:val="double" w:sz="6" w:space="0" w:color="auto"/>
              <w:left w:val="nil"/>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Elektricky polohovatelné lůžko PLE-P90-0</w:t>
            </w:r>
          </w:p>
        </w:tc>
        <w:tc>
          <w:tcPr>
            <w:tcW w:w="110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22 150 Kč</w:t>
            </w:r>
          </w:p>
        </w:tc>
        <w:tc>
          <w:tcPr>
            <w:tcW w:w="116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18 163,00 Kč</w:t>
            </w:r>
          </w:p>
        </w:tc>
        <w:tc>
          <w:tcPr>
            <w:tcW w:w="116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127 141,00 Kč</w:t>
            </w:r>
          </w:p>
        </w:tc>
        <w:tc>
          <w:tcPr>
            <w:tcW w:w="58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19 071,15 Kč</w:t>
            </w:r>
          </w:p>
        </w:tc>
        <w:tc>
          <w:tcPr>
            <w:tcW w:w="1160" w:type="dxa"/>
            <w:tcBorders>
              <w:top w:val="double" w:sz="6" w:space="0" w:color="auto"/>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146 212,15 Kč</w:t>
            </w:r>
          </w:p>
        </w:tc>
      </w:tr>
      <w:tr w:rsidR="00206830" w:rsidRPr="00206830" w:rsidTr="00206830">
        <w:trPr>
          <w:trHeight w:val="288"/>
        </w:trPr>
        <w:tc>
          <w:tcPr>
            <w:tcW w:w="560" w:type="dxa"/>
            <w:tcBorders>
              <w:top w:val="nil"/>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7</w:t>
            </w:r>
          </w:p>
        </w:tc>
        <w:tc>
          <w:tcPr>
            <w:tcW w:w="2080" w:type="dxa"/>
            <w:tcBorders>
              <w:top w:val="nil"/>
              <w:left w:val="nil"/>
              <w:bottom w:val="double" w:sz="6" w:space="0" w:color="auto"/>
              <w:right w:val="double" w:sz="6" w:space="0" w:color="auto"/>
            </w:tcBorders>
            <w:shd w:val="clear" w:color="auto" w:fill="auto"/>
            <w:noWrap/>
            <w:vAlign w:val="bottom"/>
            <w:hideMark/>
          </w:tcPr>
          <w:p w:rsidR="00206830" w:rsidRPr="00206830" w:rsidRDefault="00206830" w:rsidP="00206830">
            <w:pPr>
              <w:jc w:val="center"/>
              <w:rPr>
                <w:rFonts w:ascii="Arial" w:hAnsi="Arial" w:cs="Arial"/>
                <w:color w:val="auto"/>
                <w:sz w:val="16"/>
                <w:szCs w:val="16"/>
              </w:rPr>
            </w:pPr>
            <w:r w:rsidRPr="00206830">
              <w:rPr>
                <w:rFonts w:ascii="Arial" w:hAnsi="Arial" w:cs="Arial"/>
                <w:color w:val="auto"/>
                <w:sz w:val="16"/>
                <w:szCs w:val="16"/>
              </w:rPr>
              <w:t>hrazda</w:t>
            </w:r>
          </w:p>
        </w:tc>
        <w:tc>
          <w:tcPr>
            <w:tcW w:w="110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636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521,52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3 650,64 Kč</w:t>
            </w:r>
          </w:p>
        </w:tc>
        <w:tc>
          <w:tcPr>
            <w:tcW w:w="58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547,60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4 198,24 Kč</w:t>
            </w:r>
          </w:p>
        </w:tc>
      </w:tr>
      <w:tr w:rsidR="00206830" w:rsidRPr="00206830" w:rsidTr="00206830">
        <w:trPr>
          <w:trHeight w:val="288"/>
        </w:trPr>
        <w:tc>
          <w:tcPr>
            <w:tcW w:w="560" w:type="dxa"/>
            <w:tcBorders>
              <w:top w:val="nil"/>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7</w:t>
            </w:r>
          </w:p>
        </w:tc>
        <w:tc>
          <w:tcPr>
            <w:tcW w:w="2080" w:type="dxa"/>
            <w:tcBorders>
              <w:top w:val="nil"/>
              <w:left w:val="nil"/>
              <w:bottom w:val="nil"/>
              <w:right w:val="nil"/>
            </w:tcBorders>
            <w:shd w:val="clear" w:color="auto" w:fill="auto"/>
            <w:noWrap/>
            <w:vAlign w:val="bottom"/>
            <w:hideMark/>
          </w:tcPr>
          <w:p w:rsidR="00206830" w:rsidRPr="00206830" w:rsidRDefault="00206830" w:rsidP="00206830">
            <w:pPr>
              <w:jc w:val="center"/>
              <w:rPr>
                <w:rFonts w:ascii="Arial" w:hAnsi="Arial" w:cs="Arial"/>
                <w:color w:val="auto"/>
                <w:sz w:val="16"/>
                <w:szCs w:val="16"/>
              </w:rPr>
            </w:pPr>
            <w:r w:rsidRPr="00206830">
              <w:rPr>
                <w:rFonts w:ascii="Arial" w:hAnsi="Arial" w:cs="Arial"/>
                <w:color w:val="auto"/>
                <w:sz w:val="16"/>
                <w:szCs w:val="16"/>
              </w:rPr>
              <w:t>hrazdička</w:t>
            </w:r>
          </w:p>
        </w:tc>
        <w:tc>
          <w:tcPr>
            <w:tcW w:w="1100" w:type="dxa"/>
            <w:tcBorders>
              <w:top w:val="nil"/>
              <w:left w:val="double" w:sz="6" w:space="0" w:color="auto"/>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85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69,70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487,90 Kč</w:t>
            </w:r>
          </w:p>
        </w:tc>
        <w:tc>
          <w:tcPr>
            <w:tcW w:w="58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73,19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561,09 Kč</w:t>
            </w:r>
          </w:p>
        </w:tc>
      </w:tr>
      <w:tr w:rsidR="00206830" w:rsidRPr="00206830" w:rsidTr="00206830">
        <w:trPr>
          <w:trHeight w:val="432"/>
        </w:trPr>
        <w:tc>
          <w:tcPr>
            <w:tcW w:w="560" w:type="dxa"/>
            <w:tcBorders>
              <w:top w:val="nil"/>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7</w:t>
            </w:r>
          </w:p>
        </w:tc>
        <w:tc>
          <w:tcPr>
            <w:tcW w:w="2080" w:type="dxa"/>
            <w:tcBorders>
              <w:top w:val="double" w:sz="6" w:space="0" w:color="auto"/>
              <w:left w:val="nil"/>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matrace LUX P, 90x200x12cm, SAFR</w:t>
            </w:r>
          </w:p>
        </w:tc>
        <w:tc>
          <w:tcPr>
            <w:tcW w:w="110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2 230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2 007,00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14 049,00 Kč</w:t>
            </w:r>
          </w:p>
        </w:tc>
        <w:tc>
          <w:tcPr>
            <w:tcW w:w="58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2 107,35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16 156,35 Kč</w:t>
            </w:r>
          </w:p>
        </w:tc>
      </w:tr>
      <w:tr w:rsidR="00206830" w:rsidRPr="00206830" w:rsidTr="00206830">
        <w:trPr>
          <w:trHeight w:val="288"/>
        </w:trPr>
        <w:tc>
          <w:tcPr>
            <w:tcW w:w="560" w:type="dxa"/>
            <w:tcBorders>
              <w:top w:val="nil"/>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w:t>
            </w:r>
          </w:p>
        </w:tc>
        <w:tc>
          <w:tcPr>
            <w:tcW w:w="2080" w:type="dxa"/>
            <w:tcBorders>
              <w:top w:val="nil"/>
              <w:left w:val="nil"/>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doprava</w:t>
            </w:r>
          </w:p>
        </w:tc>
        <w:tc>
          <w:tcPr>
            <w:tcW w:w="110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5 000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5 000,00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5 000,00 Kč</w:t>
            </w:r>
          </w:p>
        </w:tc>
        <w:tc>
          <w:tcPr>
            <w:tcW w:w="58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750,00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5 750,00 Kč</w:t>
            </w:r>
          </w:p>
        </w:tc>
      </w:tr>
      <w:tr w:rsidR="00206830" w:rsidRPr="00206830" w:rsidTr="00206830">
        <w:trPr>
          <w:trHeight w:val="288"/>
        </w:trPr>
        <w:tc>
          <w:tcPr>
            <w:tcW w:w="560" w:type="dxa"/>
            <w:tcBorders>
              <w:top w:val="nil"/>
              <w:left w:val="double" w:sz="6" w:space="0" w:color="auto"/>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w:t>
            </w:r>
          </w:p>
        </w:tc>
        <w:tc>
          <w:tcPr>
            <w:tcW w:w="2080" w:type="dxa"/>
            <w:tcBorders>
              <w:top w:val="nil"/>
              <w:left w:val="nil"/>
              <w:bottom w:val="double" w:sz="6" w:space="0" w:color="auto"/>
              <w:right w:val="double" w:sz="6" w:space="0" w:color="auto"/>
            </w:tcBorders>
            <w:shd w:val="clear" w:color="auto" w:fill="auto"/>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 xml:space="preserve"> montáž</w:t>
            </w:r>
          </w:p>
        </w:tc>
        <w:tc>
          <w:tcPr>
            <w:tcW w:w="110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1 500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1 500,00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1 500,00 Kč</w:t>
            </w:r>
          </w:p>
        </w:tc>
        <w:tc>
          <w:tcPr>
            <w:tcW w:w="58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center"/>
              <w:rPr>
                <w:rFonts w:ascii="Arial CE" w:hAnsi="Arial CE" w:cs="Arial CE"/>
                <w:color w:val="auto"/>
                <w:sz w:val="16"/>
                <w:szCs w:val="16"/>
              </w:rPr>
            </w:pPr>
            <w:r w:rsidRPr="00206830">
              <w:rPr>
                <w:rFonts w:ascii="Arial CE" w:hAnsi="Arial CE" w:cs="Arial CE"/>
                <w:color w:val="auto"/>
                <w:sz w:val="16"/>
                <w:szCs w:val="16"/>
              </w:rPr>
              <w:t>15</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225,00 Kč</w:t>
            </w:r>
          </w:p>
        </w:tc>
        <w:tc>
          <w:tcPr>
            <w:tcW w:w="1160" w:type="dxa"/>
            <w:tcBorders>
              <w:top w:val="nil"/>
              <w:left w:val="nil"/>
              <w:bottom w:val="double" w:sz="6" w:space="0" w:color="auto"/>
              <w:right w:val="double" w:sz="6" w:space="0" w:color="auto"/>
            </w:tcBorders>
            <w:shd w:val="clear" w:color="auto" w:fill="auto"/>
            <w:noWrap/>
            <w:vAlign w:val="center"/>
            <w:hideMark/>
          </w:tcPr>
          <w:p w:rsidR="00206830" w:rsidRPr="00206830" w:rsidRDefault="00206830" w:rsidP="00206830">
            <w:pPr>
              <w:jc w:val="right"/>
              <w:rPr>
                <w:rFonts w:ascii="Arial CE" w:hAnsi="Arial CE" w:cs="Arial CE"/>
                <w:color w:val="auto"/>
                <w:sz w:val="16"/>
                <w:szCs w:val="16"/>
              </w:rPr>
            </w:pPr>
            <w:r w:rsidRPr="00206830">
              <w:rPr>
                <w:rFonts w:ascii="Arial CE" w:hAnsi="Arial CE" w:cs="Arial CE"/>
                <w:color w:val="auto"/>
                <w:sz w:val="16"/>
                <w:szCs w:val="16"/>
              </w:rPr>
              <w:t>1 725,00 Kč</w:t>
            </w:r>
          </w:p>
        </w:tc>
      </w:tr>
      <w:tr w:rsidR="00206830" w:rsidRPr="00206830" w:rsidTr="00206830">
        <w:trPr>
          <w:trHeight w:val="510"/>
        </w:trPr>
        <w:tc>
          <w:tcPr>
            <w:tcW w:w="2640" w:type="dxa"/>
            <w:gridSpan w:val="2"/>
            <w:tcBorders>
              <w:top w:val="double" w:sz="6" w:space="0" w:color="auto"/>
              <w:left w:val="double" w:sz="6" w:space="0" w:color="auto"/>
              <w:bottom w:val="double" w:sz="6" w:space="0" w:color="auto"/>
              <w:right w:val="double" w:sz="6" w:space="0" w:color="000000"/>
            </w:tcBorders>
            <w:shd w:val="clear" w:color="000000" w:fill="DCE6F1"/>
            <w:vAlign w:val="center"/>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CELKEM</w:t>
            </w:r>
          </w:p>
        </w:tc>
        <w:tc>
          <w:tcPr>
            <w:tcW w:w="110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 </w:t>
            </w:r>
          </w:p>
        </w:tc>
        <w:tc>
          <w:tcPr>
            <w:tcW w:w="116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 </w:t>
            </w:r>
          </w:p>
        </w:tc>
        <w:tc>
          <w:tcPr>
            <w:tcW w:w="116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right"/>
              <w:rPr>
                <w:rFonts w:ascii="Arial CE" w:hAnsi="Arial CE" w:cs="Arial CE"/>
                <w:b/>
                <w:bCs/>
                <w:color w:val="auto"/>
                <w:sz w:val="16"/>
                <w:szCs w:val="16"/>
              </w:rPr>
            </w:pPr>
            <w:r w:rsidRPr="00206830">
              <w:rPr>
                <w:rFonts w:ascii="Arial CE" w:hAnsi="Arial CE" w:cs="Arial CE"/>
                <w:b/>
                <w:bCs/>
                <w:color w:val="auto"/>
                <w:sz w:val="16"/>
                <w:szCs w:val="16"/>
              </w:rPr>
              <w:t>151 828,54 Kč</w:t>
            </w:r>
          </w:p>
        </w:tc>
        <w:tc>
          <w:tcPr>
            <w:tcW w:w="58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center"/>
              <w:rPr>
                <w:rFonts w:ascii="Arial CE" w:hAnsi="Arial CE" w:cs="Arial CE"/>
                <w:b/>
                <w:bCs/>
                <w:color w:val="auto"/>
                <w:sz w:val="16"/>
                <w:szCs w:val="16"/>
              </w:rPr>
            </w:pPr>
            <w:r w:rsidRPr="00206830">
              <w:rPr>
                <w:rFonts w:ascii="Arial CE" w:hAnsi="Arial CE" w:cs="Arial CE"/>
                <w:b/>
                <w:bCs/>
                <w:color w:val="auto"/>
                <w:sz w:val="16"/>
                <w:szCs w:val="16"/>
              </w:rPr>
              <w:t> </w:t>
            </w:r>
          </w:p>
        </w:tc>
        <w:tc>
          <w:tcPr>
            <w:tcW w:w="116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right"/>
              <w:rPr>
                <w:rFonts w:ascii="Arial CE" w:hAnsi="Arial CE" w:cs="Arial CE"/>
                <w:b/>
                <w:bCs/>
                <w:color w:val="auto"/>
                <w:sz w:val="16"/>
                <w:szCs w:val="16"/>
              </w:rPr>
            </w:pPr>
            <w:r w:rsidRPr="00206830">
              <w:rPr>
                <w:rFonts w:ascii="Arial CE" w:hAnsi="Arial CE" w:cs="Arial CE"/>
                <w:b/>
                <w:bCs/>
                <w:color w:val="auto"/>
                <w:sz w:val="16"/>
                <w:szCs w:val="16"/>
              </w:rPr>
              <w:t>22 774,28 Kč</w:t>
            </w:r>
          </w:p>
        </w:tc>
        <w:tc>
          <w:tcPr>
            <w:tcW w:w="1160" w:type="dxa"/>
            <w:tcBorders>
              <w:top w:val="nil"/>
              <w:left w:val="nil"/>
              <w:bottom w:val="double" w:sz="6" w:space="0" w:color="auto"/>
              <w:right w:val="double" w:sz="6" w:space="0" w:color="auto"/>
            </w:tcBorders>
            <w:shd w:val="clear" w:color="000000" w:fill="DCE6F1"/>
            <w:noWrap/>
            <w:vAlign w:val="center"/>
            <w:hideMark/>
          </w:tcPr>
          <w:p w:rsidR="00206830" w:rsidRPr="00206830" w:rsidRDefault="00206830" w:rsidP="00206830">
            <w:pPr>
              <w:jc w:val="right"/>
              <w:rPr>
                <w:rFonts w:ascii="Arial CE" w:hAnsi="Arial CE" w:cs="Arial CE"/>
                <w:b/>
                <w:bCs/>
                <w:color w:val="auto"/>
                <w:sz w:val="16"/>
                <w:szCs w:val="16"/>
              </w:rPr>
            </w:pPr>
            <w:r w:rsidRPr="00206830">
              <w:rPr>
                <w:rFonts w:ascii="Arial CE" w:hAnsi="Arial CE" w:cs="Arial CE"/>
                <w:b/>
                <w:bCs/>
                <w:color w:val="auto"/>
                <w:sz w:val="16"/>
                <w:szCs w:val="16"/>
              </w:rPr>
              <w:t>174 602,82 Kč</w:t>
            </w:r>
          </w:p>
        </w:tc>
      </w:tr>
    </w:tbl>
    <w:p w:rsidR="009432A8" w:rsidRDefault="009432A8"/>
    <w:p w:rsidR="007F59FF" w:rsidRPr="0087028A" w:rsidRDefault="00C10602" w:rsidP="007F59FF">
      <w:pPr>
        <w:rPr>
          <w:b/>
          <w:sz w:val="28"/>
          <w:szCs w:val="28"/>
        </w:rPr>
      </w:pPr>
      <w:r>
        <w:rPr>
          <w:b/>
          <w:sz w:val="28"/>
          <w:szCs w:val="28"/>
        </w:rPr>
        <w:t>Lůžko PLE-P</w:t>
      </w:r>
      <w:r w:rsidR="007F59FF" w:rsidRPr="0087028A">
        <w:rPr>
          <w:b/>
          <w:sz w:val="28"/>
          <w:szCs w:val="28"/>
        </w:rPr>
        <w:t>90-0</w:t>
      </w:r>
    </w:p>
    <w:p w:rsidR="007F59FF" w:rsidRPr="0087028A" w:rsidRDefault="007F59FF" w:rsidP="007F59FF">
      <w:pPr>
        <w:rPr>
          <w:b/>
        </w:rPr>
      </w:pPr>
    </w:p>
    <w:p w:rsidR="007F59FF" w:rsidRDefault="00FF1FA3" w:rsidP="007F59FF">
      <w:r>
        <w:t xml:space="preserve">   </w:t>
      </w:r>
      <w:r w:rsidRPr="00FF1FA3">
        <w:rPr>
          <w:noProof/>
        </w:rPr>
        <w:drawing>
          <wp:inline distT="0" distB="0" distL="0" distR="0">
            <wp:extent cx="5371407" cy="2954274"/>
            <wp:effectExtent l="0" t="0" r="1270" b="0"/>
            <wp:docPr id="2" name="Obrázek 2" descr="C:\Users\GangurV\Desktop\Stará plocha\_ Obrazky\003  PLE-P90-0  - 03 - kovove lame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gurV\Desktop\Stará plocha\_ Obrazky\003  PLE-P90-0  - 03 - kovove lamel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4999" cy="2956250"/>
                    </a:xfrm>
                    <a:prstGeom prst="rect">
                      <a:avLst/>
                    </a:prstGeom>
                    <a:noFill/>
                    <a:ln>
                      <a:noFill/>
                    </a:ln>
                  </pic:spPr>
                </pic:pic>
              </a:graphicData>
            </a:graphic>
          </wp:inline>
        </w:drawing>
      </w:r>
    </w:p>
    <w:p w:rsidR="007F59FF" w:rsidRDefault="007F59FF" w:rsidP="007F59FF">
      <w:r>
        <w:t xml:space="preserve">                    </w:t>
      </w:r>
    </w:p>
    <w:p w:rsidR="007F59FF" w:rsidRPr="0087028A" w:rsidRDefault="007F59FF" w:rsidP="007F59FF"/>
    <w:p w:rsidR="007F59FF" w:rsidRDefault="007F59FF" w:rsidP="007F59FF"/>
    <w:p w:rsidR="007F59FF" w:rsidRPr="00206830" w:rsidRDefault="007F59FF" w:rsidP="007F59FF">
      <w:pPr>
        <w:tabs>
          <w:tab w:val="left" w:pos="1452"/>
        </w:tabs>
        <w:rPr>
          <w:sz w:val="20"/>
          <w:szCs w:val="20"/>
        </w:rPr>
      </w:pPr>
      <w:r w:rsidRPr="00206830">
        <w:rPr>
          <w:sz w:val="20"/>
          <w:szCs w:val="20"/>
        </w:rPr>
        <w:t xml:space="preserve">Podvozek - nosnost </w:t>
      </w:r>
      <w:r w:rsidRPr="00206830">
        <w:rPr>
          <w:b/>
          <w:sz w:val="20"/>
          <w:szCs w:val="20"/>
        </w:rPr>
        <w:t>250 kg</w:t>
      </w:r>
      <w:r w:rsidRPr="00206830">
        <w:rPr>
          <w:sz w:val="20"/>
          <w:szCs w:val="20"/>
        </w:rPr>
        <w:t>, zdvih ložné plochy 39,5-79,5 cm</w:t>
      </w:r>
    </w:p>
    <w:p w:rsidR="007F59FF" w:rsidRPr="00206830" w:rsidRDefault="00FF1FA3" w:rsidP="007F59FF">
      <w:pPr>
        <w:tabs>
          <w:tab w:val="left" w:pos="1452"/>
        </w:tabs>
        <w:rPr>
          <w:sz w:val="20"/>
          <w:szCs w:val="20"/>
        </w:rPr>
      </w:pPr>
      <w:r w:rsidRPr="00206830">
        <w:rPr>
          <w:sz w:val="20"/>
          <w:szCs w:val="20"/>
        </w:rPr>
        <w:t>Kolečka ø100mm</w:t>
      </w:r>
      <w:r w:rsidR="007F59FF" w:rsidRPr="00206830">
        <w:rPr>
          <w:sz w:val="20"/>
          <w:szCs w:val="20"/>
        </w:rPr>
        <w:t>, brzda</w:t>
      </w:r>
      <w:r w:rsidRPr="00206830">
        <w:rPr>
          <w:sz w:val="20"/>
          <w:szCs w:val="20"/>
        </w:rPr>
        <w:t xml:space="preserve"> 3+1</w:t>
      </w:r>
    </w:p>
    <w:p w:rsidR="007F59FF" w:rsidRPr="00206830" w:rsidRDefault="007F59FF" w:rsidP="007F59FF">
      <w:pPr>
        <w:tabs>
          <w:tab w:val="left" w:pos="1452"/>
        </w:tabs>
        <w:rPr>
          <w:sz w:val="20"/>
          <w:szCs w:val="20"/>
        </w:rPr>
      </w:pPr>
      <w:r w:rsidRPr="00206830">
        <w:rPr>
          <w:sz w:val="20"/>
          <w:szCs w:val="20"/>
        </w:rPr>
        <w:t>Zádový díl, stehenní díl, zdvih ložné plochy - polohování elektrické</w:t>
      </w:r>
    </w:p>
    <w:p w:rsidR="007F59FF" w:rsidRPr="00206830" w:rsidRDefault="007F59FF" w:rsidP="007F59FF">
      <w:pPr>
        <w:tabs>
          <w:tab w:val="left" w:pos="1452"/>
        </w:tabs>
        <w:rPr>
          <w:sz w:val="20"/>
          <w:szCs w:val="20"/>
        </w:rPr>
      </w:pPr>
      <w:r w:rsidRPr="00206830">
        <w:rPr>
          <w:sz w:val="20"/>
          <w:szCs w:val="20"/>
        </w:rPr>
        <w:t>Lýtkový díl - polohování hřeben</w:t>
      </w:r>
    </w:p>
    <w:p w:rsidR="007F59FF" w:rsidRPr="00206830" w:rsidRDefault="007F59FF" w:rsidP="007F59FF">
      <w:pPr>
        <w:tabs>
          <w:tab w:val="left" w:pos="1452"/>
        </w:tabs>
        <w:rPr>
          <w:sz w:val="20"/>
          <w:szCs w:val="20"/>
        </w:rPr>
      </w:pPr>
      <w:proofErr w:type="spellStart"/>
      <w:r w:rsidRPr="00206830">
        <w:rPr>
          <w:sz w:val="20"/>
          <w:szCs w:val="20"/>
        </w:rPr>
        <w:t>Autoregrese</w:t>
      </w:r>
      <w:proofErr w:type="spellEnd"/>
      <w:r w:rsidRPr="00206830">
        <w:rPr>
          <w:sz w:val="20"/>
          <w:szCs w:val="20"/>
        </w:rPr>
        <w:t xml:space="preserve"> - zádový díl, stehenní díl</w:t>
      </w:r>
    </w:p>
    <w:p w:rsidR="007F59FF" w:rsidRPr="00206830" w:rsidRDefault="007F59FF" w:rsidP="007F59FF">
      <w:pPr>
        <w:tabs>
          <w:tab w:val="left" w:pos="1452"/>
        </w:tabs>
        <w:rPr>
          <w:sz w:val="20"/>
          <w:szCs w:val="20"/>
        </w:rPr>
      </w:pPr>
      <w:r w:rsidRPr="00206830">
        <w:rPr>
          <w:sz w:val="20"/>
          <w:szCs w:val="20"/>
        </w:rPr>
        <w:t>Ruční (pacientský) ovladač- uzamykatelný</w:t>
      </w:r>
    </w:p>
    <w:p w:rsidR="007F59FF" w:rsidRPr="00206830" w:rsidRDefault="007F59FF" w:rsidP="007F59FF">
      <w:pPr>
        <w:tabs>
          <w:tab w:val="left" w:pos="1452"/>
        </w:tabs>
        <w:rPr>
          <w:sz w:val="20"/>
          <w:szCs w:val="20"/>
        </w:rPr>
      </w:pPr>
      <w:r w:rsidRPr="00206830">
        <w:rPr>
          <w:sz w:val="20"/>
          <w:szCs w:val="20"/>
        </w:rPr>
        <w:t xml:space="preserve">Ložná plocha - kovová síta vyjímatelná </w:t>
      </w:r>
    </w:p>
    <w:p w:rsidR="007F59FF" w:rsidRPr="00206830" w:rsidRDefault="007F59FF" w:rsidP="007F59FF">
      <w:pPr>
        <w:tabs>
          <w:tab w:val="left" w:pos="1452"/>
        </w:tabs>
        <w:rPr>
          <w:sz w:val="20"/>
          <w:szCs w:val="20"/>
        </w:rPr>
      </w:pPr>
      <w:r w:rsidRPr="00206830">
        <w:rPr>
          <w:sz w:val="20"/>
          <w:szCs w:val="20"/>
        </w:rPr>
        <w:t>Šířka ložné plochy 90 cm (vnější rozměr 103 cm), délka 200 cm(vnější rozměr 206 cm)</w:t>
      </w:r>
    </w:p>
    <w:p w:rsidR="007F59FF" w:rsidRPr="00206830" w:rsidRDefault="00FF1FA3" w:rsidP="007F59FF">
      <w:pPr>
        <w:tabs>
          <w:tab w:val="left" w:pos="1452"/>
        </w:tabs>
        <w:rPr>
          <w:sz w:val="20"/>
          <w:szCs w:val="20"/>
        </w:rPr>
      </w:pPr>
      <w:r w:rsidRPr="00206830">
        <w:rPr>
          <w:sz w:val="20"/>
          <w:szCs w:val="20"/>
        </w:rPr>
        <w:t>Čela lůžka UNI typ P</w:t>
      </w:r>
    </w:p>
    <w:p w:rsidR="00206830" w:rsidRPr="00206830" w:rsidRDefault="007F59FF" w:rsidP="007F59FF">
      <w:pPr>
        <w:tabs>
          <w:tab w:val="left" w:pos="1452"/>
        </w:tabs>
        <w:rPr>
          <w:sz w:val="20"/>
          <w:szCs w:val="20"/>
        </w:rPr>
      </w:pPr>
      <w:r w:rsidRPr="00206830">
        <w:rPr>
          <w:sz w:val="20"/>
          <w:szCs w:val="20"/>
        </w:rPr>
        <w:t xml:space="preserve">Postranice integrované bez Al lišty </w:t>
      </w:r>
    </w:p>
    <w:p w:rsidR="007F59FF" w:rsidRDefault="007F59FF" w:rsidP="00206830">
      <w:pPr>
        <w:tabs>
          <w:tab w:val="left" w:pos="1452"/>
        </w:tabs>
      </w:pPr>
      <w:r w:rsidRPr="00206830">
        <w:rPr>
          <w:sz w:val="20"/>
          <w:szCs w:val="20"/>
        </w:rPr>
        <w:t xml:space="preserve">RAL 9016,LAMINO/MELAMIN - BUK </w:t>
      </w:r>
      <w:proofErr w:type="spellStart"/>
      <w:r w:rsidRPr="00206830">
        <w:rPr>
          <w:sz w:val="20"/>
          <w:szCs w:val="20"/>
        </w:rPr>
        <w:t>Rustikal</w:t>
      </w:r>
      <w:proofErr w:type="spellEnd"/>
    </w:p>
    <w:sectPr w:rsidR="007F59FF" w:rsidSect="007C54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6E" w:rsidRDefault="0024286E" w:rsidP="00D23620">
      <w:r>
        <w:separator/>
      </w:r>
    </w:p>
  </w:endnote>
  <w:endnote w:type="continuationSeparator" w:id="0">
    <w:p w:rsidR="0024286E" w:rsidRDefault="0024286E" w:rsidP="00D2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574648"/>
      <w:docPartObj>
        <w:docPartGallery w:val="Page Numbers (Bottom of Page)"/>
        <w:docPartUnique/>
      </w:docPartObj>
    </w:sdtPr>
    <w:sdtEndPr/>
    <w:sdtContent>
      <w:sdt>
        <w:sdtPr>
          <w:id w:val="-1669238322"/>
          <w:docPartObj>
            <w:docPartGallery w:val="Page Numbers (Top of Page)"/>
            <w:docPartUnique/>
          </w:docPartObj>
        </w:sdtPr>
        <w:sdtEndPr/>
        <w:sdtContent>
          <w:p w:rsidR="00D23620" w:rsidRDefault="00D23620">
            <w:pPr>
              <w:pStyle w:val="Zpat"/>
              <w:jc w:val="center"/>
            </w:pPr>
            <w:r>
              <w:t xml:space="preserve">Stránka </w:t>
            </w:r>
            <w:r w:rsidR="007A1375">
              <w:rPr>
                <w:b/>
                <w:bCs/>
              </w:rPr>
              <w:fldChar w:fldCharType="begin"/>
            </w:r>
            <w:r>
              <w:rPr>
                <w:b/>
                <w:bCs/>
              </w:rPr>
              <w:instrText>PAGE</w:instrText>
            </w:r>
            <w:r w:rsidR="007A1375">
              <w:rPr>
                <w:b/>
                <w:bCs/>
              </w:rPr>
              <w:fldChar w:fldCharType="separate"/>
            </w:r>
            <w:r w:rsidR="00542913">
              <w:rPr>
                <w:b/>
                <w:bCs/>
                <w:noProof/>
              </w:rPr>
              <w:t>6</w:t>
            </w:r>
            <w:r w:rsidR="007A1375">
              <w:rPr>
                <w:b/>
                <w:bCs/>
              </w:rPr>
              <w:fldChar w:fldCharType="end"/>
            </w:r>
            <w:r>
              <w:t xml:space="preserve"> z </w:t>
            </w:r>
            <w:r w:rsidR="007A1375">
              <w:rPr>
                <w:b/>
                <w:bCs/>
              </w:rPr>
              <w:fldChar w:fldCharType="begin"/>
            </w:r>
            <w:r>
              <w:rPr>
                <w:b/>
                <w:bCs/>
              </w:rPr>
              <w:instrText>NUMPAGES</w:instrText>
            </w:r>
            <w:r w:rsidR="007A1375">
              <w:rPr>
                <w:b/>
                <w:bCs/>
              </w:rPr>
              <w:fldChar w:fldCharType="separate"/>
            </w:r>
            <w:r w:rsidR="00542913">
              <w:rPr>
                <w:b/>
                <w:bCs/>
                <w:noProof/>
              </w:rPr>
              <w:t>6</w:t>
            </w:r>
            <w:r w:rsidR="007A1375">
              <w:rPr>
                <w:b/>
                <w:bCs/>
              </w:rPr>
              <w:fldChar w:fldCharType="end"/>
            </w:r>
          </w:p>
        </w:sdtContent>
      </w:sdt>
    </w:sdtContent>
  </w:sdt>
  <w:p w:rsidR="00D23620" w:rsidRDefault="00D236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6E" w:rsidRDefault="0024286E" w:rsidP="00D23620">
      <w:r>
        <w:separator/>
      </w:r>
    </w:p>
  </w:footnote>
  <w:footnote w:type="continuationSeparator" w:id="0">
    <w:p w:rsidR="0024286E" w:rsidRDefault="0024286E" w:rsidP="00D2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B6BE48F4">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1" w:tplc="45E6DB88">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7D8A907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65EEF6F4">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7C86C3C8">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65D63B3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1FCC5CBA">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CE144D42">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3B14C47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15:restartNumberingAfterBreak="0">
    <w:nsid w:val="00000002"/>
    <w:multiLevelType w:val="hybridMultilevel"/>
    <w:tmpl w:val="00000002"/>
    <w:lvl w:ilvl="0" w:tplc="FE2C9E74">
      <w:start w:val="1"/>
      <w:numFmt w:val="decimal"/>
      <w:lvlText w:val="%1."/>
      <w:lvlJc w:val="left"/>
      <w:pPr>
        <w:tabs>
          <w:tab w:val="num" w:pos="2340"/>
        </w:tabs>
        <w:ind w:left="2340" w:hanging="1980"/>
      </w:pPr>
      <w:rPr>
        <w:rFonts w:ascii="Times New Roman" w:eastAsia="Times New Roman" w:hAnsi="Times New Roman" w:cs="Times New Roman"/>
        <w:b w:val="0"/>
        <w:bCs w:val="0"/>
        <w:i w:val="0"/>
        <w:iCs w:val="0"/>
        <w:strike w:val="0"/>
        <w:dstrike w:val="0"/>
        <w:color w:val="000000"/>
        <w:sz w:val="20"/>
        <w:szCs w:val="20"/>
        <w:u w:val="none"/>
        <w:effect w:val="none"/>
      </w:rPr>
    </w:lvl>
    <w:lvl w:ilvl="1" w:tplc="35148B9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25F6901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727C884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3FDC50B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7656635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662E7FB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F75E555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F008F10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 w15:restartNumberingAfterBreak="0">
    <w:nsid w:val="00000003"/>
    <w:multiLevelType w:val="hybridMultilevel"/>
    <w:tmpl w:val="00000003"/>
    <w:lvl w:ilvl="0" w:tplc="95F2CAE6">
      <w:start w:val="1"/>
      <w:numFmt w:val="decimal"/>
      <w:lvlText w:val="%1."/>
      <w:lvlJc w:val="left"/>
      <w:pPr>
        <w:tabs>
          <w:tab w:val="num" w:pos="2340"/>
        </w:tabs>
        <w:ind w:left="2340" w:hanging="1980"/>
      </w:pPr>
      <w:rPr>
        <w:rFonts w:ascii="Times New Roman" w:eastAsia="Times New Roman" w:hAnsi="Times New Roman" w:cs="Times New Roman"/>
        <w:b w:val="0"/>
        <w:bCs w:val="0"/>
        <w:i w:val="0"/>
        <w:iCs w:val="0"/>
        <w:strike w:val="0"/>
        <w:dstrike w:val="0"/>
        <w:color w:val="000000"/>
        <w:sz w:val="20"/>
        <w:szCs w:val="20"/>
        <w:u w:val="none"/>
        <w:effect w:val="none"/>
      </w:rPr>
    </w:lvl>
    <w:lvl w:ilvl="1" w:tplc="8446D6A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FA7032F2">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E7EA8CA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217C0A3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258A69E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8D208A2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DE66710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73E0FAAC">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3" w15:restartNumberingAfterBreak="0">
    <w:nsid w:val="00000004"/>
    <w:multiLevelType w:val="hybridMultilevel"/>
    <w:tmpl w:val="00000004"/>
    <w:lvl w:ilvl="0" w:tplc="317E1B18">
      <w:start w:val="1"/>
      <w:numFmt w:val="decimal"/>
      <w:lvlText w:val="%1."/>
      <w:lvlJc w:val="left"/>
      <w:pPr>
        <w:tabs>
          <w:tab w:val="num" w:pos="2340"/>
        </w:tabs>
        <w:ind w:left="2340" w:hanging="1980"/>
      </w:pPr>
      <w:rPr>
        <w:rFonts w:ascii="Times New Roman" w:eastAsia="Times New Roman" w:hAnsi="Times New Roman" w:cs="Times New Roman"/>
        <w:b w:val="0"/>
        <w:bCs w:val="0"/>
        <w:i w:val="0"/>
        <w:iCs w:val="0"/>
        <w:strike w:val="0"/>
        <w:dstrike w:val="0"/>
        <w:color w:val="000000"/>
        <w:sz w:val="20"/>
        <w:szCs w:val="20"/>
        <w:u w:val="none"/>
        <w:effect w:val="none"/>
      </w:rPr>
    </w:lvl>
    <w:lvl w:ilvl="1" w:tplc="CB44A6E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CC3EDB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0DD8683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DFA2C70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3D52DC32">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F5CC38A4">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411C54AA">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658C32F2">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4" w15:restartNumberingAfterBreak="0">
    <w:nsid w:val="00000005"/>
    <w:multiLevelType w:val="hybridMultilevel"/>
    <w:tmpl w:val="00000005"/>
    <w:lvl w:ilvl="0" w:tplc="0C241920">
      <w:start w:val="1"/>
      <w:numFmt w:val="decimal"/>
      <w:lvlText w:val="%1."/>
      <w:lvlJc w:val="left"/>
      <w:pPr>
        <w:tabs>
          <w:tab w:val="num" w:pos="0"/>
        </w:tabs>
        <w:ind w:left="64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1" w:tplc="4296C1B8">
      <w:start w:val="1"/>
      <w:numFmt w:val="lowerLetter"/>
      <w:lvlText w:val="%2."/>
      <w:lvlJc w:val="left"/>
      <w:pPr>
        <w:tabs>
          <w:tab w:val="num" w:pos="0"/>
        </w:tabs>
        <w:ind w:left="136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2" w:tplc="61101426">
      <w:start w:val="1"/>
      <w:numFmt w:val="lowerRoman"/>
      <w:lvlText w:val="%3."/>
      <w:lvlJc w:val="right"/>
      <w:pPr>
        <w:tabs>
          <w:tab w:val="num" w:pos="0"/>
        </w:tabs>
        <w:ind w:left="2084" w:hanging="104"/>
      </w:pPr>
      <w:rPr>
        <w:rFonts w:ascii="Times New Roman" w:eastAsia="Times New Roman" w:hAnsi="Times New Roman" w:cs="Times New Roman"/>
        <w:b w:val="0"/>
        <w:bCs w:val="0"/>
        <w:i w:val="0"/>
        <w:iCs w:val="0"/>
        <w:strike w:val="0"/>
        <w:dstrike w:val="0"/>
        <w:color w:val="000000"/>
        <w:sz w:val="20"/>
        <w:szCs w:val="20"/>
        <w:u w:val="none"/>
        <w:effect w:val="none"/>
      </w:rPr>
    </w:lvl>
    <w:lvl w:ilvl="3" w:tplc="4476F42C">
      <w:start w:val="1"/>
      <w:numFmt w:val="decimal"/>
      <w:lvlText w:val="%4."/>
      <w:lvlJc w:val="left"/>
      <w:pPr>
        <w:tabs>
          <w:tab w:val="num" w:pos="0"/>
        </w:tabs>
        <w:ind w:left="280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4" w:tplc="E5C2CF38">
      <w:start w:val="1"/>
      <w:numFmt w:val="lowerLetter"/>
      <w:lvlText w:val="%5."/>
      <w:lvlJc w:val="left"/>
      <w:pPr>
        <w:tabs>
          <w:tab w:val="num" w:pos="0"/>
        </w:tabs>
        <w:ind w:left="352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5" w:tplc="21D4134A">
      <w:start w:val="1"/>
      <w:numFmt w:val="lowerRoman"/>
      <w:lvlText w:val="%6."/>
      <w:lvlJc w:val="right"/>
      <w:pPr>
        <w:tabs>
          <w:tab w:val="num" w:pos="0"/>
        </w:tabs>
        <w:ind w:left="4244" w:hanging="104"/>
      </w:pPr>
      <w:rPr>
        <w:rFonts w:ascii="Times New Roman" w:eastAsia="Times New Roman" w:hAnsi="Times New Roman" w:cs="Times New Roman"/>
        <w:b w:val="0"/>
        <w:bCs w:val="0"/>
        <w:i w:val="0"/>
        <w:iCs w:val="0"/>
        <w:strike w:val="0"/>
        <w:dstrike w:val="0"/>
        <w:color w:val="000000"/>
        <w:sz w:val="20"/>
        <w:szCs w:val="20"/>
        <w:u w:val="none"/>
        <w:effect w:val="none"/>
      </w:rPr>
    </w:lvl>
    <w:lvl w:ilvl="6" w:tplc="82B4B2C6">
      <w:start w:val="1"/>
      <w:numFmt w:val="decimal"/>
      <w:lvlText w:val="%7."/>
      <w:lvlJc w:val="left"/>
      <w:pPr>
        <w:tabs>
          <w:tab w:val="num" w:pos="0"/>
        </w:tabs>
        <w:ind w:left="496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7" w:tplc="DF4C2528">
      <w:start w:val="1"/>
      <w:numFmt w:val="lowerLetter"/>
      <w:lvlText w:val="%8."/>
      <w:lvlJc w:val="left"/>
      <w:pPr>
        <w:tabs>
          <w:tab w:val="num" w:pos="0"/>
        </w:tabs>
        <w:ind w:left="568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8" w:tplc="E98C3234">
      <w:start w:val="1"/>
      <w:numFmt w:val="lowerRoman"/>
      <w:lvlText w:val="%9."/>
      <w:lvlJc w:val="right"/>
      <w:pPr>
        <w:tabs>
          <w:tab w:val="num" w:pos="0"/>
        </w:tabs>
        <w:ind w:left="6404" w:hanging="104"/>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5" w15:restartNumberingAfterBreak="0">
    <w:nsid w:val="00000006"/>
    <w:multiLevelType w:val="hybridMultilevel"/>
    <w:tmpl w:val="00000006"/>
    <w:lvl w:ilvl="0" w:tplc="C1EE401A">
      <w:start w:val="1"/>
      <w:numFmt w:val="decimal"/>
      <w:lvlText w:val="%1."/>
      <w:lvlJc w:val="left"/>
      <w:pPr>
        <w:tabs>
          <w:tab w:val="num" w:pos="0"/>
        </w:tabs>
        <w:ind w:left="64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1" w:tplc="9D70641C">
      <w:start w:val="1"/>
      <w:numFmt w:val="decimal"/>
      <w:lvlText w:val="%2."/>
      <w:lvlJc w:val="left"/>
      <w:pPr>
        <w:tabs>
          <w:tab w:val="num" w:pos="0"/>
        </w:tabs>
        <w:ind w:left="136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2" w:tplc="08564976">
      <w:start w:val="1"/>
      <w:numFmt w:val="lowerRoman"/>
      <w:lvlText w:val="%3."/>
      <w:lvlJc w:val="right"/>
      <w:pPr>
        <w:tabs>
          <w:tab w:val="num" w:pos="0"/>
        </w:tabs>
        <w:ind w:left="2084" w:hanging="104"/>
      </w:pPr>
      <w:rPr>
        <w:rFonts w:ascii="Times New Roman" w:eastAsia="Times New Roman" w:hAnsi="Times New Roman" w:cs="Times New Roman"/>
        <w:b w:val="0"/>
        <w:bCs w:val="0"/>
        <w:i w:val="0"/>
        <w:iCs w:val="0"/>
        <w:strike w:val="0"/>
        <w:dstrike w:val="0"/>
        <w:color w:val="000000"/>
        <w:sz w:val="20"/>
        <w:szCs w:val="20"/>
        <w:u w:val="none"/>
        <w:effect w:val="none"/>
      </w:rPr>
    </w:lvl>
    <w:lvl w:ilvl="3" w:tplc="B2DAE63C">
      <w:start w:val="1"/>
      <w:numFmt w:val="decimal"/>
      <w:lvlText w:val="%4."/>
      <w:lvlJc w:val="left"/>
      <w:pPr>
        <w:tabs>
          <w:tab w:val="num" w:pos="0"/>
        </w:tabs>
        <w:ind w:left="280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4" w:tplc="48AC5430">
      <w:start w:val="1"/>
      <w:numFmt w:val="lowerLetter"/>
      <w:lvlText w:val="%5."/>
      <w:lvlJc w:val="left"/>
      <w:pPr>
        <w:tabs>
          <w:tab w:val="num" w:pos="0"/>
        </w:tabs>
        <w:ind w:left="352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5" w:tplc="438A5970">
      <w:start w:val="1"/>
      <w:numFmt w:val="lowerRoman"/>
      <w:lvlText w:val="%6."/>
      <w:lvlJc w:val="right"/>
      <w:pPr>
        <w:tabs>
          <w:tab w:val="num" w:pos="0"/>
        </w:tabs>
        <w:ind w:left="4244" w:hanging="104"/>
      </w:pPr>
      <w:rPr>
        <w:rFonts w:ascii="Times New Roman" w:eastAsia="Times New Roman" w:hAnsi="Times New Roman" w:cs="Times New Roman"/>
        <w:b w:val="0"/>
        <w:bCs w:val="0"/>
        <w:i w:val="0"/>
        <w:iCs w:val="0"/>
        <w:strike w:val="0"/>
        <w:dstrike w:val="0"/>
        <w:color w:val="000000"/>
        <w:sz w:val="20"/>
        <w:szCs w:val="20"/>
        <w:u w:val="none"/>
        <w:effect w:val="none"/>
      </w:rPr>
    </w:lvl>
    <w:lvl w:ilvl="6" w:tplc="AFA0045C">
      <w:start w:val="1"/>
      <w:numFmt w:val="decimal"/>
      <w:lvlText w:val="%7."/>
      <w:lvlJc w:val="left"/>
      <w:pPr>
        <w:tabs>
          <w:tab w:val="num" w:pos="0"/>
        </w:tabs>
        <w:ind w:left="496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7" w:tplc="A90A9090">
      <w:start w:val="1"/>
      <w:numFmt w:val="lowerLetter"/>
      <w:lvlText w:val="%8."/>
      <w:lvlJc w:val="left"/>
      <w:pPr>
        <w:tabs>
          <w:tab w:val="num" w:pos="0"/>
        </w:tabs>
        <w:ind w:left="5684" w:hanging="284"/>
      </w:pPr>
      <w:rPr>
        <w:rFonts w:ascii="Times New Roman" w:eastAsia="Times New Roman" w:hAnsi="Times New Roman" w:cs="Times New Roman"/>
        <w:b w:val="0"/>
        <w:bCs w:val="0"/>
        <w:i w:val="0"/>
        <w:iCs w:val="0"/>
        <w:strike w:val="0"/>
        <w:dstrike w:val="0"/>
        <w:color w:val="000000"/>
        <w:sz w:val="20"/>
        <w:szCs w:val="20"/>
        <w:u w:val="none"/>
        <w:effect w:val="none"/>
      </w:rPr>
    </w:lvl>
    <w:lvl w:ilvl="8" w:tplc="7BCA54BE">
      <w:start w:val="1"/>
      <w:numFmt w:val="lowerRoman"/>
      <w:lvlText w:val="%9."/>
      <w:lvlJc w:val="right"/>
      <w:pPr>
        <w:tabs>
          <w:tab w:val="num" w:pos="0"/>
        </w:tabs>
        <w:ind w:left="6404" w:hanging="104"/>
      </w:pPr>
      <w:rPr>
        <w:rFonts w:ascii="Times New Roman" w:eastAsia="Times New Roman" w:hAnsi="Times New Roman" w:cs="Times New Roman"/>
        <w:b w:val="0"/>
        <w:bCs w:val="0"/>
        <w:i w:val="0"/>
        <w:iCs w:val="0"/>
        <w:strike w:val="0"/>
        <w:dstrike w:val="0"/>
        <w:color w:val="000000"/>
        <w:sz w:val="20"/>
        <w:szCs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4EC"/>
    <w:rsid w:val="00022888"/>
    <w:rsid w:val="00055A5C"/>
    <w:rsid w:val="000765B4"/>
    <w:rsid w:val="001219E7"/>
    <w:rsid w:val="0012708C"/>
    <w:rsid w:val="00206830"/>
    <w:rsid w:val="0024286E"/>
    <w:rsid w:val="00264610"/>
    <w:rsid w:val="0028791A"/>
    <w:rsid w:val="002F79EA"/>
    <w:rsid w:val="0034241E"/>
    <w:rsid w:val="003831AC"/>
    <w:rsid w:val="003D3A0F"/>
    <w:rsid w:val="004F752D"/>
    <w:rsid w:val="00516DCA"/>
    <w:rsid w:val="00542913"/>
    <w:rsid w:val="00566CCF"/>
    <w:rsid w:val="005707FB"/>
    <w:rsid w:val="005855A0"/>
    <w:rsid w:val="005E1D59"/>
    <w:rsid w:val="00634F74"/>
    <w:rsid w:val="00637596"/>
    <w:rsid w:val="006775B1"/>
    <w:rsid w:val="006E60E4"/>
    <w:rsid w:val="00702ADD"/>
    <w:rsid w:val="0073273B"/>
    <w:rsid w:val="00795DC4"/>
    <w:rsid w:val="007A1375"/>
    <w:rsid w:val="007C5471"/>
    <w:rsid w:val="007F59FF"/>
    <w:rsid w:val="009432A8"/>
    <w:rsid w:val="00950C71"/>
    <w:rsid w:val="009607AA"/>
    <w:rsid w:val="00985E31"/>
    <w:rsid w:val="009A5453"/>
    <w:rsid w:val="009C74EC"/>
    <w:rsid w:val="009E634B"/>
    <w:rsid w:val="00A65B15"/>
    <w:rsid w:val="00AB0586"/>
    <w:rsid w:val="00B65763"/>
    <w:rsid w:val="00BC430E"/>
    <w:rsid w:val="00C10602"/>
    <w:rsid w:val="00C8224A"/>
    <w:rsid w:val="00C94A63"/>
    <w:rsid w:val="00D12FE4"/>
    <w:rsid w:val="00D23620"/>
    <w:rsid w:val="00D623BB"/>
    <w:rsid w:val="00E5792D"/>
    <w:rsid w:val="00F17B7F"/>
    <w:rsid w:val="00F23CE9"/>
    <w:rsid w:val="00F47981"/>
    <w:rsid w:val="00F72EF5"/>
    <w:rsid w:val="00FF1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7339A-48D5-4F48-98D5-16F20BF8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F74"/>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qFormat/>
    <w:rsid w:val="00634F74"/>
    <w:pPr>
      <w:outlineLvl w:val="0"/>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34F74"/>
    <w:rPr>
      <w:rFonts w:ascii="Times New Roman" w:eastAsia="Times New Roman" w:hAnsi="Times New Roman" w:cs="Times New Roman"/>
      <w:i/>
      <w:iCs/>
      <w:color w:val="000000"/>
      <w:sz w:val="24"/>
      <w:szCs w:val="24"/>
      <w:lang w:eastAsia="cs-CZ"/>
    </w:rPr>
  </w:style>
  <w:style w:type="paragraph" w:styleId="Zhlav">
    <w:name w:val="header"/>
    <w:basedOn w:val="Normln"/>
    <w:link w:val="ZhlavChar"/>
    <w:uiPriority w:val="99"/>
    <w:unhideWhenUsed/>
    <w:rsid w:val="00D23620"/>
    <w:pPr>
      <w:tabs>
        <w:tab w:val="center" w:pos="4536"/>
        <w:tab w:val="right" w:pos="9072"/>
      </w:tabs>
    </w:pPr>
  </w:style>
  <w:style w:type="character" w:customStyle="1" w:styleId="ZhlavChar">
    <w:name w:val="Záhlaví Char"/>
    <w:basedOn w:val="Standardnpsmoodstavce"/>
    <w:link w:val="Zhlav"/>
    <w:uiPriority w:val="99"/>
    <w:rsid w:val="00D23620"/>
    <w:rPr>
      <w:rFonts w:ascii="Times New Roman" w:eastAsia="Times New Roman" w:hAnsi="Times New Roman" w:cs="Times New Roman"/>
      <w:color w:val="000000"/>
      <w:sz w:val="24"/>
      <w:szCs w:val="24"/>
      <w:lang w:eastAsia="cs-CZ"/>
    </w:rPr>
  </w:style>
  <w:style w:type="paragraph" w:styleId="Zpat">
    <w:name w:val="footer"/>
    <w:basedOn w:val="Normln"/>
    <w:link w:val="ZpatChar"/>
    <w:uiPriority w:val="99"/>
    <w:unhideWhenUsed/>
    <w:rsid w:val="00D23620"/>
    <w:pPr>
      <w:tabs>
        <w:tab w:val="center" w:pos="4536"/>
        <w:tab w:val="right" w:pos="9072"/>
      </w:tabs>
    </w:pPr>
  </w:style>
  <w:style w:type="character" w:customStyle="1" w:styleId="ZpatChar">
    <w:name w:val="Zápatí Char"/>
    <w:basedOn w:val="Standardnpsmoodstavce"/>
    <w:link w:val="Zpat"/>
    <w:uiPriority w:val="99"/>
    <w:rsid w:val="00D23620"/>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C822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24A"/>
    <w:rPr>
      <w:rFonts w:ascii="Segoe UI" w:eastAsia="Times New Roman" w:hAnsi="Segoe UI" w:cs="Segoe UI"/>
      <w:color w:val="000000"/>
      <w:sz w:val="18"/>
      <w:szCs w:val="18"/>
      <w:lang w:eastAsia="cs-CZ"/>
    </w:rPr>
  </w:style>
  <w:style w:type="character" w:styleId="Siln">
    <w:name w:val="Strong"/>
    <w:basedOn w:val="Standardnpsmoodstavce"/>
    <w:uiPriority w:val="22"/>
    <w:qFormat/>
    <w:rsid w:val="00127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32616">
      <w:bodyDiv w:val="1"/>
      <w:marLeft w:val="0"/>
      <w:marRight w:val="0"/>
      <w:marTop w:val="0"/>
      <w:marBottom w:val="0"/>
      <w:divBdr>
        <w:top w:val="none" w:sz="0" w:space="0" w:color="auto"/>
        <w:left w:val="none" w:sz="0" w:space="0" w:color="auto"/>
        <w:bottom w:val="none" w:sz="0" w:space="0" w:color="auto"/>
        <w:right w:val="none" w:sz="0" w:space="0" w:color="auto"/>
      </w:divBdr>
    </w:div>
    <w:div w:id="1120301718">
      <w:bodyDiv w:val="1"/>
      <w:marLeft w:val="0"/>
      <w:marRight w:val="0"/>
      <w:marTop w:val="0"/>
      <w:marBottom w:val="0"/>
      <w:divBdr>
        <w:top w:val="none" w:sz="0" w:space="0" w:color="auto"/>
        <w:left w:val="none" w:sz="0" w:space="0" w:color="auto"/>
        <w:bottom w:val="none" w:sz="0" w:space="0" w:color="auto"/>
        <w:right w:val="none" w:sz="0" w:space="0" w:color="auto"/>
      </w:divBdr>
    </w:div>
    <w:div w:id="1122961029">
      <w:bodyDiv w:val="1"/>
      <w:marLeft w:val="0"/>
      <w:marRight w:val="0"/>
      <w:marTop w:val="0"/>
      <w:marBottom w:val="0"/>
      <w:divBdr>
        <w:top w:val="none" w:sz="0" w:space="0" w:color="auto"/>
        <w:left w:val="none" w:sz="0" w:space="0" w:color="auto"/>
        <w:bottom w:val="none" w:sz="0" w:space="0" w:color="auto"/>
        <w:right w:val="none" w:sz="0" w:space="0" w:color="auto"/>
      </w:divBdr>
    </w:div>
    <w:div w:id="2017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1832</Words>
  <Characters>10810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huskova</dc:creator>
  <cp:lastModifiedBy>Domov Rokytnice Domov Rokytnice</cp:lastModifiedBy>
  <cp:revision>4</cp:revision>
  <cp:lastPrinted>2016-11-07T12:08:00Z</cp:lastPrinted>
  <dcterms:created xsi:type="dcterms:W3CDTF">2016-11-16T11:45:00Z</dcterms:created>
  <dcterms:modified xsi:type="dcterms:W3CDTF">2016-11-16T11:54:00Z</dcterms:modified>
</cp:coreProperties>
</file>