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A7" w:rsidRDefault="005D2855">
      <w:pPr>
        <w:spacing w:after="483" w:line="396" w:lineRule="auto"/>
        <w:ind w:left="1066" w:right="610" w:firstLine="0"/>
        <w:jc w:val="center"/>
      </w:pPr>
      <w:r>
        <w:rPr>
          <w:sz w:val="34"/>
        </w:rPr>
        <w:t xml:space="preserve">Smlouva o nájmu nebytových prostor v objektu čp. 178 na </w:t>
      </w:r>
      <w:proofErr w:type="spellStart"/>
      <w:r>
        <w:rPr>
          <w:sz w:val="34"/>
        </w:rPr>
        <w:t>Zižkově</w:t>
      </w:r>
      <w:proofErr w:type="spellEnd"/>
      <w:r>
        <w:rPr>
          <w:sz w:val="34"/>
        </w:rPr>
        <w:t xml:space="preserve"> náměstí v Trhových Svinech</w:t>
      </w:r>
    </w:p>
    <w:p w:rsidR="00E445A7" w:rsidRDefault="005D2855">
      <w:pPr>
        <w:spacing w:after="232" w:line="259" w:lineRule="auto"/>
        <w:ind w:left="528" w:right="0"/>
        <w:jc w:val="left"/>
      </w:pPr>
      <w:proofErr w:type="spellStart"/>
      <w:r>
        <w:rPr>
          <w:sz w:val="26"/>
          <w:u w:val="single" w:color="000000"/>
        </w:rPr>
        <w:t>Pronaiímatel</w:t>
      </w:r>
      <w:proofErr w:type="spellEnd"/>
      <w:r>
        <w:rPr>
          <w:sz w:val="26"/>
          <w:u w:val="single" w:color="000000"/>
        </w:rPr>
        <w:t>:</w:t>
      </w:r>
    </w:p>
    <w:p w:rsidR="00E445A7" w:rsidRDefault="005D2855">
      <w:pPr>
        <w:spacing w:after="0" w:line="259" w:lineRule="auto"/>
        <w:ind w:left="518" w:right="0" w:firstLine="0"/>
        <w:jc w:val="left"/>
      </w:pPr>
      <w:r>
        <w:rPr>
          <w:sz w:val="24"/>
        </w:rPr>
        <w:t>Město Trhové Sviny</w:t>
      </w:r>
    </w:p>
    <w:p w:rsidR="00E445A7" w:rsidRDefault="005D2855">
      <w:proofErr w:type="spellStart"/>
      <w:r>
        <w:t>Zižkovo</w:t>
      </w:r>
      <w:proofErr w:type="spellEnd"/>
      <w:r>
        <w:t xml:space="preserve"> náměstí 32, Trhové Sviny </w:t>
      </w:r>
      <w:proofErr w:type="spellStart"/>
      <w:r>
        <w:t>lč</w:t>
      </w:r>
      <w:proofErr w:type="spellEnd"/>
      <w:r>
        <w:t>: 00245551 DIČ: CZ</w:t>
      </w:r>
      <w:r w:rsidRPr="005D2855">
        <w:rPr>
          <w:highlight w:val="black"/>
        </w:rPr>
        <w:t>00245551</w:t>
      </w:r>
      <w:r>
        <w:t xml:space="preserve"> zastoupené starostou Ing. </w:t>
      </w:r>
      <w:proofErr w:type="spellStart"/>
      <w:r>
        <w:t>Radislavem</w:t>
      </w:r>
      <w:proofErr w:type="spellEnd"/>
      <w:r>
        <w:t xml:space="preserve"> Buškem</w:t>
      </w:r>
    </w:p>
    <w:p w:rsidR="00E445A7" w:rsidRDefault="005D2855">
      <w:pPr>
        <w:spacing w:after="834"/>
        <w:ind w:right="0"/>
      </w:pPr>
      <w:r>
        <w:t xml:space="preserve">č. </w:t>
      </w:r>
      <w:proofErr w:type="spellStart"/>
      <w:r>
        <w:t>ú.</w:t>
      </w:r>
      <w:proofErr w:type="spellEnd"/>
      <w:r>
        <w:t xml:space="preserve"> </w:t>
      </w:r>
      <w:r w:rsidRPr="005D2855">
        <w:rPr>
          <w:highlight w:val="black"/>
        </w:rPr>
        <w:t>19-2422231/0100</w:t>
      </w:r>
    </w:p>
    <w:p w:rsidR="00E445A7" w:rsidRDefault="005D2855">
      <w:pPr>
        <w:spacing w:after="232" w:line="259" w:lineRule="auto"/>
        <w:ind w:left="528" w:right="0"/>
        <w:jc w:val="left"/>
      </w:pPr>
      <w:proofErr w:type="spellStart"/>
      <w:r>
        <w:rPr>
          <w:sz w:val="26"/>
          <w:u w:val="single" w:color="000000"/>
        </w:rPr>
        <w:t>Náiemce</w:t>
      </w:r>
      <w:proofErr w:type="spellEnd"/>
      <w:r>
        <w:rPr>
          <w:sz w:val="26"/>
          <w:u w:val="single" w:color="000000"/>
        </w:rPr>
        <w:t>:</w:t>
      </w:r>
    </w:p>
    <w:p w:rsidR="00E445A7" w:rsidRDefault="005D2855">
      <w:pPr>
        <w:spacing w:after="0" w:line="259" w:lineRule="auto"/>
        <w:ind w:left="514" w:right="0" w:firstLine="0"/>
        <w:jc w:val="left"/>
      </w:pPr>
      <w:proofErr w:type="spellStart"/>
      <w:r>
        <w:rPr>
          <w:rFonts w:ascii="Calibri" w:eastAsia="Calibri" w:hAnsi="Calibri" w:cs="Calibri"/>
          <w:sz w:val="26"/>
        </w:rPr>
        <w:t>Poprokan</w:t>
      </w:r>
      <w:proofErr w:type="spellEnd"/>
      <w:r>
        <w:rPr>
          <w:rFonts w:ascii="Calibri" w:eastAsia="Calibri" w:hAnsi="Calibri" w:cs="Calibri"/>
          <w:sz w:val="26"/>
        </w:rPr>
        <w:t xml:space="preserve"> s. r. o.</w:t>
      </w:r>
    </w:p>
    <w:p w:rsidR="00E445A7" w:rsidRDefault="005D2855">
      <w:pPr>
        <w:spacing w:after="553"/>
        <w:ind w:left="504" w:right="5347"/>
      </w:pPr>
      <w:r>
        <w:t xml:space="preserve">se sídlem V. Majera 2669, 440 Ol Louny </w:t>
      </w:r>
      <w:proofErr w:type="spellStart"/>
      <w:r>
        <w:t>lč</w:t>
      </w:r>
      <w:proofErr w:type="spellEnd"/>
      <w:r>
        <w:t>: 64051218 DIČ: CZ</w:t>
      </w:r>
      <w:r w:rsidRPr="005D2855">
        <w:rPr>
          <w:highlight w:val="black"/>
        </w:rPr>
        <w:t>64051218</w:t>
      </w:r>
      <w:r>
        <w:t xml:space="preserve"> zastoupená Ing. Janem </w:t>
      </w:r>
      <w:proofErr w:type="spellStart"/>
      <w:r>
        <w:t>Blahovicsem</w:t>
      </w:r>
      <w:proofErr w:type="spellEnd"/>
    </w:p>
    <w:p w:rsidR="00E445A7" w:rsidRDefault="005D2855">
      <w:pPr>
        <w:spacing w:after="0" w:line="259" w:lineRule="auto"/>
        <w:ind w:left="418" w:right="0"/>
        <w:jc w:val="center"/>
      </w:pPr>
      <w:r>
        <w:rPr>
          <w:sz w:val="24"/>
        </w:rPr>
        <w:t>1.</w:t>
      </w:r>
    </w:p>
    <w:p w:rsidR="00E445A7" w:rsidRDefault="005D2855">
      <w:pPr>
        <w:ind w:left="437" w:right="0" w:firstLine="278"/>
      </w:pPr>
      <w:r>
        <w:t xml:space="preserve">Pronajímatel je vlastníkem budovy na Žižkově náměstí </w:t>
      </w:r>
      <w:proofErr w:type="gramStart"/>
      <w:r>
        <w:t>č.p.</w:t>
      </w:r>
      <w:proofErr w:type="gramEnd"/>
      <w:r>
        <w:t xml:space="preserve"> 178 v Trhových Svinech na pozemku p. č. 61 v k. </w:t>
      </w:r>
      <w:proofErr w:type="spellStart"/>
      <w:r>
        <w:t>ú.</w:t>
      </w:r>
      <w:proofErr w:type="spellEnd"/>
      <w:r>
        <w:t xml:space="preserve"> Trhové Sviny.</w:t>
      </w:r>
    </w:p>
    <w:p w:rsidR="00E445A7" w:rsidRDefault="005D2855">
      <w:pPr>
        <w:ind w:left="437" w:right="0" w:firstLine="274"/>
      </w:pPr>
      <w:r>
        <w:t>P</w:t>
      </w:r>
      <w:r>
        <w:t>ronajímatel touto smlouvou pronajímá nájemci prodejnu a k ní přilehlé prostory ve 2. nadzemním podlaží budovy o celkové výměře 167 m</w:t>
      </w:r>
      <w:r>
        <w:rPr>
          <w:vertAlign w:val="superscript"/>
        </w:rPr>
        <w:t xml:space="preserve">2 </w:t>
      </w:r>
      <w:r>
        <w:t>(dále též jen předmět nájmu).</w:t>
      </w:r>
    </w:p>
    <w:p w:rsidR="00E445A7" w:rsidRDefault="005D2855">
      <w:pPr>
        <w:spacing w:after="0" w:line="259" w:lineRule="auto"/>
        <w:ind w:left="0" w:right="5" w:firstLine="0"/>
        <w:jc w:val="right"/>
      </w:pPr>
      <w:r>
        <w:t>Pronájem těchto prostor nájemci byl schválen usnesením rady města Trhové Sviny č. 27/06 ze dne</w:t>
      </w:r>
    </w:p>
    <w:p w:rsidR="00E445A7" w:rsidRDefault="005D2855">
      <w:pPr>
        <w:spacing w:after="234"/>
        <w:ind w:left="447" w:right="0"/>
      </w:pPr>
      <w:r>
        <w:t>30. 1. 2006.</w:t>
      </w:r>
    </w:p>
    <w:p w:rsidR="00E445A7" w:rsidRDefault="005D2855">
      <w:pPr>
        <w:spacing w:after="6" w:line="259" w:lineRule="auto"/>
        <w:ind w:left="408" w:right="0"/>
        <w:jc w:val="center"/>
      </w:pPr>
      <w:r>
        <w:rPr>
          <w:sz w:val="20"/>
        </w:rPr>
        <w:t>11.</w:t>
      </w:r>
    </w:p>
    <w:p w:rsidR="00E445A7" w:rsidRDefault="005D2855">
      <w:pPr>
        <w:spacing w:after="247"/>
        <w:ind w:left="432" w:right="0" w:firstLine="274"/>
      </w:pPr>
      <w:r>
        <w:t>Pronajímatel touto smlouvou pronajímá předmět nájmu nájemci za účelem provozování prodejny kancelářských potřeb a kancelářské techniky. Nájem se</w:t>
      </w:r>
      <w:r>
        <w:t xml:space="preserve"> sjednává k účelu podnikání — předmětem podnikání je prodej zboží a kopírovací práce.</w:t>
      </w:r>
    </w:p>
    <w:p w:rsidR="00E445A7" w:rsidRDefault="005D2855">
      <w:pPr>
        <w:spacing w:after="32" w:line="259" w:lineRule="auto"/>
        <w:ind w:left="408" w:right="5"/>
        <w:jc w:val="center"/>
      </w:pPr>
      <w:r>
        <w:rPr>
          <w:sz w:val="20"/>
        </w:rPr>
        <w:t>111.</w:t>
      </w:r>
    </w:p>
    <w:p w:rsidR="00E445A7" w:rsidRDefault="005D2855">
      <w:pPr>
        <w:spacing w:after="419"/>
        <w:ind w:left="706" w:right="0"/>
      </w:pPr>
      <w:r>
        <w:t>Nájemní smlouva se uzavírá na dobu neurčitou. Smlouvaje účinná dnem l. 2. 2006.</w:t>
      </w:r>
    </w:p>
    <w:p w:rsidR="00E445A7" w:rsidRDefault="005D2855">
      <w:pPr>
        <w:pStyle w:val="Nadpis1"/>
        <w:ind w:left="418" w:right="19"/>
      </w:pPr>
      <w:r>
        <w:lastRenderedPageBreak/>
        <w:t>Nájemné</w:t>
      </w:r>
    </w:p>
    <w:p w:rsidR="00E445A7" w:rsidRDefault="005D2855">
      <w:pPr>
        <w:ind w:left="427" w:right="0" w:firstLine="230"/>
      </w:pPr>
      <w:r>
        <w:t>Nájemné je stanoveno na částku 127.964,-Kč ročně. Nájemné bude hrazeno ve čtv</w:t>
      </w:r>
      <w:r>
        <w:t xml:space="preserve">rtletních splátkách ve výši </w:t>
      </w:r>
      <w:r>
        <w:rPr>
          <w:vertAlign w:val="superscript"/>
        </w:rPr>
        <w:t>1</w:t>
      </w:r>
      <w:r>
        <w:t>/4 celkové výše nájmu na účet pronajímatele vedený u Komerční banky, a.s., číslo účtu 19-</w:t>
      </w:r>
      <w:r w:rsidRPr="005D2855">
        <w:rPr>
          <w:highlight w:val="black"/>
        </w:rPr>
        <w:t>2422231/0100</w:t>
      </w:r>
      <w:r>
        <w:t xml:space="preserve">, VS: </w:t>
      </w:r>
      <w:proofErr w:type="gramStart"/>
      <w:r>
        <w:t>1031000037 , vždy</w:t>
      </w:r>
      <w:proofErr w:type="gramEnd"/>
      <w:r>
        <w:t xml:space="preserve"> nejpozději do 5. 2., 5. 5., 5. 8. a 5. 11. za běžné čtvrtletí.</w:t>
      </w:r>
    </w:p>
    <w:p w:rsidR="00E445A7" w:rsidRDefault="005D2855">
      <w:pPr>
        <w:ind w:left="427" w:right="0" w:firstLine="274"/>
      </w:pPr>
      <w:r>
        <w:t>Datem uskutečnění zdanitelného plnění j</w:t>
      </w:r>
      <w:r>
        <w:t xml:space="preserve">e vždy </w:t>
      </w:r>
      <w:proofErr w:type="gramStart"/>
      <w:r>
        <w:t>31.3. běžného</w:t>
      </w:r>
      <w:proofErr w:type="gramEnd"/>
      <w:r>
        <w:t xml:space="preserve"> roku. Nájem je plněním osvobozeným od daně z přidané hodnoty dle 56 zákona č. 235/2004 Sb., ve znění pozdějších předpisů.</w:t>
      </w:r>
    </w:p>
    <w:p w:rsidR="00E445A7" w:rsidRDefault="005D2855">
      <w:pPr>
        <w:ind w:left="10" w:right="427" w:firstLine="264"/>
      </w:pPr>
      <w:r>
        <w:t>Nájemné bude zvyšováno o míru inflace vyjádřenou přírůstkem průměrného ročního indexu spotřebitelských cen za pře</w:t>
      </w:r>
      <w:r>
        <w:t>dchozí rok. Nájemné může být valorizováno pouze jednou ročně. O valorizaci bude nájemce informován písemně.</w:t>
      </w:r>
    </w:p>
    <w:p w:rsidR="00E445A7" w:rsidRDefault="005D2855">
      <w:pPr>
        <w:spacing w:after="789"/>
        <w:ind w:left="29" w:right="168" w:firstLine="250"/>
      </w:pPr>
      <w:r>
        <w:t>Za každý týden prodlení s placením nájemného je nájemce povinen zaplatit smluvní pokutu ve výši 1% z příslušné částky.</w:t>
      </w:r>
    </w:p>
    <w:p w:rsidR="00E445A7" w:rsidRDefault="005D2855">
      <w:pPr>
        <w:pStyle w:val="Nadpis1"/>
        <w:ind w:left="418" w:right="840"/>
      </w:pPr>
      <w:r>
        <w:t>Úhrady za plnění poskytovaná v souvislosti s užíváním nebytového prostoru</w:t>
      </w:r>
    </w:p>
    <w:p w:rsidR="00E445A7" w:rsidRDefault="005D2855">
      <w:pPr>
        <w:ind w:left="360" w:right="427" w:hanging="331"/>
      </w:pPr>
      <w:r>
        <w:t>l. Dodávky vody — nájemce se zavazuje uhradit pronajímateli náklady na dodávku vody do pronajatých prostor, které činí h skutečných nákladů za dodávku vody do celého objektu. Výše ná</w:t>
      </w:r>
      <w:r>
        <w:t>kladů bude nájemci vyúčtována na základě fakturace dodavatele vody vždy po skončení účtovacího období. Vyúčtování dodávky vody bude splňovat náležitosti daňového dokladu, úhrada bude splatná do 14 dnů po vyúčtování.</w:t>
      </w:r>
    </w:p>
    <w:p w:rsidR="00E445A7" w:rsidRDefault="005D2855">
      <w:pPr>
        <w:numPr>
          <w:ilvl w:val="0"/>
          <w:numId w:val="1"/>
        </w:numPr>
        <w:ind w:right="214" w:hanging="360"/>
      </w:pPr>
      <w:r>
        <w:t>Dodávky tepla - nájemce se zavazuje uhra</w:t>
      </w:r>
      <w:r>
        <w:t xml:space="preserve">dit pronajímateli náklady na dodávku tepla do pronajatých prostor, které činí h skutečných nákladů na vytápění celého objektu. Zálohy na dodávky tepla budou nájemcem hrazeny na účet pronajímatele č. </w:t>
      </w:r>
      <w:proofErr w:type="spellStart"/>
      <w:r>
        <w:t>ú.</w:t>
      </w:r>
      <w:proofErr w:type="spellEnd"/>
      <w:r>
        <w:t xml:space="preserve"> 19-2422231/0100, VS: 1040000037, ve čtvrtletních splát</w:t>
      </w:r>
      <w:r>
        <w:t xml:space="preserve">kách ve výši 9.000,- Kč vždy nejpozději do 5. 2., 5. 5., 5. 8. a 5. I l. za běžné čtvrtletí. Výše nákladů za dodávku tepla a výše uhrazených záloh budou nájemci vyúčtovány vždy po skončení účtovacího období, tj. do </w:t>
      </w:r>
      <w:proofErr w:type="gramStart"/>
      <w:r>
        <w:t>31. l . následujícího</w:t>
      </w:r>
      <w:proofErr w:type="gramEnd"/>
      <w:r>
        <w:t xml:space="preserve"> roku.</w:t>
      </w:r>
    </w:p>
    <w:p w:rsidR="00E445A7" w:rsidRDefault="005D2855">
      <w:pPr>
        <w:numPr>
          <w:ilvl w:val="0"/>
          <w:numId w:val="1"/>
        </w:numPr>
        <w:ind w:right="214" w:hanging="360"/>
      </w:pPr>
      <w:r>
        <w:t>Ostatní nákla</w:t>
      </w:r>
      <w:r>
        <w:t>dy spojené s provozem pronajatých prostor uhradí nájemce na základě samostatných smluv s dodavateli. Jedná se zejména o tyto náklady:</w:t>
      </w:r>
    </w:p>
    <w:p w:rsidR="00E445A7" w:rsidRDefault="005D2855">
      <w:pPr>
        <w:numPr>
          <w:ilvl w:val="1"/>
          <w:numId w:val="1"/>
        </w:numPr>
        <w:ind w:left="801" w:right="2849" w:hanging="355"/>
      </w:pPr>
      <w:r>
        <w:t xml:space="preserve">Spotřeba elektrické energie </w:t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4482" name="Picture 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" name="Picture 4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Odvoz odpadu</w:t>
      </w:r>
    </w:p>
    <w:p w:rsidR="00E445A7" w:rsidRDefault="005D2855">
      <w:pPr>
        <w:numPr>
          <w:ilvl w:val="1"/>
          <w:numId w:val="1"/>
        </w:numPr>
        <w:spacing w:after="512"/>
        <w:ind w:left="801" w:right="2849" w:hanging="355"/>
      </w:pPr>
      <w:r>
        <w:t>Telefon</w:t>
      </w:r>
    </w:p>
    <w:p w:rsidR="00E445A7" w:rsidRDefault="005D2855">
      <w:pPr>
        <w:pStyle w:val="Nadpis1"/>
        <w:spacing w:after="36"/>
        <w:ind w:left="418" w:right="8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240792</wp:posOffset>
            </wp:positionH>
            <wp:positionV relativeFrom="page">
              <wp:posOffset>7981940</wp:posOffset>
            </wp:positionV>
            <wp:extent cx="18288" cy="15244"/>
            <wp:effectExtent l="0" t="0" r="0" b="0"/>
            <wp:wrapSquare wrapText="bothSides"/>
            <wp:docPr id="4492" name="Picture 4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" name="Picture 44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Povinnosti nájemce</w:t>
      </w:r>
    </w:p>
    <w:p w:rsidR="00E445A7" w:rsidRDefault="005D2855">
      <w:pPr>
        <w:ind w:left="508" w:right="523" w:hanging="336"/>
      </w:pPr>
      <w:proofErr w:type="gramStart"/>
      <w:r>
        <w:t>l . Nájemce</w:t>
      </w:r>
      <w:proofErr w:type="gramEnd"/>
      <w:r>
        <w:t xml:space="preserve"> se zavazuje užívat předmět nájmu řádně </w:t>
      </w:r>
      <w:proofErr w:type="spellStart"/>
      <w:r>
        <w:t>av</w:t>
      </w:r>
      <w:proofErr w:type="spellEnd"/>
      <w:r>
        <w:t xml:space="preserve"> souladu s jeho povahou a obvyklým určením tak, aby nedošlo k jeho poškození. Nájemce je povinen provádět běžnou údržbu a drobné opravy předmětu nájmu na každé jednotlivé závadě do částky 500 Kč.</w:t>
      </w:r>
    </w:p>
    <w:p w:rsidR="00E445A7" w:rsidRDefault="005D2855">
      <w:pPr>
        <w:numPr>
          <w:ilvl w:val="0"/>
          <w:numId w:val="2"/>
        </w:numPr>
        <w:spacing w:after="40"/>
        <w:ind w:right="0" w:hanging="355"/>
      </w:pPr>
      <w:r>
        <w:t>Nájemce není oprávněn dát předmět nájmu do podnájmu či bez</w:t>
      </w:r>
      <w:r>
        <w:t>platného užívání jiné osobě bez písemného souhlasu pronajímatele.</w:t>
      </w:r>
    </w:p>
    <w:p w:rsidR="00E445A7" w:rsidRDefault="005D2855">
      <w:pPr>
        <w:numPr>
          <w:ilvl w:val="0"/>
          <w:numId w:val="2"/>
        </w:numPr>
        <w:ind w:right="0" w:hanging="355"/>
      </w:pPr>
      <w:r>
        <w:t>Jakékoli změny předmětu nájmu mimo běžné údržby a drobných oprav je nájemce oprávněn provádět pouze s písemným souhlasem pronajímatele, tyto pořídí vlastním nákladem. Po skončení nájemní sml</w:t>
      </w:r>
      <w:r>
        <w:t>ouvy nevznikne z tohoto důvodu nájemci nárok na úhradu takto vynaložených nákladů.</w:t>
      </w:r>
    </w:p>
    <w:p w:rsidR="00E445A7" w:rsidRDefault="005D2855">
      <w:pPr>
        <w:numPr>
          <w:ilvl w:val="0"/>
          <w:numId w:val="2"/>
        </w:numPr>
        <w:ind w:right="0" w:hanging="355"/>
      </w:pPr>
      <w:r>
        <w:t xml:space="preserve">Nájemce je povinen oznámit pronajímateli bez zbytečného odkladu potřeby větších oprav, které má provést pronajímatel. Při porušení této povinnosti odpovídá nájemce </w:t>
      </w:r>
      <w:r>
        <w:lastRenderedPageBreak/>
        <w:t xml:space="preserve">za škodu </w:t>
      </w:r>
      <w:r>
        <w:t xml:space="preserve">tím způsobenou. Nájemce je povinen snášet omezení v užívání předmětu nájmu v rozsahu nutném pro provedení oprav předmětu nájmu, které provádí pronajímatel, nebo jejichž provedení </w:t>
      </w:r>
      <w:proofErr w:type="spellStart"/>
      <w:r>
        <w:t>pronaj</w:t>
      </w:r>
      <w:proofErr w:type="spellEnd"/>
      <w:r>
        <w:t xml:space="preserve"> </w:t>
      </w:r>
      <w:proofErr w:type="spellStart"/>
      <w:r>
        <w:t>ímatel</w:t>
      </w:r>
      <w:proofErr w:type="spellEnd"/>
      <w:r>
        <w:t xml:space="preserve"> </w:t>
      </w:r>
      <w:proofErr w:type="spellStart"/>
      <w:r>
        <w:t>zaj</w:t>
      </w:r>
      <w:proofErr w:type="spellEnd"/>
      <w:r>
        <w:t xml:space="preserve"> </w:t>
      </w:r>
      <w:proofErr w:type="spellStart"/>
      <w:r>
        <w:t>istí</w:t>
      </w:r>
      <w:proofErr w:type="spellEnd"/>
      <w:r>
        <w:t>.</w:t>
      </w:r>
    </w:p>
    <w:p w:rsidR="00E445A7" w:rsidRDefault="005D2855">
      <w:pPr>
        <w:numPr>
          <w:ilvl w:val="0"/>
          <w:numId w:val="2"/>
        </w:numPr>
        <w:ind w:right="0" w:hanging="355"/>
      </w:pPr>
      <w:r>
        <w:t>Nájemce odpovídá za škody na předmětu nájmu způsobené provozem. Veškeré vlastním zaviněním způsobené škody odstraní vlastním nákladem.</w:t>
      </w:r>
    </w:p>
    <w:p w:rsidR="00E445A7" w:rsidRDefault="005D2855">
      <w:pPr>
        <w:numPr>
          <w:ilvl w:val="0"/>
          <w:numId w:val="2"/>
        </w:numPr>
        <w:ind w:right="0" w:hanging="355"/>
      </w:pPr>
      <w:r>
        <w:t>Nájemce prohlašuje, že byl seznámen s požárním řádem a poplachovými směrnicemi a zavazuje se je dodržovat.</w:t>
      </w:r>
    </w:p>
    <w:p w:rsidR="00E445A7" w:rsidRDefault="005D2855">
      <w:pPr>
        <w:numPr>
          <w:ilvl w:val="0"/>
          <w:numId w:val="2"/>
        </w:numPr>
        <w:ind w:right="0" w:hanging="355"/>
      </w:pPr>
      <w:r>
        <w:t>Nájemce je pov</w:t>
      </w:r>
      <w:r>
        <w:t>inen zabezpečit předmět nájmu proti neoprávněnému vniknutí.</w:t>
      </w:r>
    </w:p>
    <w:p w:rsidR="00E445A7" w:rsidRDefault="005D2855">
      <w:pPr>
        <w:numPr>
          <w:ilvl w:val="0"/>
          <w:numId w:val="2"/>
        </w:numPr>
        <w:spacing w:after="51"/>
        <w:ind w:right="0" w:hanging="355"/>
      </w:pPr>
      <w:r>
        <w:t>Nájemce bude samostatně zajišťovat veškeré potřebné revize technického vybavení, např. tlakových nádob na pitnou vodu, revize elektrických zařízení a hromosvodů, revize komínů apod.</w:t>
      </w:r>
    </w:p>
    <w:p w:rsidR="00E445A7" w:rsidRDefault="005D2855">
      <w:pPr>
        <w:numPr>
          <w:ilvl w:val="0"/>
          <w:numId w:val="2"/>
        </w:numPr>
        <w:ind w:right="0" w:hanging="355"/>
      </w:pPr>
      <w:r>
        <w:t>Nájemce je povinen bezodkladně vyrozumět pronajímatele o všech mimořádných událostech.</w:t>
      </w:r>
    </w:p>
    <w:p w:rsidR="00E445A7" w:rsidRDefault="005D2855">
      <w:pPr>
        <w:ind w:left="503" w:right="523" w:hanging="331"/>
      </w:pPr>
      <w:r>
        <w:t>IO. Nájemce se zavazuje po skončení nájemního vztahu předmět nájmu neprodleně předat pronajímateli ve stavu, v jakém jej převzal, s přihlédnutím k běžnému opotřebení, řá</w:t>
      </w:r>
      <w:r>
        <w:t>dně vyklizený a uklizený. Stav věci bude popsán v předávacím protokolu.</w:t>
      </w:r>
    </w:p>
    <w:p w:rsidR="00E445A7" w:rsidRDefault="005D2855">
      <w:pPr>
        <w:ind w:left="182" w:right="0"/>
      </w:pPr>
      <w:proofErr w:type="gramStart"/>
      <w:r>
        <w:t>I l . Nájemce</w:t>
      </w:r>
      <w:proofErr w:type="gramEnd"/>
      <w:r>
        <w:t xml:space="preserve"> zajistí úklid a čištění chodníků před prodejnou, za to nese odpovědnost.</w:t>
      </w:r>
    </w:p>
    <w:p w:rsidR="00E445A7" w:rsidRDefault="005D2855">
      <w:pPr>
        <w:spacing w:after="284" w:line="224" w:lineRule="auto"/>
        <w:ind w:left="609" w:right="365" w:hanging="254"/>
      </w:pPr>
      <w:r>
        <w:rPr>
          <w:rFonts w:ascii="Calibri" w:eastAsia="Calibri" w:hAnsi="Calibri" w:cs="Calibri"/>
        </w:rPr>
        <w:t xml:space="preserve">12., Nájemce umožní užívat nájemci nebytových prostor, které se nacházejí v přízemí budovy čp. </w:t>
      </w:r>
      <w:r>
        <w:rPr>
          <w:noProof/>
        </w:rPr>
        <w:drawing>
          <wp:inline distT="0" distB="0" distL="0" distR="0">
            <wp:extent cx="18288" cy="33538"/>
            <wp:effectExtent l="0" t="0" r="0" b="0"/>
            <wp:docPr id="7207" name="Picture 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" name="Picture 72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178 na </w:t>
      </w:r>
      <w:proofErr w:type="spellStart"/>
      <w:r>
        <w:rPr>
          <w:rFonts w:ascii="Calibri" w:eastAsia="Calibri" w:hAnsi="Calibri" w:cs="Calibri"/>
        </w:rPr>
        <w:t>Zižkově</w:t>
      </w:r>
      <w:proofErr w:type="spellEnd"/>
      <w:r>
        <w:rPr>
          <w:rFonts w:ascii="Calibri" w:eastAsia="Calibri" w:hAnsi="Calibri" w:cs="Calibri"/>
        </w:rPr>
        <w:t xml:space="preserve"> náměstí v Trhových Svinech, část </w:t>
      </w:r>
      <w:proofErr w:type="gramStart"/>
      <w:r>
        <w:rPr>
          <w:rFonts w:ascii="Calibri" w:eastAsia="Calibri" w:hAnsi="Calibri" w:cs="Calibri"/>
        </w:rPr>
        <w:t>oken v l . patře</w:t>
      </w:r>
      <w:proofErr w:type="gramEnd"/>
      <w:r>
        <w:rPr>
          <w:rFonts w:ascii="Calibri" w:eastAsia="Calibri" w:hAnsi="Calibri" w:cs="Calibri"/>
        </w:rPr>
        <w:t xml:space="preserve"> budovy pro prezentaci prodávaného zboží.</w:t>
      </w:r>
    </w:p>
    <w:p w:rsidR="00E445A7" w:rsidRDefault="005D2855">
      <w:pPr>
        <w:spacing w:after="0" w:line="259" w:lineRule="auto"/>
        <w:ind w:left="10" w:right="62"/>
        <w:jc w:val="center"/>
      </w:pPr>
      <w:r>
        <w:rPr>
          <w:rFonts w:ascii="Calibri" w:eastAsia="Calibri" w:hAnsi="Calibri" w:cs="Calibri"/>
          <w:sz w:val="24"/>
        </w:rPr>
        <w:t>VII.</w:t>
      </w:r>
    </w:p>
    <w:p w:rsidR="00E445A7" w:rsidRDefault="005D2855">
      <w:pPr>
        <w:spacing w:after="26" w:line="259" w:lineRule="auto"/>
        <w:ind w:left="10" w:right="58"/>
        <w:jc w:val="center"/>
      </w:pPr>
      <w:r>
        <w:rPr>
          <w:rFonts w:ascii="Calibri" w:eastAsia="Calibri" w:hAnsi="Calibri" w:cs="Calibri"/>
          <w:sz w:val="24"/>
        </w:rPr>
        <w:t>Povinnosti pronajímatele</w:t>
      </w:r>
    </w:p>
    <w:p w:rsidR="00E445A7" w:rsidRDefault="005D2855">
      <w:pPr>
        <w:spacing w:after="30" w:line="224" w:lineRule="auto"/>
        <w:ind w:left="585" w:right="283" w:hanging="336"/>
      </w:pPr>
      <w:proofErr w:type="gramStart"/>
      <w:r>
        <w:rPr>
          <w:rFonts w:ascii="Calibri" w:eastAsia="Calibri" w:hAnsi="Calibri" w:cs="Calibri"/>
        </w:rPr>
        <w:t>l . Pronajímatel</w:t>
      </w:r>
      <w:proofErr w:type="gramEnd"/>
      <w:r>
        <w:rPr>
          <w:rFonts w:ascii="Calibri" w:eastAsia="Calibri" w:hAnsi="Calibri" w:cs="Calibri"/>
        </w:rPr>
        <w:t xml:space="preserve"> se zavazuje přenechat předmět nájmu nájemci ve stavu způsobilém k obvyklému užívání a udržovat jej v to</w:t>
      </w:r>
      <w:r>
        <w:rPr>
          <w:rFonts w:ascii="Calibri" w:eastAsia="Calibri" w:hAnsi="Calibri" w:cs="Calibri"/>
        </w:rPr>
        <w:t>mto stavu svým nákladem.</w:t>
      </w:r>
    </w:p>
    <w:p w:rsidR="00E445A7" w:rsidRDefault="005D2855">
      <w:pPr>
        <w:numPr>
          <w:ilvl w:val="0"/>
          <w:numId w:val="3"/>
        </w:numPr>
        <w:spacing w:after="30" w:line="224" w:lineRule="auto"/>
        <w:ind w:right="283" w:hanging="360"/>
      </w:pPr>
      <w:proofErr w:type="spellStart"/>
      <w:r>
        <w:rPr>
          <w:rFonts w:ascii="Calibri" w:eastAsia="Calibri" w:hAnsi="Calibri" w:cs="Calibri"/>
        </w:rPr>
        <w:t>Pronaj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ímatel</w:t>
      </w:r>
      <w:proofErr w:type="spellEnd"/>
      <w:r>
        <w:rPr>
          <w:rFonts w:ascii="Calibri" w:eastAsia="Calibri" w:hAnsi="Calibri" w:cs="Calibri"/>
        </w:rPr>
        <w:t xml:space="preserve"> se zavazuje provádět potřebné opravy či je bez zbytečného odkladu obstarat.</w:t>
      </w:r>
    </w:p>
    <w:p w:rsidR="00E445A7" w:rsidRDefault="005D2855">
      <w:pPr>
        <w:numPr>
          <w:ilvl w:val="0"/>
          <w:numId w:val="3"/>
        </w:numPr>
        <w:spacing w:after="53" w:line="224" w:lineRule="auto"/>
        <w:ind w:right="283" w:hanging="360"/>
      </w:pPr>
      <w:r>
        <w:rPr>
          <w:rFonts w:ascii="Calibri" w:eastAsia="Calibri" w:hAnsi="Calibri" w:cs="Calibri"/>
        </w:rPr>
        <w:t>Pronajímatel se zavazuje, že po dobu trvání nájmu nebude na předmětu nájmu provádět žádné změny nebo práce, s výjimkou případů, kdy nájemce bude s takovými pracemi písemně souhlasit. Nájemce má právo na slevu z nájemného v případě, že prováděné změny snižu</w:t>
      </w:r>
      <w:r>
        <w:rPr>
          <w:rFonts w:ascii="Calibri" w:eastAsia="Calibri" w:hAnsi="Calibri" w:cs="Calibri"/>
        </w:rPr>
        <w:t>jí v určité míře možnost užívání předmětu nájmu nájemcem.</w:t>
      </w:r>
    </w:p>
    <w:p w:rsidR="00E445A7" w:rsidRDefault="005D2855">
      <w:pPr>
        <w:numPr>
          <w:ilvl w:val="0"/>
          <w:numId w:val="3"/>
        </w:numPr>
        <w:spacing w:after="30" w:line="224" w:lineRule="auto"/>
        <w:ind w:right="283" w:hanging="360"/>
      </w:pPr>
      <w:r>
        <w:rPr>
          <w:rFonts w:ascii="Calibri" w:eastAsia="Calibri" w:hAnsi="Calibri" w:cs="Calibri"/>
        </w:rPr>
        <w:t>Pronajímatel se zavazuje umožnit nájemci řádné užívání předmětu nájmu a poskytnout nájemci veškerou potřebnou pomoc k ochraně nájemce před zásahem třetích osob do výkonu nájmu.</w:t>
      </w:r>
    </w:p>
    <w:p w:rsidR="00E445A7" w:rsidRDefault="005D2855">
      <w:pPr>
        <w:numPr>
          <w:ilvl w:val="0"/>
          <w:numId w:val="3"/>
        </w:numPr>
        <w:spacing w:after="30" w:line="224" w:lineRule="auto"/>
        <w:ind w:right="283" w:hanging="360"/>
      </w:pPr>
      <w:r>
        <w:rPr>
          <w:rFonts w:ascii="Calibri" w:eastAsia="Calibri" w:hAnsi="Calibri" w:cs="Calibri"/>
        </w:rPr>
        <w:t>Pronajímatel je opráv</w:t>
      </w:r>
      <w:r>
        <w:rPr>
          <w:rFonts w:ascii="Calibri" w:eastAsia="Calibri" w:hAnsi="Calibri" w:cs="Calibri"/>
        </w:rPr>
        <w:t>něn požadovat přístup k pronajaté věci za účelem kontroly řádného výkonu nájmu, a to vždy za přítomnosti nájemce nebo jeho zástupce.</w:t>
      </w:r>
    </w:p>
    <w:p w:rsidR="00E445A7" w:rsidRDefault="005D2855">
      <w:pPr>
        <w:numPr>
          <w:ilvl w:val="0"/>
          <w:numId w:val="3"/>
        </w:numPr>
        <w:spacing w:after="537" w:line="224" w:lineRule="auto"/>
        <w:ind w:right="283" w:hanging="360"/>
      </w:pPr>
      <w:r>
        <w:rPr>
          <w:rFonts w:ascii="Calibri" w:eastAsia="Calibri" w:hAnsi="Calibri" w:cs="Calibri"/>
        </w:rPr>
        <w:t>Pronajímatel zajistí, aby nájemce mohl využívat polovinu výkladních oken v přízemí budovy k prezentaci jím prodávaného zbož</w:t>
      </w:r>
      <w:r>
        <w:rPr>
          <w:rFonts w:ascii="Calibri" w:eastAsia="Calibri" w:hAnsi="Calibri" w:cs="Calibri"/>
        </w:rPr>
        <w:t>í.</w:t>
      </w:r>
    </w:p>
    <w:p w:rsidR="00E445A7" w:rsidRDefault="005D2855">
      <w:pPr>
        <w:spacing w:after="0" w:line="259" w:lineRule="auto"/>
        <w:ind w:left="10" w:right="173"/>
        <w:jc w:val="center"/>
      </w:pPr>
      <w:r>
        <w:rPr>
          <w:rFonts w:ascii="Calibri" w:eastAsia="Calibri" w:hAnsi="Calibri" w:cs="Calibri"/>
          <w:sz w:val="24"/>
        </w:rPr>
        <w:t>VIII.</w:t>
      </w:r>
    </w:p>
    <w:p w:rsidR="00E445A7" w:rsidRDefault="005D2855">
      <w:pPr>
        <w:spacing w:after="0" w:line="259" w:lineRule="auto"/>
        <w:ind w:left="10" w:right="163"/>
        <w:jc w:val="center"/>
      </w:pPr>
      <w:r>
        <w:rPr>
          <w:rFonts w:ascii="Calibri" w:eastAsia="Calibri" w:hAnsi="Calibri" w:cs="Calibri"/>
          <w:sz w:val="24"/>
        </w:rPr>
        <w:t>Skončení nájmu</w:t>
      </w:r>
    </w:p>
    <w:p w:rsidR="00E445A7" w:rsidRDefault="005D2855">
      <w:pPr>
        <w:spacing w:after="52" w:line="224" w:lineRule="auto"/>
        <w:ind w:left="687" w:right="283" w:hanging="514"/>
      </w:pPr>
      <w:proofErr w:type="gramStart"/>
      <w:r>
        <w:rPr>
          <w:rFonts w:ascii="Calibri" w:eastAsia="Calibri" w:hAnsi="Calibri" w:cs="Calibri"/>
        </w:rPr>
        <w:t>l . V případě</w:t>
      </w:r>
      <w:proofErr w:type="gramEnd"/>
      <w:r>
        <w:rPr>
          <w:rFonts w:ascii="Calibri" w:eastAsia="Calibri" w:hAnsi="Calibri" w:cs="Calibri"/>
        </w:rPr>
        <w:t>, že nájemce bude užívat předmět nájmu v rozporu se smlouvou nebo bude v prodlení s placením nájemného nebo úhrad za služby o více než jeden měsíc může pronajímatel smlouvu písemně vypovědět. Výpovědní lhůta v tomto pří</w:t>
      </w:r>
      <w:r>
        <w:rPr>
          <w:rFonts w:ascii="Calibri" w:eastAsia="Calibri" w:hAnsi="Calibri" w:cs="Calibri"/>
        </w:rPr>
        <w:lastRenderedPageBreak/>
        <w:t>padě činí jeden měsíc a počítá se od prvního dne měsíce následujícího po doručení výpovědi. Nájemce je povinen do skončení výpovědní doby vyklidit pronajaté prostory.</w:t>
      </w:r>
    </w:p>
    <w:p w:rsidR="00E445A7" w:rsidRDefault="005D2855">
      <w:pPr>
        <w:spacing w:after="260" w:line="224" w:lineRule="auto"/>
        <w:ind w:left="682" w:right="283" w:hanging="53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6815328</wp:posOffset>
            </wp:positionH>
            <wp:positionV relativeFrom="page">
              <wp:posOffset>1256134</wp:posOffset>
            </wp:positionV>
            <wp:extent cx="15240" cy="24391"/>
            <wp:effectExtent l="0" t="0" r="0" b="0"/>
            <wp:wrapSquare wrapText="bothSides"/>
            <wp:docPr id="7208" name="Picture 7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" name="Picture 72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2. Skončení nájmu v ostatních případech se řídí zákonem č. 116/1990 Sb., ve znění pozděj</w:t>
      </w:r>
      <w:r>
        <w:rPr>
          <w:rFonts w:ascii="Calibri" w:eastAsia="Calibri" w:hAnsi="Calibri" w:cs="Calibri"/>
        </w:rPr>
        <w:t>ších předpisů. Výpovědní doba bude činit tři měsíce.</w:t>
      </w:r>
    </w:p>
    <w:p w:rsidR="00E445A7" w:rsidRDefault="005D2855">
      <w:pPr>
        <w:spacing w:after="0" w:line="259" w:lineRule="auto"/>
        <w:ind w:left="10" w:right="182"/>
        <w:jc w:val="center"/>
      </w:pPr>
      <w:r>
        <w:rPr>
          <w:rFonts w:ascii="Calibri" w:eastAsia="Calibri" w:hAnsi="Calibri" w:cs="Calibri"/>
          <w:sz w:val="24"/>
        </w:rPr>
        <w:t>IX.</w:t>
      </w:r>
    </w:p>
    <w:p w:rsidR="00E445A7" w:rsidRDefault="005D2855">
      <w:pPr>
        <w:spacing w:after="30" w:line="224" w:lineRule="auto"/>
        <w:ind w:left="432" w:right="283"/>
      </w:pPr>
      <w:r>
        <w:rPr>
          <w:rFonts w:ascii="Calibri" w:eastAsia="Calibri" w:hAnsi="Calibri" w:cs="Calibri"/>
        </w:rPr>
        <w:t>Tato smlouva může být měněna pouze písemnými dodatky schválenými oběma stranami.</w:t>
      </w:r>
    </w:p>
    <w:p w:rsidR="00E445A7" w:rsidRDefault="005D2855">
      <w:pPr>
        <w:spacing w:after="0" w:line="224" w:lineRule="auto"/>
        <w:ind w:left="144" w:right="283" w:firstLine="278"/>
      </w:pPr>
      <w:r>
        <w:rPr>
          <w:rFonts w:ascii="Calibri" w:eastAsia="Calibri" w:hAnsi="Calibri" w:cs="Calibri"/>
        </w:rPr>
        <w:t>Tato smlouva je vyhotovena ve dvou výtiscích ve stejném znění. Každá strana obdrží jedno vyhotovení s platností originálu.</w:t>
      </w:r>
    </w:p>
    <w:p w:rsidR="00E445A7" w:rsidRDefault="005D2855">
      <w:pPr>
        <w:spacing w:after="267" w:line="265" w:lineRule="auto"/>
        <w:ind w:left="10" w:right="302"/>
        <w:jc w:val="right"/>
      </w:pPr>
      <w:r>
        <w:rPr>
          <w:rFonts w:ascii="Calibri" w:eastAsia="Calibri" w:hAnsi="Calibri" w:cs="Calibri"/>
        </w:rPr>
        <w:t>Obě smluvní strany prohlašují, že se podrobně seznámily s ustanoveními této smlouvy a na důkaz</w:t>
      </w:r>
    </w:p>
    <w:p w:rsidR="00E445A7" w:rsidRDefault="00E445A7">
      <w:pPr>
        <w:sectPr w:rsidR="00E445A7">
          <w:pgSz w:w="11904" w:h="16834"/>
          <w:pgMar w:top="1571" w:right="1421" w:bottom="1221" w:left="1013" w:header="708" w:footer="708" w:gutter="0"/>
          <w:cols w:space="708"/>
        </w:sectPr>
      </w:pPr>
    </w:p>
    <w:p w:rsidR="00E445A7" w:rsidRDefault="005D2855">
      <w:pPr>
        <w:spacing w:after="221" w:line="224" w:lineRule="auto"/>
        <w:ind w:left="20" w:right="0"/>
      </w:pPr>
      <w:r>
        <w:rPr>
          <w:rFonts w:ascii="Calibri" w:eastAsia="Calibri" w:hAnsi="Calibri" w:cs="Calibri"/>
        </w:rPr>
        <w:t xml:space="preserve">souhlasu s jejím zněním </w:t>
      </w:r>
      <w:r>
        <w:rPr>
          <w:rFonts w:ascii="Calibri" w:eastAsia="Calibri" w:hAnsi="Calibri" w:cs="Calibri"/>
        </w:rPr>
        <w:t>připojují své podpisy.</w:t>
      </w:r>
    </w:p>
    <w:p w:rsidR="00E445A7" w:rsidRDefault="005D2855">
      <w:pPr>
        <w:spacing w:after="30" w:line="224" w:lineRule="auto"/>
        <w:ind w:left="10" w:right="283"/>
      </w:pPr>
      <w:r>
        <w:rPr>
          <w:rFonts w:ascii="Calibri" w:eastAsia="Calibri" w:hAnsi="Calibri" w:cs="Calibri"/>
        </w:rPr>
        <w:t xml:space="preserve">V Trhových Svinech </w:t>
      </w:r>
      <w:proofErr w:type="gramStart"/>
      <w:r>
        <w:rPr>
          <w:rFonts w:ascii="Calibri" w:eastAsia="Calibri" w:hAnsi="Calibri" w:cs="Calibri"/>
        </w:rPr>
        <w:t>dne l . 2. 2006</w:t>
      </w:r>
      <w:proofErr w:type="gramEnd"/>
    </w:p>
    <w:p w:rsidR="00E445A7" w:rsidRDefault="005D2855">
      <w:pPr>
        <w:spacing w:after="0" w:line="259" w:lineRule="auto"/>
        <w:ind w:left="0" w:right="0"/>
        <w:jc w:val="left"/>
      </w:pPr>
      <w:proofErr w:type="gramStart"/>
      <w:r>
        <w:rPr>
          <w:rFonts w:ascii="Calibri" w:eastAsia="Calibri" w:hAnsi="Calibri" w:cs="Calibri"/>
          <w:sz w:val="24"/>
        </w:rPr>
        <w:t>Pronajímatel :</w:t>
      </w:r>
      <w:proofErr w:type="gramEnd"/>
    </w:p>
    <w:p w:rsidR="00E445A7" w:rsidRDefault="005D2855">
      <w:pPr>
        <w:spacing w:after="792" w:line="224" w:lineRule="auto"/>
        <w:ind w:left="1685" w:right="283"/>
      </w:pPr>
      <w:r>
        <w:rPr>
          <w:rFonts w:ascii="Calibri" w:eastAsia="Calibri" w:hAnsi="Calibri" w:cs="Calibri"/>
        </w:rPr>
        <w:t xml:space="preserve">Ing. </w:t>
      </w:r>
      <w:proofErr w:type="spellStart"/>
      <w:r>
        <w:rPr>
          <w:rFonts w:ascii="Calibri" w:eastAsia="Calibri" w:hAnsi="Calibri" w:cs="Calibri"/>
        </w:rPr>
        <w:t>Radislav</w:t>
      </w:r>
      <w:proofErr w:type="spellEnd"/>
      <w:r>
        <w:rPr>
          <w:rFonts w:ascii="Calibri" w:eastAsia="Calibri" w:hAnsi="Calibri" w:cs="Calibri"/>
        </w:rPr>
        <w:t xml:space="preserve"> Bušek</w:t>
      </w:r>
    </w:p>
    <w:p w:rsidR="00E445A7" w:rsidRDefault="005D2855">
      <w:pPr>
        <w:spacing w:after="0" w:line="259" w:lineRule="auto"/>
        <w:ind w:left="0" w:right="0"/>
        <w:jc w:val="left"/>
      </w:pPr>
      <w:r>
        <w:rPr>
          <w:rFonts w:ascii="Calibri" w:eastAsia="Calibri" w:hAnsi="Calibri" w:cs="Calibri"/>
          <w:sz w:val="24"/>
        </w:rPr>
        <w:t>Nájemce :</w:t>
      </w:r>
      <w:bookmarkStart w:id="0" w:name="_GoBack"/>
      <w:bookmarkEnd w:id="0"/>
    </w:p>
    <w:p w:rsidR="00E445A7" w:rsidRDefault="005D2855">
      <w:pPr>
        <w:spacing w:after="887" w:line="265" w:lineRule="auto"/>
        <w:ind w:left="10" w:right="-15"/>
        <w:jc w:val="right"/>
      </w:pPr>
      <w:r>
        <w:rPr>
          <w:rFonts w:ascii="Calibri" w:eastAsia="Calibri" w:hAnsi="Calibri" w:cs="Calibri"/>
        </w:rPr>
        <w:t>Ing. Jan Blahovi s</w:t>
      </w:r>
    </w:p>
    <w:p w:rsidR="00E445A7" w:rsidRDefault="005D2855">
      <w:pPr>
        <w:pStyle w:val="Nadpis2"/>
        <w:tabs>
          <w:tab w:val="center" w:pos="1255"/>
          <w:tab w:val="center" w:pos="2575"/>
        </w:tabs>
        <w:ind w:left="0"/>
      </w:pPr>
      <w:r>
        <w:tab/>
        <w:t xml:space="preserve">440 LOUNY V </w:t>
      </w:r>
      <w:r>
        <w:tab/>
        <w:t>2669</w:t>
      </w:r>
    </w:p>
    <w:p w:rsidR="00E445A7" w:rsidRDefault="005D2855">
      <w:pPr>
        <w:spacing w:after="3" w:line="259" w:lineRule="auto"/>
        <w:ind w:left="423" w:right="34"/>
        <w:jc w:val="center"/>
      </w:pPr>
      <w:r w:rsidRPr="005D2855">
        <w:rPr>
          <w:rFonts w:ascii="Calibri" w:eastAsia="Calibri" w:hAnsi="Calibri" w:cs="Calibri"/>
          <w:sz w:val="18"/>
          <w:highlight w:val="black"/>
        </w:rPr>
        <w:t>415</w:t>
      </w:r>
      <w:r w:rsidRPr="005D2855">
        <w:rPr>
          <w:noProof/>
          <w:highlight w:val="black"/>
        </w:rPr>
        <w:drawing>
          <wp:inline distT="0" distB="0" distL="0" distR="0" wp14:anchorId="2225CC5D" wp14:editId="1F1DD66B">
            <wp:extent cx="124968" cy="70124"/>
            <wp:effectExtent l="0" t="0" r="0" b="0"/>
            <wp:docPr id="13842" name="Picture 13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" name="Picture 138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855">
        <w:rPr>
          <w:rFonts w:ascii="Calibri" w:eastAsia="Calibri" w:hAnsi="Calibri" w:cs="Calibri"/>
          <w:sz w:val="18"/>
          <w:highlight w:val="black"/>
        </w:rPr>
        <w:t xml:space="preserve"> 652 191</w:t>
      </w:r>
    </w:p>
    <w:p w:rsidR="00E445A7" w:rsidRDefault="005D2855">
      <w:pPr>
        <w:spacing w:after="3" w:line="259" w:lineRule="auto"/>
        <w:ind w:left="423" w:right="0"/>
        <w:jc w:val="center"/>
      </w:pPr>
      <w:r w:rsidRPr="005D2855">
        <w:rPr>
          <w:noProof/>
          <w:highlight w:val="black"/>
        </w:rPr>
        <w:drawing>
          <wp:inline distT="0" distB="0" distL="0" distR="0">
            <wp:extent cx="185928" cy="76222"/>
            <wp:effectExtent l="0" t="0" r="0" b="0"/>
            <wp:docPr id="13844" name="Picture 13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" name="Picture 138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855">
        <w:rPr>
          <w:rFonts w:ascii="Calibri" w:eastAsia="Calibri" w:hAnsi="Calibri" w:cs="Calibri"/>
          <w:sz w:val="18"/>
          <w:highlight w:val="black"/>
        </w:rPr>
        <w:t>201-64051218</w:t>
      </w:r>
    </w:p>
    <w:sectPr w:rsidR="00E445A7">
      <w:type w:val="continuous"/>
      <w:pgSz w:w="11904" w:h="16834"/>
      <w:pgMar w:top="1440" w:right="1819" w:bottom="1440" w:left="1152" w:header="708" w:footer="708" w:gutter="0"/>
      <w:cols w:num="2" w:space="708" w:equalWidth="0">
        <w:col w:w="4075" w:space="1829"/>
        <w:col w:w="30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838"/>
    <w:multiLevelType w:val="hybridMultilevel"/>
    <w:tmpl w:val="5E624A12"/>
    <w:lvl w:ilvl="0" w:tplc="E8E893CE">
      <w:start w:val="2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20756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E4FC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AB99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4B290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A67A8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20F84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CDB5C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40B2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633B1"/>
    <w:multiLevelType w:val="hybridMultilevel"/>
    <w:tmpl w:val="7C38E09E"/>
    <w:lvl w:ilvl="0" w:tplc="910041B6">
      <w:start w:val="2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AAE50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EACE8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4B770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2BE58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AF592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844B0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F5A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0606C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67831"/>
    <w:multiLevelType w:val="hybridMultilevel"/>
    <w:tmpl w:val="83886140"/>
    <w:lvl w:ilvl="0" w:tplc="6E66C39A">
      <w:start w:val="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01944">
      <w:start w:val="1"/>
      <w:numFmt w:val="bullet"/>
      <w:lvlText w:val="•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03A1EFE">
      <w:start w:val="1"/>
      <w:numFmt w:val="bullet"/>
      <w:lvlText w:val="▪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7DCE0B6">
      <w:start w:val="1"/>
      <w:numFmt w:val="bullet"/>
      <w:lvlText w:val="•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432DD5C">
      <w:start w:val="1"/>
      <w:numFmt w:val="bullet"/>
      <w:lvlText w:val="o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87AE672">
      <w:start w:val="1"/>
      <w:numFmt w:val="bullet"/>
      <w:lvlText w:val="▪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EDA0818">
      <w:start w:val="1"/>
      <w:numFmt w:val="bullet"/>
      <w:lvlText w:val="•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2B866E6">
      <w:start w:val="1"/>
      <w:numFmt w:val="bullet"/>
      <w:lvlText w:val="o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732FCA6">
      <w:start w:val="1"/>
      <w:numFmt w:val="bullet"/>
      <w:lvlText w:val="▪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A7"/>
    <w:rsid w:val="005D2855"/>
    <w:rsid w:val="00792CB0"/>
    <w:rsid w:val="00E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7543B-0D41-4B1D-ADC3-EC13FDE8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9" w:line="233" w:lineRule="auto"/>
      <w:ind w:left="538" w:right="486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2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91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1070</Words>
  <Characters>6314</Characters>
  <Application>Microsoft Office Word</Application>
  <DocSecurity>0</DocSecurity>
  <Lines>52</Lines>
  <Paragraphs>14</Paragraphs>
  <ScaleCrop>false</ScaleCrop>
  <Company>MUTS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KM_C224e-20180814131708</dc:title>
  <dc:subject/>
  <dc:creator>Marta Krejčí</dc:creator>
  <cp:keywords/>
  <cp:lastModifiedBy>Marta Krejčí</cp:lastModifiedBy>
  <cp:revision>3</cp:revision>
  <dcterms:created xsi:type="dcterms:W3CDTF">2018-08-15T10:37:00Z</dcterms:created>
  <dcterms:modified xsi:type="dcterms:W3CDTF">2018-08-15T10:39:00Z</dcterms:modified>
</cp:coreProperties>
</file>