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667"/>
        <w:gridCol w:w="812"/>
        <w:gridCol w:w="747"/>
        <w:gridCol w:w="642"/>
        <w:gridCol w:w="1226"/>
        <w:gridCol w:w="967"/>
        <w:gridCol w:w="967"/>
        <w:gridCol w:w="967"/>
        <w:gridCol w:w="281"/>
      </w:tblGrid>
      <w:tr w:rsidR="00F578A3" w:rsidRPr="00F578A3" w:rsidTr="00F578A3">
        <w:trPr>
          <w:trHeight w:val="360"/>
        </w:trPr>
        <w:tc>
          <w:tcPr>
            <w:tcW w:w="2643" w:type="dxa"/>
            <w:noWrap/>
            <w:hideMark/>
          </w:tcPr>
          <w:p w:rsidR="00F578A3" w:rsidRPr="00F578A3" w:rsidRDefault="00F578A3">
            <w:r w:rsidRPr="00F578A3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60960</wp:posOffset>
                  </wp:positionV>
                  <wp:extent cx="1402080" cy="327660"/>
                  <wp:effectExtent l="0" t="0" r="0" b="0"/>
                  <wp:wrapNone/>
                  <wp:docPr id="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 ROCKNET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747A0D0-2521-4342-A5BC-6381FAA5CB9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F578A3" w:rsidRPr="00F578A3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8A3" w:rsidRPr="00F578A3" w:rsidRDefault="00F578A3" w:rsidP="00F578A3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F578A3" w:rsidRPr="00F578A3" w:rsidRDefault="00F578A3"/>
        </w:tc>
        <w:tc>
          <w:tcPr>
            <w:tcW w:w="795" w:type="dxa"/>
            <w:hideMark/>
          </w:tcPr>
          <w:p w:rsidR="00F578A3" w:rsidRPr="00F578A3" w:rsidRDefault="00F578A3" w:rsidP="00F578A3"/>
        </w:tc>
        <w:tc>
          <w:tcPr>
            <w:tcW w:w="731" w:type="dxa"/>
            <w:hideMark/>
          </w:tcPr>
          <w:p w:rsidR="00F578A3" w:rsidRPr="00F578A3" w:rsidRDefault="00F578A3" w:rsidP="00F578A3"/>
        </w:tc>
        <w:tc>
          <w:tcPr>
            <w:tcW w:w="4903" w:type="dxa"/>
            <w:gridSpan w:val="6"/>
            <w:vMerge w:val="restart"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Objednávka č. 192/18_003</w:t>
            </w:r>
          </w:p>
        </w:tc>
      </w:tr>
      <w:tr w:rsidR="00F578A3" w:rsidRPr="00F578A3" w:rsidTr="00F578A3">
        <w:trPr>
          <w:trHeight w:val="270"/>
        </w:trPr>
        <w:tc>
          <w:tcPr>
            <w:tcW w:w="2643" w:type="dxa"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</w:p>
        </w:tc>
        <w:tc>
          <w:tcPr>
            <w:tcW w:w="795" w:type="dxa"/>
            <w:hideMark/>
          </w:tcPr>
          <w:p w:rsidR="00F578A3" w:rsidRPr="00F578A3" w:rsidRDefault="00F578A3" w:rsidP="00F578A3"/>
        </w:tc>
        <w:tc>
          <w:tcPr>
            <w:tcW w:w="731" w:type="dxa"/>
            <w:hideMark/>
          </w:tcPr>
          <w:p w:rsidR="00F578A3" w:rsidRPr="00F578A3" w:rsidRDefault="00F578A3" w:rsidP="00F578A3"/>
        </w:tc>
        <w:tc>
          <w:tcPr>
            <w:tcW w:w="4903" w:type="dxa"/>
            <w:gridSpan w:val="6"/>
            <w:vMerge/>
            <w:hideMark/>
          </w:tcPr>
          <w:p w:rsidR="00F578A3" w:rsidRPr="00F578A3" w:rsidRDefault="00F578A3">
            <w:pPr>
              <w:rPr>
                <w:b/>
                <w:bCs/>
              </w:rPr>
            </w:pPr>
          </w:p>
        </w:tc>
      </w:tr>
      <w:tr w:rsidR="00F578A3" w:rsidRPr="00F578A3" w:rsidTr="00F578A3">
        <w:trPr>
          <w:trHeight w:val="195"/>
        </w:trPr>
        <w:tc>
          <w:tcPr>
            <w:tcW w:w="2643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795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731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628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1119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959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959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959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  <w:tc>
          <w:tcPr>
            <w:tcW w:w="279" w:type="dxa"/>
            <w:hideMark/>
          </w:tcPr>
          <w:p w:rsidR="00F578A3" w:rsidRPr="00F578A3" w:rsidRDefault="00F578A3" w:rsidP="00F578A3">
            <w:r w:rsidRPr="00F578A3">
              <w:t> </w:t>
            </w:r>
          </w:p>
        </w:tc>
      </w:tr>
      <w:tr w:rsidR="00F578A3" w:rsidRPr="00F578A3" w:rsidTr="00F578A3">
        <w:trPr>
          <w:trHeight w:val="360"/>
        </w:trPr>
        <w:tc>
          <w:tcPr>
            <w:tcW w:w="2643" w:type="dxa"/>
            <w:noWrap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</w:p>
        </w:tc>
        <w:tc>
          <w:tcPr>
            <w:tcW w:w="795" w:type="dxa"/>
            <w:noWrap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</w:p>
        </w:tc>
        <w:tc>
          <w:tcPr>
            <w:tcW w:w="731" w:type="dxa"/>
            <w:noWrap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</w:p>
        </w:tc>
        <w:tc>
          <w:tcPr>
            <w:tcW w:w="628" w:type="dxa"/>
            <w:noWrap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</w:p>
        </w:tc>
        <w:tc>
          <w:tcPr>
            <w:tcW w:w="207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Datum vystavení:</w:t>
            </w:r>
          </w:p>
        </w:tc>
        <w:tc>
          <w:tcPr>
            <w:tcW w:w="2197" w:type="dxa"/>
            <w:gridSpan w:val="3"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  <w:proofErr w:type="gramStart"/>
            <w:r w:rsidRPr="00F578A3">
              <w:rPr>
                <w:b/>
                <w:bCs/>
              </w:rPr>
              <w:t>20.7.2018</w:t>
            </w:r>
            <w:proofErr w:type="gramEnd"/>
          </w:p>
        </w:tc>
      </w:tr>
      <w:tr w:rsidR="00F578A3" w:rsidRPr="00F578A3" w:rsidTr="00F578A3">
        <w:trPr>
          <w:trHeight w:val="270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Objednatel: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207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Termín plnění:</w:t>
            </w:r>
          </w:p>
        </w:tc>
        <w:tc>
          <w:tcPr>
            <w:tcW w:w="2197" w:type="dxa"/>
            <w:gridSpan w:val="3"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dle domluvy</w:t>
            </w:r>
          </w:p>
        </w:tc>
      </w:tr>
      <w:tr w:rsidR="00F578A3" w:rsidRPr="00F578A3" w:rsidTr="00F578A3">
        <w:trPr>
          <w:trHeight w:val="288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ROCKNET s.r.o.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300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r w:rsidRPr="00F578A3">
              <w:t>Červený Hrádek 10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Dodavatel:</w:t>
            </w:r>
          </w:p>
        </w:tc>
        <w:tc>
          <w:tcPr>
            <w:tcW w:w="959" w:type="dxa"/>
            <w:noWrap/>
            <w:hideMark/>
          </w:tcPr>
          <w:p w:rsidR="00F578A3" w:rsidRPr="00F578A3" w:rsidRDefault="00F578A3">
            <w:r w:rsidRPr="00F578A3">
              <w:t> </w:t>
            </w:r>
          </w:p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r w:rsidRPr="00F578A3">
              <w:t>431 11 Jirkov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4275" w:type="dxa"/>
            <w:gridSpan w:val="5"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Správa lázeňských parků, příspěvková organizace</w:t>
            </w:r>
          </w:p>
        </w:tc>
      </w:tr>
      <w:tr w:rsidR="00F578A3" w:rsidRPr="00F578A3" w:rsidTr="00F578A3">
        <w:trPr>
          <w:trHeight w:val="288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r w:rsidRPr="00F578A3">
              <w:t>Česká republika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4275" w:type="dxa"/>
            <w:gridSpan w:val="5"/>
            <w:noWrap/>
            <w:hideMark/>
          </w:tcPr>
          <w:p w:rsidR="00F578A3" w:rsidRPr="00F578A3" w:rsidRDefault="00F578A3">
            <w:r w:rsidRPr="00F578A3">
              <w:t xml:space="preserve">U </w:t>
            </w:r>
            <w:proofErr w:type="spellStart"/>
            <w:r w:rsidRPr="00F578A3">
              <w:t>Solivárny</w:t>
            </w:r>
            <w:proofErr w:type="spellEnd"/>
            <w:r w:rsidRPr="00F578A3">
              <w:t xml:space="preserve"> 2004/2</w:t>
            </w:r>
          </w:p>
        </w:tc>
      </w:tr>
      <w:tr w:rsidR="00F578A3" w:rsidRPr="00F578A3" w:rsidTr="00F578A3">
        <w:trPr>
          <w:trHeight w:val="288"/>
        </w:trPr>
        <w:tc>
          <w:tcPr>
            <w:tcW w:w="4169" w:type="dxa"/>
            <w:gridSpan w:val="3"/>
            <w:noWrap/>
            <w:hideMark/>
          </w:tcPr>
          <w:p w:rsidR="00F578A3" w:rsidRPr="00F578A3" w:rsidRDefault="00F578A3">
            <w:r w:rsidRPr="00F578A3">
              <w:t xml:space="preserve">IČ </w:t>
            </w:r>
            <w:proofErr w:type="gramStart"/>
            <w:r w:rsidRPr="00F578A3">
              <w:t>27357694  DIČ</w:t>
            </w:r>
            <w:proofErr w:type="gramEnd"/>
            <w:r w:rsidRPr="00F578A3">
              <w:t xml:space="preserve"> CZ27357694</w:t>
            </w:r>
          </w:p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4275" w:type="dxa"/>
            <w:gridSpan w:val="5"/>
            <w:noWrap/>
            <w:hideMark/>
          </w:tcPr>
          <w:p w:rsidR="00F578A3" w:rsidRPr="00F578A3" w:rsidRDefault="00F578A3">
            <w:r w:rsidRPr="00F578A3">
              <w:t>360 01 Karlovy Vary</w:t>
            </w:r>
          </w:p>
        </w:tc>
      </w:tr>
      <w:tr w:rsidR="00F578A3" w:rsidRPr="00F578A3" w:rsidTr="00F578A3">
        <w:trPr>
          <w:trHeight w:val="285"/>
        </w:trPr>
        <w:tc>
          <w:tcPr>
            <w:tcW w:w="2643" w:type="dxa"/>
            <w:noWrap/>
            <w:hideMark/>
          </w:tcPr>
          <w:p w:rsidR="00F578A3" w:rsidRPr="00F578A3" w:rsidRDefault="00F578A3">
            <w:pPr>
              <w:rPr>
                <w:i/>
                <w:iCs/>
              </w:rPr>
            </w:pPr>
          </w:p>
        </w:tc>
        <w:tc>
          <w:tcPr>
            <w:tcW w:w="795" w:type="dxa"/>
            <w:noWrap/>
            <w:hideMark/>
          </w:tcPr>
          <w:p w:rsidR="00F578A3" w:rsidRPr="00F578A3" w:rsidRDefault="00F578A3"/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IČ</w:t>
            </w:r>
          </w:p>
        </w:tc>
        <w:tc>
          <w:tcPr>
            <w:tcW w:w="3156" w:type="dxa"/>
            <w:gridSpan w:val="4"/>
            <w:noWrap/>
            <w:hideMark/>
          </w:tcPr>
          <w:p w:rsidR="00F578A3" w:rsidRPr="00F578A3" w:rsidRDefault="00F578A3">
            <w:r w:rsidRPr="00F578A3">
              <w:t>871982</w:t>
            </w:r>
          </w:p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>
            <w:r w:rsidRPr="00F578A3">
              <w:t>Vyřizuje:</w:t>
            </w:r>
          </w:p>
        </w:tc>
        <w:tc>
          <w:tcPr>
            <w:tcW w:w="2154" w:type="dxa"/>
            <w:gridSpan w:val="3"/>
            <w:noWrap/>
            <w:hideMark/>
          </w:tcPr>
          <w:p w:rsidR="00F578A3" w:rsidRPr="00F578A3" w:rsidRDefault="00F578A3">
            <w:proofErr w:type="spellStart"/>
            <w:r w:rsidRPr="00F578A3">
              <w:t>Inna</w:t>
            </w:r>
            <w:proofErr w:type="spellEnd"/>
            <w:r w:rsidRPr="00F578A3">
              <w:t xml:space="preserve"> </w:t>
            </w:r>
            <w:proofErr w:type="spellStart"/>
            <w:r w:rsidRPr="00F578A3">
              <w:t>Lisničuková</w:t>
            </w:r>
            <w:proofErr w:type="spellEnd"/>
            <w:r w:rsidRPr="00F578A3">
              <w:t xml:space="preserve">, </w:t>
            </w:r>
            <w:proofErr w:type="spellStart"/>
            <w:r w:rsidRPr="00F578A3">
              <w:t>DiS</w:t>
            </w:r>
            <w:proofErr w:type="spellEnd"/>
            <w:r w:rsidRPr="00F578A3">
              <w:t>.</w:t>
            </w:r>
          </w:p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 </w:t>
            </w:r>
          </w:p>
        </w:tc>
        <w:tc>
          <w:tcPr>
            <w:tcW w:w="3156" w:type="dxa"/>
            <w:gridSpan w:val="4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>
            <w:r w:rsidRPr="00F578A3">
              <w:t>Mobil:</w:t>
            </w:r>
          </w:p>
        </w:tc>
        <w:tc>
          <w:tcPr>
            <w:tcW w:w="2154" w:type="dxa"/>
            <w:gridSpan w:val="3"/>
            <w:noWrap/>
            <w:hideMark/>
          </w:tcPr>
          <w:p w:rsidR="00F578A3" w:rsidRPr="00F578A3" w:rsidRDefault="00F578A3">
            <w:r w:rsidRPr="00F578A3">
              <w:t>420 778 772 651</w:t>
            </w:r>
          </w:p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 </w:t>
            </w:r>
          </w:p>
        </w:tc>
        <w:tc>
          <w:tcPr>
            <w:tcW w:w="3156" w:type="dxa"/>
            <w:gridSpan w:val="4"/>
            <w:noWrap/>
            <w:hideMark/>
          </w:tcPr>
          <w:p w:rsidR="00F578A3" w:rsidRPr="00F578A3" w:rsidRDefault="00F578A3" w:rsidP="00F578A3"/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>
            <w:r w:rsidRPr="00F578A3">
              <w:t>Tel:</w:t>
            </w:r>
          </w:p>
        </w:tc>
        <w:tc>
          <w:tcPr>
            <w:tcW w:w="1526" w:type="dxa"/>
            <w:gridSpan w:val="2"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Vyřizuje:</w:t>
            </w:r>
          </w:p>
        </w:tc>
        <w:tc>
          <w:tcPr>
            <w:tcW w:w="3156" w:type="dxa"/>
            <w:gridSpan w:val="4"/>
            <w:noWrap/>
            <w:hideMark/>
          </w:tcPr>
          <w:p w:rsidR="00F578A3" w:rsidRPr="00F578A3" w:rsidRDefault="00F578A3">
            <w:r w:rsidRPr="00F578A3">
              <w:t xml:space="preserve">Jitka </w:t>
            </w:r>
            <w:proofErr w:type="spellStart"/>
            <w:r w:rsidRPr="00F578A3">
              <w:t>Debnárová</w:t>
            </w:r>
            <w:proofErr w:type="spellEnd"/>
          </w:p>
        </w:tc>
      </w:tr>
      <w:tr w:rsidR="00F578A3" w:rsidRPr="00F578A3" w:rsidTr="00F578A3">
        <w:trPr>
          <w:trHeight w:val="315"/>
        </w:trPr>
        <w:tc>
          <w:tcPr>
            <w:tcW w:w="2643" w:type="dxa"/>
            <w:noWrap/>
            <w:hideMark/>
          </w:tcPr>
          <w:p w:rsidR="00F578A3" w:rsidRPr="00F578A3" w:rsidRDefault="00F578A3">
            <w:r w:rsidRPr="00F578A3">
              <w:t>Email:</w:t>
            </w:r>
          </w:p>
        </w:tc>
        <w:tc>
          <w:tcPr>
            <w:tcW w:w="2154" w:type="dxa"/>
            <w:gridSpan w:val="3"/>
            <w:hideMark/>
          </w:tcPr>
          <w:p w:rsidR="00F578A3" w:rsidRPr="00F578A3" w:rsidRDefault="00F578A3">
            <w:pPr>
              <w:rPr>
                <w:u w:val="single"/>
              </w:rPr>
            </w:pPr>
            <w:hyperlink r:id="rId5" w:history="1">
              <w:r w:rsidRPr="00F578A3">
                <w:rPr>
                  <w:rStyle w:val="Hypertextovodkaz"/>
                </w:rPr>
                <w:t>fakturace@rocknet.cz</w:t>
              </w:r>
            </w:hyperlink>
          </w:p>
        </w:tc>
        <w:tc>
          <w:tcPr>
            <w:tcW w:w="1119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Email:</w:t>
            </w:r>
          </w:p>
        </w:tc>
        <w:tc>
          <w:tcPr>
            <w:tcW w:w="3156" w:type="dxa"/>
            <w:gridSpan w:val="4"/>
            <w:noWrap/>
            <w:hideMark/>
          </w:tcPr>
          <w:p w:rsidR="00F578A3" w:rsidRPr="00F578A3" w:rsidRDefault="00F578A3">
            <w:pPr>
              <w:rPr>
                <w:u w:val="single"/>
              </w:rPr>
            </w:pPr>
            <w:hyperlink r:id="rId6" w:history="1">
              <w:r w:rsidRPr="00F578A3">
                <w:rPr>
                  <w:rStyle w:val="Hypertextovodkaz"/>
                </w:rPr>
                <w:t xml:space="preserve">j.debnarova@slpkv.cz </w:t>
              </w:r>
            </w:hyperlink>
          </w:p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Zakázka (stavba):</w:t>
            </w:r>
          </w:p>
        </w:tc>
        <w:tc>
          <w:tcPr>
            <w:tcW w:w="795" w:type="dxa"/>
            <w:noWrap/>
            <w:hideMark/>
          </w:tcPr>
          <w:p w:rsidR="00F578A3" w:rsidRPr="00F578A3" w:rsidRDefault="00F578A3">
            <w:r w:rsidRPr="00F578A3">
              <w:t> </w:t>
            </w:r>
          </w:p>
        </w:tc>
        <w:tc>
          <w:tcPr>
            <w:tcW w:w="5634" w:type="dxa"/>
            <w:gridSpan w:val="7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18/003</w:t>
            </w:r>
          </w:p>
        </w:tc>
      </w:tr>
      <w:tr w:rsidR="00F578A3" w:rsidRPr="00F578A3" w:rsidTr="00F578A3">
        <w:trPr>
          <w:trHeight w:val="300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Zástupce stavby:</w:t>
            </w:r>
          </w:p>
        </w:tc>
        <w:tc>
          <w:tcPr>
            <w:tcW w:w="5634" w:type="dxa"/>
            <w:gridSpan w:val="7"/>
            <w:hideMark/>
          </w:tcPr>
          <w:p w:rsidR="00F578A3" w:rsidRPr="00F578A3" w:rsidRDefault="00F578A3">
            <w:r w:rsidRPr="00F578A3">
              <w:t>Ing. Petr Bursík, tel.: 776 094 510</w:t>
            </w:r>
          </w:p>
        </w:tc>
      </w:tr>
      <w:tr w:rsidR="00F578A3" w:rsidRPr="00F578A3" w:rsidTr="00F578A3">
        <w:trPr>
          <w:trHeight w:val="288"/>
        </w:trPr>
        <w:tc>
          <w:tcPr>
            <w:tcW w:w="3438" w:type="dxa"/>
            <w:gridSpan w:val="2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Předmět plnění:</w:t>
            </w:r>
          </w:p>
        </w:tc>
        <w:tc>
          <w:tcPr>
            <w:tcW w:w="5634" w:type="dxa"/>
            <w:gridSpan w:val="7"/>
            <w:hideMark/>
          </w:tcPr>
          <w:p w:rsidR="00F578A3" w:rsidRPr="00F578A3" w:rsidRDefault="00F578A3">
            <w:r w:rsidRPr="00F578A3">
              <w:t> </w:t>
            </w:r>
          </w:p>
        </w:tc>
      </w:tr>
      <w:tr w:rsidR="00F578A3" w:rsidRPr="00F578A3" w:rsidTr="00F578A3">
        <w:trPr>
          <w:trHeight w:val="288"/>
        </w:trPr>
        <w:tc>
          <w:tcPr>
            <w:tcW w:w="4797" w:type="dxa"/>
            <w:gridSpan w:val="4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Místo plnění a způsob dodání/předání:</w:t>
            </w:r>
          </w:p>
        </w:tc>
        <w:tc>
          <w:tcPr>
            <w:tcW w:w="4275" w:type="dxa"/>
            <w:gridSpan w:val="5"/>
            <w:hideMark/>
          </w:tcPr>
          <w:p w:rsidR="00F578A3" w:rsidRPr="00F578A3" w:rsidRDefault="00F578A3">
            <w:r w:rsidRPr="00F578A3">
              <w:t> </w:t>
            </w:r>
          </w:p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Specifikace zboží/prací/služeb:</w:t>
            </w:r>
          </w:p>
        </w:tc>
        <w:tc>
          <w:tcPr>
            <w:tcW w:w="795" w:type="dxa"/>
            <w:noWrap/>
            <w:hideMark/>
          </w:tcPr>
          <w:p w:rsidR="00F578A3" w:rsidRPr="00F578A3" w:rsidRDefault="00F578A3">
            <w:r w:rsidRPr="00F578A3">
              <w:t> </w:t>
            </w:r>
          </w:p>
        </w:tc>
        <w:tc>
          <w:tcPr>
            <w:tcW w:w="731" w:type="dxa"/>
            <w:noWrap/>
            <w:hideMark/>
          </w:tcPr>
          <w:p w:rsidR="00F578A3" w:rsidRPr="00F578A3" w:rsidRDefault="00F578A3">
            <w:r w:rsidRPr="00F578A3">
              <w:t> </w:t>
            </w:r>
          </w:p>
        </w:tc>
        <w:tc>
          <w:tcPr>
            <w:tcW w:w="628" w:type="dxa"/>
            <w:noWrap/>
            <w:hideMark/>
          </w:tcPr>
          <w:p w:rsidR="00F578A3" w:rsidRPr="00F578A3" w:rsidRDefault="00F578A3">
            <w:r w:rsidRPr="00F578A3">
              <w:t> </w:t>
            </w:r>
          </w:p>
        </w:tc>
        <w:tc>
          <w:tcPr>
            <w:tcW w:w="4275" w:type="dxa"/>
            <w:gridSpan w:val="5"/>
            <w:noWrap/>
            <w:hideMark/>
          </w:tcPr>
          <w:p w:rsidR="00F578A3" w:rsidRPr="00F578A3" w:rsidRDefault="00F578A3">
            <w:r w:rsidRPr="00F578A3">
              <w:t>úprava povrchů</w:t>
            </w:r>
          </w:p>
        </w:tc>
      </w:tr>
      <w:tr w:rsidR="00F578A3" w:rsidRPr="00F578A3" w:rsidTr="00F578A3">
        <w:trPr>
          <w:trHeight w:val="300"/>
        </w:trPr>
        <w:tc>
          <w:tcPr>
            <w:tcW w:w="9072" w:type="dxa"/>
            <w:gridSpan w:val="9"/>
            <w:vMerge w:val="restart"/>
            <w:hideMark/>
          </w:tcPr>
          <w:p w:rsidR="00F578A3" w:rsidRPr="00F578A3" w:rsidRDefault="00F578A3" w:rsidP="00F578A3">
            <w:pPr>
              <w:rPr>
                <w:b/>
                <w:bCs/>
              </w:rPr>
            </w:pPr>
            <w:r w:rsidRPr="00F578A3">
              <w:rPr>
                <w:b/>
                <w:bCs/>
              </w:rPr>
              <w:t>Objednáváme u Vás úpravu povrchu a ozelenění travnaté plochy (údržba). Předem domluvená cena: 30.000,-Kč.</w:t>
            </w:r>
          </w:p>
        </w:tc>
      </w:tr>
      <w:tr w:rsidR="00F578A3" w:rsidRPr="00F578A3" w:rsidTr="00F578A3">
        <w:trPr>
          <w:trHeight w:val="300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>
            <w:pPr>
              <w:rPr>
                <w:b/>
                <w:bCs/>
              </w:rPr>
            </w:pPr>
          </w:p>
        </w:tc>
      </w:tr>
      <w:tr w:rsidR="00F578A3" w:rsidRPr="00F578A3" w:rsidTr="00F578A3">
        <w:trPr>
          <w:trHeight w:val="300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>
            <w:pPr>
              <w:rPr>
                <w:b/>
                <w:bCs/>
              </w:rPr>
            </w:pPr>
          </w:p>
        </w:tc>
      </w:tr>
      <w:tr w:rsidR="00F578A3" w:rsidRPr="00F578A3" w:rsidTr="00F578A3">
        <w:trPr>
          <w:trHeight w:val="300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>
            <w:pPr>
              <w:rPr>
                <w:b/>
                <w:bCs/>
              </w:rPr>
            </w:pPr>
          </w:p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>
            <w:pPr>
              <w:rPr>
                <w:b/>
                <w:bCs/>
              </w:rPr>
            </w:pPr>
          </w:p>
        </w:tc>
      </w:tr>
      <w:tr w:rsidR="00F578A3" w:rsidRPr="00F578A3" w:rsidTr="00F578A3">
        <w:trPr>
          <w:trHeight w:val="300"/>
        </w:trPr>
        <w:tc>
          <w:tcPr>
            <w:tcW w:w="9072" w:type="dxa"/>
            <w:gridSpan w:val="9"/>
            <w:vMerge w:val="restart"/>
            <w:hideMark/>
          </w:tcPr>
          <w:p w:rsidR="00F578A3" w:rsidRPr="00F578A3" w:rsidRDefault="00F578A3">
            <w:r w:rsidRPr="00F578A3">
              <w:rPr>
                <w:b/>
                <w:bCs/>
                <w:u w:val="single"/>
              </w:rPr>
              <w:t>Fakturace a platební podmínky</w:t>
            </w:r>
            <w:r w:rsidRPr="00F578A3">
              <w:rPr>
                <w:b/>
                <w:bCs/>
              </w:rPr>
              <w:t>: Faktura</w:t>
            </w:r>
            <w:r w:rsidRPr="00F578A3">
              <w:t xml:space="preserve"> bude zaslána poštou na doručovací adresu příjemce plnění ve dvojím vyhotovení. Faktura </w:t>
            </w:r>
            <w:r w:rsidRPr="00F578A3">
              <w:rPr>
                <w:b/>
                <w:bCs/>
              </w:rPr>
              <w:t>musí obsahovat náležitosti obchodní listiny dle občanského zákoníku a náležitosti daňového dokladu dle zákona o dani z přidané hodnoty. Dále musí obsahovat číslo této objednávky a její kopii, číslo související smlouvy (pokud byla uzavřena), podepsaný dodací list, odsouhlasený soupis provedených prací nebo protokol o předání díla, záznam o provozu vozidla atd.</w:t>
            </w:r>
            <w:r w:rsidRPr="00F578A3">
              <w:t xml:space="preserve"> </w:t>
            </w:r>
            <w:r w:rsidRPr="00F578A3">
              <w:rPr>
                <w:b/>
                <w:bCs/>
              </w:rPr>
              <w:t xml:space="preserve">Bez těchto náležitostí bude neuhrazená faktura vrácena poskytovateli plnění k opravě nebo doplnění. Splatnost faktury </w:t>
            </w:r>
            <w:r w:rsidRPr="00F578A3">
              <w:t xml:space="preserve">je stanovena v délce 30 </w:t>
            </w:r>
            <w:r w:rsidRPr="00F578A3">
              <w:rPr>
                <w:b/>
                <w:bCs/>
                <w:u w:val="single"/>
              </w:rPr>
              <w:t>dní</w:t>
            </w:r>
            <w:r w:rsidRPr="00F578A3">
              <w:rPr>
                <w:b/>
                <w:bCs/>
              </w:rPr>
              <w:t xml:space="preserve"> od doručení faktury, </w:t>
            </w:r>
            <w:r w:rsidRPr="00F578A3">
              <w:t xml:space="preserve">obsahující všechny správně výše uvedené náležitosti příjemci plnění. Datum uskutečnitelného zdanitelného plnění je datum podpisu objednatele na přejímacím dokumentu potvrzujícím převzetí zboží, prací nebo </w:t>
            </w:r>
            <w:proofErr w:type="gramStart"/>
            <w:r w:rsidRPr="00F578A3">
              <w:t>služeb  objednatelem</w:t>
            </w:r>
            <w:proofErr w:type="gramEnd"/>
            <w:r w:rsidRPr="00F578A3"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78A3">
              <w:rPr>
                <w:b/>
                <w:bCs/>
                <w:u w:val="single"/>
              </w:rPr>
              <w:t>BOZP a PO</w:t>
            </w:r>
            <w:r w:rsidRPr="00F578A3">
              <w:t>: Za</w:t>
            </w:r>
            <w:r w:rsidRPr="00F578A3">
              <w:rPr>
                <w:b/>
                <w:bCs/>
              </w:rPr>
              <w:t xml:space="preserve"> BOZP a PO</w:t>
            </w:r>
            <w:r w:rsidRPr="00F578A3">
              <w:t xml:space="preserve"> při provádění prací/služeb odpovídá poskytovatel. Poskytovatel stvrzuje, že zaměstnanci pracující na předmětném díle mají příslušnou kvalifikaci a prokazatelné platné veškeré školení k provádění činnosti, používané stroje a zařízení splňují platnou legislativu. Za pracovní úrazy zaměstnanců poskytovatele odpovídá poskytovatel.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78A3">
              <w:rPr>
                <w:b/>
                <w:bCs/>
                <w:u w:val="single"/>
              </w:rPr>
              <w:t>Další ujednání</w:t>
            </w:r>
            <w:r w:rsidRPr="00F578A3">
              <w:rPr>
                <w:b/>
                <w:bCs/>
              </w:rPr>
              <w:t xml:space="preserve">: </w:t>
            </w:r>
            <w:r w:rsidRPr="00F578A3">
              <w:t xml:space="preserve">Poskytovatel plnění nese po celou dobu provádění až do doby dodávky/předání předmětu plnění nebezpečí škody na věci. Poskytovatel plnění je povinen předmět pojistit na celou dobu jeho provádění. Poskytovatel plnění převzetím této objednávky a svým podpisem </w:t>
            </w:r>
            <w:proofErr w:type="spellStart"/>
            <w:r w:rsidRPr="00F578A3">
              <w:t>strvzuje</w:t>
            </w:r>
            <w:proofErr w:type="spellEnd"/>
            <w:r w:rsidRPr="00F578A3">
              <w:t xml:space="preserve">, že souhlasí se všemi podmínkami uvedenými v této objednávce a zavazuje se podle ní poskytnout plnění. Podpisem této objednávky oběma smluvními stranami dochází k uzavření smlouvy, jejímž předmětem je závazek poskytovatele plnění k řádnému poskytování shora specifikovaného plnění a </w:t>
            </w:r>
            <w:r w:rsidRPr="00F578A3">
              <w:lastRenderedPageBreak/>
              <w:t xml:space="preserve">závazek příjemce plnění k jeho převzetí a úhradě výše uvedené úplaty.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78A3">
              <w:rPr>
                <w:b/>
                <w:bCs/>
                <w:u w:val="single"/>
              </w:rPr>
              <w:t>Závěrečná ujednání</w:t>
            </w:r>
            <w:r w:rsidRPr="00F578A3">
              <w:rPr>
                <w:b/>
                <w:bCs/>
              </w:rPr>
              <w:t>:</w:t>
            </w:r>
            <w:r w:rsidRPr="00F578A3">
              <w:t xml:space="preserve"> Tato objednávka </w:t>
            </w:r>
            <w:proofErr w:type="spellStart"/>
            <w:r w:rsidRPr="00F578A3">
              <w:t>nabýva</w:t>
            </w:r>
            <w:proofErr w:type="spellEnd"/>
            <w:r w:rsidRPr="00F578A3">
              <w:t xml:space="preserve"> platnosti a účinnosti její akceptací tj. jejím podpisem ze strany poskytovatele plnění a zpětným doručením příjemci plnění na doručovací adresu. Do té doby není příjemce plnění touto objednávkou vázán. Odpověď s dodatkem nebo odchylkou se dle §1740 odst. 3 občanského zákoníku vylučuje. Nepřipouští se uzavření smluvního vztahu, odkazující na obchodní podmínky, které si podle §1751 odst. 2 občanského </w:t>
            </w:r>
            <w:proofErr w:type="spellStart"/>
            <w:r w:rsidRPr="00F578A3">
              <w:t>zákoníkuvzájemně</w:t>
            </w:r>
            <w:proofErr w:type="spellEnd"/>
            <w:r w:rsidRPr="00F578A3">
              <w:t xml:space="preserve"> odporují. V souladu s §1758 občanského zákoníku se dále nepřipouští uzavření smluvního vztahu a jeho změny či doplnění v jiné než písemné formě. Vzhledem k tomu se nepoužije §1757 občanského zákoníku. Vylučuje se rovněž použití obchodních zvyklostí v rámci celého procesu jednání o smluvním vztahu, s čímž adresát zahájením jednání souhlasí. Práva a povinnosti smluvních stran v této objednávce neupravená se řídí příslušnými ustanoveními občanského zákoníku.</w:t>
            </w:r>
          </w:p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555"/>
        </w:trPr>
        <w:tc>
          <w:tcPr>
            <w:tcW w:w="9072" w:type="dxa"/>
            <w:gridSpan w:val="9"/>
            <w:vMerge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300"/>
        </w:trPr>
        <w:tc>
          <w:tcPr>
            <w:tcW w:w="4169" w:type="dxa"/>
            <w:gridSpan w:val="3"/>
            <w:hideMark/>
          </w:tcPr>
          <w:p w:rsidR="00F578A3" w:rsidRPr="00F578A3" w:rsidRDefault="00F578A3">
            <w:r w:rsidRPr="00F578A3">
              <w:lastRenderedPageBreak/>
              <w:t xml:space="preserve">V Jirkově dne </w:t>
            </w:r>
            <w:proofErr w:type="gramStart"/>
            <w:r w:rsidRPr="00F578A3">
              <w:t>20.07.2018</w:t>
            </w:r>
            <w:proofErr w:type="gramEnd"/>
          </w:p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>
            <w:r w:rsidRPr="00F578A3">
              <w:t>V</w:t>
            </w:r>
          </w:p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>
            <w:r w:rsidRPr="00F578A3">
              <w:t>dne</w:t>
            </w:r>
          </w:p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300"/>
        </w:trPr>
        <w:tc>
          <w:tcPr>
            <w:tcW w:w="2643" w:type="dxa"/>
            <w:hideMark/>
          </w:tcPr>
          <w:p w:rsidR="00F578A3" w:rsidRPr="00F578A3" w:rsidRDefault="00F578A3"/>
        </w:tc>
        <w:tc>
          <w:tcPr>
            <w:tcW w:w="795" w:type="dxa"/>
            <w:hideMark/>
          </w:tcPr>
          <w:p w:rsidR="00F578A3" w:rsidRPr="00F578A3" w:rsidRDefault="00F578A3"/>
        </w:tc>
        <w:tc>
          <w:tcPr>
            <w:tcW w:w="731" w:type="dxa"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/>
        </w:tc>
        <w:tc>
          <w:tcPr>
            <w:tcW w:w="795" w:type="dxa"/>
            <w:noWrap/>
            <w:hideMark/>
          </w:tcPr>
          <w:p w:rsidR="00F578A3" w:rsidRPr="00F578A3" w:rsidRDefault="00F578A3"/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/>
        </w:tc>
        <w:tc>
          <w:tcPr>
            <w:tcW w:w="795" w:type="dxa"/>
            <w:noWrap/>
            <w:hideMark/>
          </w:tcPr>
          <w:p w:rsidR="00F578A3" w:rsidRPr="00F578A3" w:rsidRDefault="00F578A3"/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8"/>
        </w:trPr>
        <w:tc>
          <w:tcPr>
            <w:tcW w:w="2643" w:type="dxa"/>
            <w:noWrap/>
            <w:hideMark/>
          </w:tcPr>
          <w:p w:rsidR="00F578A3" w:rsidRPr="00F578A3" w:rsidRDefault="00F578A3"/>
        </w:tc>
        <w:tc>
          <w:tcPr>
            <w:tcW w:w="795" w:type="dxa"/>
            <w:noWrap/>
            <w:hideMark/>
          </w:tcPr>
          <w:p w:rsidR="00F578A3" w:rsidRPr="00F578A3" w:rsidRDefault="00F578A3"/>
        </w:tc>
        <w:tc>
          <w:tcPr>
            <w:tcW w:w="731" w:type="dxa"/>
            <w:noWrap/>
            <w:hideMark/>
          </w:tcPr>
          <w:p w:rsidR="00F578A3" w:rsidRPr="00F578A3" w:rsidRDefault="00F578A3"/>
        </w:tc>
        <w:tc>
          <w:tcPr>
            <w:tcW w:w="628" w:type="dxa"/>
            <w:noWrap/>
            <w:hideMark/>
          </w:tcPr>
          <w:p w:rsidR="00F578A3" w:rsidRPr="00F578A3" w:rsidRDefault="00F578A3"/>
        </w:tc>
        <w:tc>
          <w:tcPr>
            <w:tcW w:w="111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959" w:type="dxa"/>
            <w:noWrap/>
            <w:hideMark/>
          </w:tcPr>
          <w:p w:rsidR="00F578A3" w:rsidRPr="00F578A3" w:rsidRDefault="00F578A3"/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300"/>
        </w:trPr>
        <w:tc>
          <w:tcPr>
            <w:tcW w:w="4797" w:type="dxa"/>
            <w:gridSpan w:val="4"/>
            <w:noWrap/>
            <w:hideMark/>
          </w:tcPr>
          <w:p w:rsidR="00F578A3" w:rsidRPr="00F578A3" w:rsidRDefault="00F578A3">
            <w:r w:rsidRPr="00F578A3">
              <w:t>Datum, razítko a podpis příjemce plnění</w:t>
            </w:r>
          </w:p>
        </w:tc>
        <w:tc>
          <w:tcPr>
            <w:tcW w:w="3996" w:type="dxa"/>
            <w:gridSpan w:val="4"/>
            <w:noWrap/>
            <w:hideMark/>
          </w:tcPr>
          <w:p w:rsidR="00F578A3" w:rsidRPr="00F578A3" w:rsidRDefault="00F578A3">
            <w:r w:rsidRPr="00F578A3">
              <w:t>Datum, razítko a podpis poskytovatele plnění</w:t>
            </w:r>
          </w:p>
        </w:tc>
        <w:tc>
          <w:tcPr>
            <w:tcW w:w="279" w:type="dxa"/>
            <w:noWrap/>
            <w:hideMark/>
          </w:tcPr>
          <w:p w:rsidR="00F578A3" w:rsidRPr="00F578A3" w:rsidRDefault="00F578A3"/>
        </w:tc>
      </w:tr>
      <w:tr w:rsidR="00F578A3" w:rsidRPr="00F578A3" w:rsidTr="00F578A3">
        <w:trPr>
          <w:trHeight w:val="285"/>
        </w:trPr>
        <w:tc>
          <w:tcPr>
            <w:tcW w:w="9072" w:type="dxa"/>
            <w:gridSpan w:val="9"/>
            <w:noWrap/>
            <w:hideMark/>
          </w:tcPr>
          <w:p w:rsidR="00F578A3" w:rsidRPr="00F578A3" w:rsidRDefault="00F578A3">
            <w:r w:rsidRPr="00F578A3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4340" cy="236220"/>
                  <wp:effectExtent l="0" t="0" r="0" b="0"/>
                  <wp:wrapNone/>
                  <wp:docPr id="5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tuv_big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3779C60-191F-4352-B796-BD73DE02BFD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F578A3" w:rsidRPr="00F578A3">
              <w:trPr>
                <w:trHeight w:val="285"/>
                <w:tblCellSpacing w:w="0" w:type="dxa"/>
              </w:trPr>
              <w:tc>
                <w:tcPr>
                  <w:tcW w:w="9060" w:type="dxa"/>
                  <w:tcBorders>
                    <w:top w:val="single" w:sz="8" w:space="0" w:color="525252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:rsidR="00F578A3" w:rsidRPr="00F578A3" w:rsidRDefault="00F578A3" w:rsidP="00F578A3">
                  <w:r w:rsidRPr="00F578A3">
                    <w:t>Žádáme vrácení potvrzené objednávky.</w:t>
                  </w:r>
                </w:p>
              </w:tc>
            </w:tr>
          </w:tbl>
          <w:p w:rsidR="00F578A3" w:rsidRPr="00F578A3" w:rsidRDefault="00F578A3"/>
        </w:tc>
      </w:tr>
      <w:tr w:rsidR="00F578A3" w:rsidRPr="00F578A3" w:rsidTr="00F578A3">
        <w:trPr>
          <w:trHeight w:val="360"/>
        </w:trPr>
        <w:tc>
          <w:tcPr>
            <w:tcW w:w="2643" w:type="dxa"/>
            <w:noWrap/>
            <w:hideMark/>
          </w:tcPr>
          <w:p w:rsidR="00F578A3" w:rsidRPr="00F578A3" w:rsidRDefault="00F578A3"/>
        </w:tc>
        <w:tc>
          <w:tcPr>
            <w:tcW w:w="6429" w:type="dxa"/>
            <w:gridSpan w:val="8"/>
            <w:hideMark/>
          </w:tcPr>
          <w:p w:rsidR="00F578A3" w:rsidRPr="00F578A3" w:rsidRDefault="00F578A3" w:rsidP="00F578A3">
            <w:r w:rsidRPr="00F578A3">
              <w:t>společnost zapsaná v obchodním rejstříku vedeném Krajským soudem v Ústí nad Labem, oddíl C, vložka 25782</w:t>
            </w:r>
          </w:p>
        </w:tc>
      </w:tr>
    </w:tbl>
    <w:p w:rsidR="005614EA" w:rsidRDefault="005614EA"/>
    <w:sectPr w:rsidR="005614EA" w:rsidSect="005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8A3"/>
    <w:rsid w:val="005614EA"/>
    <w:rsid w:val="00F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4E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8A3"/>
    <w:rPr>
      <w:color w:val="0563C1"/>
      <w:u w:val="single"/>
    </w:rPr>
  </w:style>
  <w:style w:type="table" w:styleId="Mkatabulky">
    <w:name w:val="Table Grid"/>
    <w:basedOn w:val="Normlntabulka"/>
    <w:uiPriority w:val="59"/>
    <w:rsid w:val="00F5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debnarova@slpkv.cz" TargetMode="External"/><Relationship Id="rId5" Type="http://schemas.openxmlformats.org/officeDocument/2006/relationships/hyperlink" Target="mailto:fakturace@rockne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2018-08-15T05:26:00Z</dcterms:created>
  <dcterms:modified xsi:type="dcterms:W3CDTF">2018-08-15T05:27:00Z</dcterms:modified>
</cp:coreProperties>
</file>