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69" w:rsidRPr="004F1930" w:rsidRDefault="00D40F69" w:rsidP="00D40F69">
      <w:pPr>
        <w:pStyle w:val="Nadpis5"/>
        <w:keepNext/>
        <w:numPr>
          <w:ilvl w:val="4"/>
          <w:numId w:val="1"/>
        </w:numPr>
        <w:suppressAutoHyphens/>
        <w:spacing w:before="0" w:after="0"/>
        <w:jc w:val="center"/>
        <w:rPr>
          <w:rFonts w:ascii="Times New Roman" w:hAnsi="Times New Roman"/>
          <w:i w:val="0"/>
          <w:color w:val="404040" w:themeColor="text1" w:themeTint="BF"/>
          <w:sz w:val="32"/>
          <w:szCs w:val="32"/>
        </w:rPr>
      </w:pPr>
      <w:r w:rsidRPr="004F1930">
        <w:rPr>
          <w:rFonts w:ascii="Times New Roman" w:hAnsi="Times New Roman"/>
          <w:i w:val="0"/>
          <w:color w:val="404040" w:themeColor="text1" w:themeTint="BF"/>
          <w:sz w:val="32"/>
          <w:szCs w:val="32"/>
        </w:rPr>
        <w:t>Smlouva o dílo</w:t>
      </w:r>
    </w:p>
    <w:p w:rsidR="00D40F69" w:rsidRPr="009145D9" w:rsidRDefault="00D40F69" w:rsidP="00D40F69">
      <w:pPr>
        <w:spacing w:before="12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i/>
          <w:color w:val="404040" w:themeColor="text1" w:themeTint="BF"/>
          <w:sz w:val="24"/>
        </w:rPr>
        <w:t xml:space="preserve">uzavřená dle </w:t>
      </w:r>
      <w:proofErr w:type="spellStart"/>
      <w:r w:rsidRPr="009145D9">
        <w:rPr>
          <w:rFonts w:ascii="Times New Roman" w:hAnsi="Times New Roman"/>
          <w:i/>
          <w:color w:val="404040" w:themeColor="text1" w:themeTint="BF"/>
          <w:sz w:val="24"/>
        </w:rPr>
        <w:t>ust</w:t>
      </w:r>
      <w:proofErr w:type="spellEnd"/>
      <w:r w:rsidRPr="009145D9">
        <w:rPr>
          <w:rFonts w:ascii="Times New Roman" w:hAnsi="Times New Roman"/>
          <w:i/>
          <w:color w:val="404040" w:themeColor="text1" w:themeTint="BF"/>
          <w:sz w:val="24"/>
        </w:rPr>
        <w:t>. §2586 a násl. Občanského zák.</w:t>
      </w:r>
      <w:r w:rsidR="009145D9">
        <w:rPr>
          <w:rFonts w:ascii="Times New Roman" w:hAnsi="Times New Roman"/>
          <w:i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i/>
          <w:color w:val="404040" w:themeColor="text1" w:themeTint="BF"/>
          <w:sz w:val="24"/>
        </w:rPr>
        <w:t>č.89/2012 Sb.</w:t>
      </w:r>
    </w:p>
    <w:p w:rsidR="00D40F69" w:rsidRPr="009145D9" w:rsidRDefault="00D40F69" w:rsidP="00D40F69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D40F69" w:rsidRPr="009145D9" w:rsidRDefault="00D40F69" w:rsidP="00D40F69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AF1FB3" w:rsidRDefault="00D40F69" w:rsidP="00AF1FB3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I. </w:t>
      </w:r>
    </w:p>
    <w:p w:rsidR="00D40F69" w:rsidRPr="009145D9" w:rsidRDefault="00D40F69" w:rsidP="009145D9">
      <w:pPr>
        <w:spacing w:after="160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Smluvní strany</w:t>
      </w:r>
    </w:p>
    <w:p w:rsidR="009145D9" w:rsidRPr="009145D9" w:rsidRDefault="009145D9" w:rsidP="009145D9">
      <w:pPr>
        <w:spacing w:before="120"/>
        <w:rPr>
          <w:rFonts w:ascii="Times New Roman" w:hAnsi="Times New Roman"/>
          <w:bCs/>
          <w:color w:val="404040" w:themeColor="text1" w:themeTint="BF"/>
          <w:sz w:val="24"/>
        </w:rPr>
      </w:pPr>
      <w:r>
        <w:rPr>
          <w:rFonts w:ascii="Times New Roman" w:hAnsi="Times New Roman"/>
          <w:b/>
          <w:bCs/>
          <w:color w:val="404040" w:themeColor="text1" w:themeTint="BF"/>
          <w:sz w:val="24"/>
        </w:rPr>
        <w:t>Objednatel:</w:t>
      </w:r>
      <w:r>
        <w:rPr>
          <w:rFonts w:ascii="Times New Roman" w:hAnsi="Times New Roman"/>
          <w:b/>
          <w:bCs/>
          <w:color w:val="404040" w:themeColor="text1" w:themeTint="BF"/>
          <w:sz w:val="24"/>
        </w:rPr>
        <w:tab/>
        <w:t xml:space="preserve">     </w:t>
      </w:r>
      <w:r w:rsidRPr="009145D9">
        <w:rPr>
          <w:rFonts w:ascii="Times New Roman" w:hAnsi="Times New Roman"/>
          <w:b/>
          <w:bCs/>
          <w:sz w:val="24"/>
          <w:lang w:eastAsia="ar-SA"/>
        </w:rPr>
        <w:t>Město Kadaň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se sídlem: </w:t>
      </w:r>
      <w:r w:rsidRPr="009145D9">
        <w:rPr>
          <w:rFonts w:ascii="Times New Roman" w:hAnsi="Times New Roman"/>
          <w:bCs/>
          <w:iCs/>
          <w:sz w:val="24"/>
          <w:lang w:eastAsia="ar-SA"/>
        </w:rPr>
        <w:t>Mírové náměstí 1, 432 01 Kadaň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>IČ: 00261912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shd w:val="clear" w:color="auto" w:fill="FFFF00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>DIČ: CZ00261912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shd w:val="clear" w:color="auto" w:fill="FFFF00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bankovní spojení:  KB </w:t>
      </w:r>
      <w:proofErr w:type="spellStart"/>
      <w:r w:rsidRPr="009145D9">
        <w:rPr>
          <w:rFonts w:ascii="Times New Roman" w:hAnsi="Times New Roman"/>
          <w:sz w:val="24"/>
          <w:lang w:eastAsia="ar-SA"/>
        </w:rPr>
        <w:t>a.s</w:t>
      </w:r>
      <w:proofErr w:type="spellEnd"/>
      <w:r w:rsidRPr="009145D9">
        <w:rPr>
          <w:rFonts w:ascii="Times New Roman" w:hAnsi="Times New Roman"/>
          <w:sz w:val="24"/>
          <w:lang w:eastAsia="ar-SA"/>
        </w:rPr>
        <w:t>, Kadaň</w:t>
      </w:r>
    </w:p>
    <w:p w:rsidR="009145D9" w:rsidRPr="009145D9" w:rsidRDefault="009145D9" w:rsidP="009145D9">
      <w:pPr>
        <w:suppressAutoHyphens/>
        <w:ind w:left="1416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číslo účtu: 1725-441/0100  </w:t>
      </w:r>
    </w:p>
    <w:p w:rsidR="009145D9" w:rsidRPr="009145D9" w:rsidRDefault="009145D9" w:rsidP="009145D9">
      <w:pPr>
        <w:suppressAutoHyphens/>
        <w:spacing w:after="120"/>
        <w:ind w:left="1418" w:firstLine="285"/>
        <w:rPr>
          <w:rFonts w:ascii="Times New Roman" w:hAnsi="Times New Roman"/>
          <w:sz w:val="24"/>
          <w:lang w:eastAsia="ar-SA"/>
        </w:rPr>
      </w:pPr>
      <w:r w:rsidRPr="009145D9">
        <w:rPr>
          <w:rFonts w:ascii="Times New Roman" w:hAnsi="Times New Roman"/>
          <w:sz w:val="24"/>
          <w:lang w:eastAsia="ar-SA"/>
        </w:rPr>
        <w:t xml:space="preserve">Zastoupené: </w:t>
      </w:r>
      <w:r w:rsidRPr="009145D9">
        <w:rPr>
          <w:rFonts w:ascii="Times New Roman" w:hAnsi="Times New Roman"/>
          <w:bCs/>
          <w:sz w:val="24"/>
          <w:lang w:eastAsia="ar-SA"/>
        </w:rPr>
        <w:t>PaedDr. Jiřím Kulhánkem</w:t>
      </w:r>
    </w:p>
    <w:p w:rsidR="009145D9" w:rsidRPr="009145D9" w:rsidRDefault="009145D9" w:rsidP="009145D9">
      <w:pPr>
        <w:ind w:left="1416" w:firstLine="285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sz w:val="24"/>
          <w:lang w:eastAsia="ar-SA"/>
        </w:rPr>
        <w:t xml:space="preserve">(dále </w:t>
      </w:r>
      <w:r w:rsidRPr="009145D9">
        <w:rPr>
          <w:rFonts w:ascii="Times New Roman" w:hAnsi="Times New Roman"/>
          <w:b/>
          <w:sz w:val="24"/>
          <w:lang w:eastAsia="ar-SA"/>
        </w:rPr>
        <w:t>objednatel</w:t>
      </w:r>
      <w:r>
        <w:rPr>
          <w:rFonts w:ascii="Times New Roman" w:hAnsi="Times New Roman"/>
          <w:b/>
          <w:sz w:val="24"/>
          <w:lang w:eastAsia="ar-SA"/>
        </w:rPr>
        <w:t>)</w:t>
      </w:r>
    </w:p>
    <w:p w:rsidR="00D40F69" w:rsidRPr="009145D9" w:rsidRDefault="00D40F69" w:rsidP="00D40F69">
      <w:pPr>
        <w:spacing w:before="120"/>
        <w:ind w:left="2124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</w:t>
      </w:r>
    </w:p>
    <w:p w:rsidR="00D40F69" w:rsidRPr="009145D9" w:rsidRDefault="00D40F69" w:rsidP="00D40F69">
      <w:pPr>
        <w:ind w:left="2127"/>
        <w:rPr>
          <w:rFonts w:ascii="Times New Roman" w:hAnsi="Times New Roman"/>
          <w:color w:val="404040" w:themeColor="text1" w:themeTint="BF"/>
          <w:sz w:val="24"/>
        </w:rPr>
      </w:pPr>
    </w:p>
    <w:p w:rsidR="00D40F69" w:rsidRPr="009145D9" w:rsidRDefault="009145D9" w:rsidP="00D40F69">
      <w:pPr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b/>
          <w:color w:val="404040" w:themeColor="text1" w:themeTint="BF"/>
          <w:sz w:val="24"/>
        </w:rPr>
        <w:t>Zhotovitel:</w:t>
      </w:r>
      <w:r>
        <w:rPr>
          <w:rFonts w:ascii="Times New Roman" w:hAnsi="Times New Roman"/>
          <w:b/>
          <w:color w:val="404040" w:themeColor="text1" w:themeTint="BF"/>
          <w:sz w:val="24"/>
        </w:rPr>
        <w:tab/>
        <w:t xml:space="preserve">     </w:t>
      </w:r>
      <w:r w:rsidR="00D40F69" w:rsidRPr="009145D9">
        <w:rPr>
          <w:rFonts w:ascii="Times New Roman" w:hAnsi="Times New Roman"/>
          <w:b/>
          <w:color w:val="404040" w:themeColor="text1" w:themeTint="BF"/>
          <w:sz w:val="24"/>
        </w:rPr>
        <w:t>Regionální rozvojová agentura Ústeckého kraje, a.s.</w:t>
      </w:r>
    </w:p>
    <w:p w:rsidR="00D40F69" w:rsidRPr="009145D9" w:rsidRDefault="00D40F69" w:rsidP="009145D9">
      <w:pPr>
        <w:pStyle w:val="Textvbloku1"/>
        <w:ind w:left="1701" w:right="6"/>
        <w:rPr>
          <w:color w:val="404040" w:themeColor="text1" w:themeTint="BF"/>
          <w:szCs w:val="24"/>
        </w:rPr>
      </w:pPr>
      <w:r w:rsidRPr="009145D9">
        <w:rPr>
          <w:color w:val="404040" w:themeColor="text1" w:themeTint="BF"/>
          <w:szCs w:val="24"/>
        </w:rPr>
        <w:t>se sídlem: Velká Hradební 3118/48, 400 02 Ústí nad Labem</w:t>
      </w:r>
    </w:p>
    <w:p w:rsidR="00D40F69" w:rsidRPr="009145D9" w:rsidRDefault="00D40F69" w:rsidP="009145D9">
      <w:pPr>
        <w:pStyle w:val="Textvbloku1"/>
        <w:ind w:left="1701" w:right="6"/>
        <w:rPr>
          <w:color w:val="404040" w:themeColor="text1" w:themeTint="BF"/>
          <w:szCs w:val="24"/>
        </w:rPr>
      </w:pPr>
      <w:r w:rsidRPr="009145D9">
        <w:rPr>
          <w:color w:val="404040" w:themeColor="text1" w:themeTint="BF"/>
          <w:szCs w:val="24"/>
        </w:rPr>
        <w:t>zapsaná v obchodním rejstříku vedeném Krajským soudem v Ústí n. L. oddíl B, vložka 557, ze dne 2.5.1994</w:t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IČO: 60279524</w:t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DIČ: CZ60279524</w:t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bank. spoj.: ČSOB a.s., pobočka Most</w:t>
      </w:r>
    </w:p>
    <w:p w:rsidR="00D40F69" w:rsidRPr="009145D9" w:rsidRDefault="00D40F69" w:rsidP="009145D9">
      <w:pPr>
        <w:ind w:left="1701"/>
        <w:rPr>
          <w:rFonts w:ascii="Times New Roman" w:hAnsi="Times New Roman"/>
          <w:color w:val="404040" w:themeColor="text1" w:themeTint="BF"/>
          <w:spacing w:val="-10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číslo účtu: 615211963 / 0300</w:t>
      </w:r>
    </w:p>
    <w:p w:rsidR="00D40F69" w:rsidRPr="009145D9" w:rsidRDefault="00D40F69" w:rsidP="009145D9">
      <w:pPr>
        <w:ind w:left="1701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zastoupená prokuristou Mgr. Ja</w:t>
      </w:r>
      <w:r w:rsidR="009145D9">
        <w:rPr>
          <w:rFonts w:ascii="Times New Roman" w:hAnsi="Times New Roman"/>
          <w:color w:val="404040" w:themeColor="text1" w:themeTint="BF"/>
          <w:sz w:val="24"/>
        </w:rPr>
        <w:t xml:space="preserve">nem Kučerou ve věcech smluvních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i technických </w:t>
      </w:r>
    </w:p>
    <w:p w:rsidR="00D40F69" w:rsidRPr="009145D9" w:rsidRDefault="00D40F69" w:rsidP="009145D9">
      <w:pPr>
        <w:spacing w:before="120"/>
        <w:ind w:left="1701" w:firstLine="11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(dále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>zhotovitel</w:t>
      </w:r>
      <w:r w:rsidRPr="009145D9">
        <w:rPr>
          <w:rFonts w:ascii="Times New Roman" w:hAnsi="Times New Roman"/>
          <w:color w:val="404040" w:themeColor="text1" w:themeTint="BF"/>
          <w:sz w:val="24"/>
        </w:rPr>
        <w:t>)</w:t>
      </w:r>
    </w:p>
    <w:p w:rsidR="00D40F69" w:rsidRPr="009145D9" w:rsidRDefault="00D40F69" w:rsidP="00D40F69">
      <w:pPr>
        <w:ind w:left="708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ab/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ab/>
      </w:r>
    </w:p>
    <w:p w:rsidR="00D40F69" w:rsidRPr="009145D9" w:rsidRDefault="00D40F69" w:rsidP="00D40F69">
      <w:pPr>
        <w:spacing w:before="120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Smluvní strany se dohodly, že jejich závazkový vztah se dle </w:t>
      </w:r>
      <w:r w:rsidR="008F3F4C">
        <w:rPr>
          <w:rFonts w:ascii="Times New Roman" w:hAnsi="Times New Roman"/>
          <w:b/>
          <w:i/>
          <w:color w:val="404040" w:themeColor="text1" w:themeTint="BF"/>
          <w:sz w:val="24"/>
        </w:rPr>
        <w:t>§2586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 xml:space="preserve"> a násl</w:t>
      </w:r>
      <w:r w:rsidR="009145D9">
        <w:rPr>
          <w:rFonts w:ascii="Times New Roman" w:hAnsi="Times New Roman"/>
          <w:b/>
          <w:i/>
          <w:color w:val="404040" w:themeColor="text1" w:themeTint="BF"/>
          <w:sz w:val="24"/>
        </w:rPr>
        <w:t>.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 xml:space="preserve"> Občanského</w:t>
      </w:r>
      <w:r w:rsidRPr="009145D9">
        <w:rPr>
          <w:rFonts w:ascii="Times New Roman" w:hAnsi="Times New Roman"/>
          <w:i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>zák. č. 89/2012</w:t>
      </w:r>
      <w:r w:rsidRPr="009145D9">
        <w:rPr>
          <w:rFonts w:ascii="Times New Roman" w:hAnsi="Times New Roman"/>
          <w:i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b/>
          <w:i/>
          <w:color w:val="404040" w:themeColor="text1" w:themeTint="BF"/>
          <w:sz w:val="24"/>
        </w:rPr>
        <w:t xml:space="preserve">Sb.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>bude řídit tímto zákonem a níže uvedeného dne, měsíce a roku uzavírají tuto smlouvu.</w:t>
      </w:r>
    </w:p>
    <w:p w:rsidR="00D40F69" w:rsidRPr="00AF1FB3" w:rsidRDefault="00D40F69" w:rsidP="00D40F69">
      <w:pPr>
        <w:tabs>
          <w:tab w:val="left" w:pos="0"/>
        </w:tabs>
        <w:jc w:val="both"/>
        <w:rPr>
          <w:rFonts w:ascii="Times New Roman" w:hAnsi="Times New Roman"/>
          <w:b/>
          <w:color w:val="404040" w:themeColor="text1" w:themeTint="BF"/>
          <w:sz w:val="40"/>
          <w:szCs w:val="40"/>
        </w:rPr>
      </w:pPr>
    </w:p>
    <w:p w:rsidR="00AF1FB3" w:rsidRDefault="00D40F69" w:rsidP="00AF1FB3">
      <w:pPr>
        <w:pStyle w:val="Nadpis4"/>
        <w:numPr>
          <w:ilvl w:val="3"/>
          <w:numId w:val="1"/>
        </w:numPr>
        <w:suppressAutoHyphens/>
        <w:spacing w:before="0" w:after="0"/>
        <w:ind w:left="0" w:firstLine="0"/>
        <w:jc w:val="center"/>
        <w:rPr>
          <w:color w:val="404040" w:themeColor="text1" w:themeTint="BF"/>
          <w:sz w:val="24"/>
          <w:szCs w:val="24"/>
        </w:rPr>
      </w:pPr>
      <w:r w:rsidRPr="009145D9">
        <w:rPr>
          <w:color w:val="404040" w:themeColor="text1" w:themeTint="BF"/>
          <w:sz w:val="24"/>
          <w:szCs w:val="24"/>
        </w:rPr>
        <w:t xml:space="preserve">Čl. II. </w:t>
      </w:r>
    </w:p>
    <w:p w:rsidR="00D40F69" w:rsidRPr="009145D9" w:rsidRDefault="00D40F69" w:rsidP="009145D9">
      <w:pPr>
        <w:pStyle w:val="Nadpis4"/>
        <w:numPr>
          <w:ilvl w:val="3"/>
          <w:numId w:val="1"/>
        </w:numPr>
        <w:suppressAutoHyphens/>
        <w:spacing w:before="0" w:after="160"/>
        <w:ind w:left="0" w:firstLine="0"/>
        <w:jc w:val="center"/>
        <w:rPr>
          <w:color w:val="404040" w:themeColor="text1" w:themeTint="BF"/>
          <w:sz w:val="24"/>
          <w:szCs w:val="24"/>
        </w:rPr>
      </w:pPr>
      <w:r w:rsidRPr="009145D9">
        <w:rPr>
          <w:color w:val="404040" w:themeColor="text1" w:themeTint="BF"/>
          <w:sz w:val="24"/>
          <w:szCs w:val="24"/>
        </w:rPr>
        <w:t>Předmět smlouvy</w:t>
      </w:r>
    </w:p>
    <w:p w:rsidR="00D40F69" w:rsidRPr="009145D9" w:rsidRDefault="00D40F69" w:rsidP="009145D9">
      <w:pPr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Zhotovitel se zavazuje provést na svůj náklad a nebezpečí pro objednatele dílo spočívající ve zpracování studie proveditelnosti na projekt s názvem“</w:t>
      </w:r>
      <w:r w:rsidR="00A55F9C" w:rsidRPr="00A55F9C">
        <w:rPr>
          <w:rFonts w:ascii="Times New Roman" w:hAnsi="Times New Roman"/>
          <w:b/>
          <w:color w:val="404040" w:themeColor="text1" w:themeTint="BF"/>
          <w:sz w:val="24"/>
        </w:rPr>
        <w:t xml:space="preserve"> „</w:t>
      </w:r>
      <w:r w:rsidR="00D055FB">
        <w:rPr>
          <w:rFonts w:ascii="Times New Roman" w:hAnsi="Times New Roman"/>
          <w:b/>
          <w:color w:val="404040" w:themeColor="text1" w:themeTint="BF"/>
          <w:sz w:val="24"/>
        </w:rPr>
        <w:t xml:space="preserve">Noclehárna a nízkoprahové denní centrum </w:t>
      </w:r>
      <w:r w:rsidR="00AF1FB3">
        <w:rPr>
          <w:rFonts w:ascii="Times New Roman" w:hAnsi="Times New Roman"/>
          <w:b/>
          <w:color w:val="404040" w:themeColor="text1" w:themeTint="BF"/>
          <w:sz w:val="24"/>
        </w:rPr>
        <w:t>Prunéřov 167</w:t>
      </w:r>
      <w:r w:rsidR="00A55F9C">
        <w:rPr>
          <w:rFonts w:ascii="Times New Roman" w:hAnsi="Times New Roman"/>
          <w:b/>
          <w:color w:val="404040" w:themeColor="text1" w:themeTint="BF"/>
          <w:sz w:val="24"/>
        </w:rPr>
        <w:t>“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pro potřeby získání dotace z</w:t>
      </w:r>
      <w:r w:rsidR="00AF1FB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>Integrovaného regionálního operačního programu, výzvy</w:t>
      </w:r>
      <w:r w:rsidR="00AF1FB3">
        <w:rPr>
          <w:rFonts w:ascii="Times New Roman" w:hAnsi="Times New Roman"/>
          <w:b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č. </w:t>
      </w:r>
      <w:r w:rsidR="00E2275A">
        <w:rPr>
          <w:rFonts w:ascii="Times New Roman" w:hAnsi="Times New Roman"/>
          <w:b/>
          <w:color w:val="404040" w:themeColor="text1" w:themeTint="BF"/>
          <w:sz w:val="24"/>
        </w:rPr>
        <w:t>8</w:t>
      </w:r>
      <w:r w:rsidR="00AF1FB3">
        <w:rPr>
          <w:rFonts w:ascii="Times New Roman" w:hAnsi="Times New Roman"/>
          <w:b/>
          <w:color w:val="404040" w:themeColor="text1" w:themeTint="BF"/>
          <w:sz w:val="24"/>
        </w:rPr>
        <w:t>2</w:t>
      </w:r>
      <w:r w:rsidR="00E2275A">
        <w:rPr>
          <w:rFonts w:ascii="Times New Roman" w:hAnsi="Times New Roman"/>
          <w:b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color w:val="404040" w:themeColor="text1" w:themeTint="BF"/>
          <w:sz w:val="24"/>
        </w:rPr>
        <w:t>a objednatel se zavazuje dílo převzít a zaplatit jeho cenu.</w:t>
      </w:r>
    </w:p>
    <w:p w:rsidR="00D40F69" w:rsidRPr="009145D9" w:rsidRDefault="00D40F69" w:rsidP="00D40F69">
      <w:pPr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Dílo dle této smlouvy zahrnuje zpracování </w:t>
      </w:r>
      <w:r w:rsidR="006D7E29">
        <w:rPr>
          <w:rFonts w:ascii="Times New Roman" w:hAnsi="Times New Roman"/>
          <w:color w:val="404040" w:themeColor="text1" w:themeTint="BF"/>
          <w:sz w:val="24"/>
        </w:rPr>
        <w:t xml:space="preserve">studie proveditelnosti k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žádosti o dotaci k výše uvedenému </w:t>
      </w:r>
      <w:r w:rsidR="006D7E29">
        <w:rPr>
          <w:rFonts w:ascii="Times New Roman" w:hAnsi="Times New Roman"/>
          <w:color w:val="404040" w:themeColor="text1" w:themeTint="BF"/>
          <w:sz w:val="24"/>
        </w:rPr>
        <w:t>projektu v následujícím rozsahu</w:t>
      </w:r>
      <w:r w:rsidRPr="009145D9">
        <w:rPr>
          <w:rFonts w:ascii="Times New Roman" w:hAnsi="Times New Roman"/>
          <w:color w:val="404040" w:themeColor="text1" w:themeTint="BF"/>
          <w:sz w:val="24"/>
        </w:rPr>
        <w:t>:</w:t>
      </w:r>
    </w:p>
    <w:p w:rsidR="00D40F69" w:rsidRDefault="00D40F69" w:rsidP="008F3F4C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Zpracování studie proveditelnosti </w:t>
      </w:r>
      <w:r w:rsidR="000F1683">
        <w:rPr>
          <w:rFonts w:ascii="Times New Roman" w:hAnsi="Times New Roman"/>
          <w:color w:val="404040" w:themeColor="text1" w:themeTint="BF"/>
          <w:sz w:val="24"/>
        </w:rPr>
        <w:t xml:space="preserve">dle </w:t>
      </w:r>
      <w:r w:rsidR="006D7E29">
        <w:rPr>
          <w:rFonts w:ascii="Times New Roman" w:hAnsi="Times New Roman"/>
          <w:color w:val="404040" w:themeColor="text1" w:themeTint="BF"/>
          <w:sz w:val="24"/>
        </w:rPr>
        <w:t>závazné osnovy IROP, výzvy č. 8</w:t>
      </w:r>
      <w:r w:rsidR="00AF1FB3">
        <w:rPr>
          <w:rFonts w:ascii="Times New Roman" w:hAnsi="Times New Roman"/>
          <w:color w:val="404040" w:themeColor="text1" w:themeTint="BF"/>
          <w:sz w:val="24"/>
        </w:rPr>
        <w:t>2</w:t>
      </w:r>
      <w:r w:rsidR="006D7E29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AF1FB3">
        <w:rPr>
          <w:rFonts w:ascii="Times New Roman" w:hAnsi="Times New Roman"/>
          <w:color w:val="404040" w:themeColor="text1" w:themeTint="BF"/>
          <w:sz w:val="24"/>
        </w:rPr>
        <w:t>–</w:t>
      </w:r>
      <w:r w:rsidR="006D7E29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AF1FB3">
        <w:rPr>
          <w:rFonts w:ascii="Times New Roman" w:hAnsi="Times New Roman"/>
          <w:color w:val="404040" w:themeColor="text1" w:themeTint="BF"/>
          <w:sz w:val="24"/>
        </w:rPr>
        <w:t>Rozvoj sociálních služeb (SVL) II.</w:t>
      </w:r>
    </w:p>
    <w:p w:rsidR="00AF1FB3" w:rsidRDefault="00AF1FB3" w:rsidP="00AF1FB3">
      <w:pPr>
        <w:suppressAutoHyphens/>
        <w:spacing w:before="120"/>
        <w:ind w:left="714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AF1FB3" w:rsidRPr="008F3F4C" w:rsidRDefault="00AF1FB3" w:rsidP="00AF1FB3">
      <w:pPr>
        <w:suppressAutoHyphens/>
        <w:spacing w:before="120"/>
        <w:ind w:left="714"/>
        <w:jc w:val="both"/>
        <w:rPr>
          <w:rFonts w:ascii="Times New Roman" w:hAnsi="Times New Roman"/>
          <w:color w:val="404040" w:themeColor="text1" w:themeTint="BF"/>
          <w:sz w:val="24"/>
        </w:rPr>
      </w:pPr>
    </w:p>
    <w:p w:rsidR="00AF1FB3" w:rsidRDefault="00D40F69" w:rsidP="008F3F4C">
      <w:pPr>
        <w:spacing w:before="36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lastRenderedPageBreak/>
        <w:t xml:space="preserve">Čl. III. </w:t>
      </w:r>
    </w:p>
    <w:p w:rsidR="00D40F69" w:rsidRPr="009145D9" w:rsidRDefault="00D40F69" w:rsidP="00AF1FB3">
      <w:pPr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Doba plnění</w:t>
      </w:r>
    </w:p>
    <w:p w:rsidR="00D40F69" w:rsidRPr="009145D9" w:rsidRDefault="00D40F69" w:rsidP="00D40F69">
      <w:pPr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Zhotovitel se zavazuje, že dílo specifikované dle čl. II. </w:t>
      </w:r>
      <w:r w:rsidR="00A918E0">
        <w:rPr>
          <w:rFonts w:ascii="Times New Roman" w:hAnsi="Times New Roman"/>
          <w:color w:val="404040" w:themeColor="text1" w:themeTint="BF"/>
          <w:sz w:val="24"/>
        </w:rPr>
        <w:t xml:space="preserve">dokončí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v termínu do </w:t>
      </w:r>
      <w:r w:rsidR="00AF1FB3">
        <w:rPr>
          <w:rFonts w:ascii="Times New Roman" w:hAnsi="Times New Roman"/>
          <w:color w:val="404040" w:themeColor="text1" w:themeTint="BF"/>
          <w:sz w:val="24"/>
        </w:rPr>
        <w:t>15</w:t>
      </w:r>
      <w:r w:rsidRPr="009145D9">
        <w:rPr>
          <w:rFonts w:ascii="Times New Roman" w:hAnsi="Times New Roman"/>
          <w:color w:val="404040" w:themeColor="text1" w:themeTint="BF"/>
          <w:sz w:val="24"/>
        </w:rPr>
        <w:t>.</w:t>
      </w:r>
      <w:r w:rsidR="000F168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AF1FB3">
        <w:rPr>
          <w:rFonts w:ascii="Times New Roman" w:hAnsi="Times New Roman"/>
          <w:color w:val="404040" w:themeColor="text1" w:themeTint="BF"/>
          <w:sz w:val="24"/>
        </w:rPr>
        <w:t>11</w:t>
      </w:r>
      <w:r w:rsidRPr="009145D9">
        <w:rPr>
          <w:rFonts w:ascii="Times New Roman" w:hAnsi="Times New Roman"/>
          <w:color w:val="404040" w:themeColor="text1" w:themeTint="BF"/>
          <w:sz w:val="24"/>
        </w:rPr>
        <w:t>.</w:t>
      </w:r>
      <w:r w:rsidR="000F168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color w:val="404040" w:themeColor="text1" w:themeTint="BF"/>
          <w:sz w:val="24"/>
        </w:rPr>
        <w:t>2018. V případě, že dílo nebude možné ve stanoveném termínu dokončit z důvodu chybějících dokladů a dokumentace, jejíž dodání je v působnosti objednatele, bude dílo dokončeno bezprostředně po předání chybějící dokumentace zhotoviteli.</w:t>
      </w:r>
    </w:p>
    <w:p w:rsidR="000F1683" w:rsidRDefault="000F1683" w:rsidP="00D40F69">
      <w:pPr>
        <w:spacing w:before="24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</w:p>
    <w:p w:rsidR="00C53604" w:rsidRDefault="00D40F69" w:rsidP="000F1683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Čl. IV. </w:t>
      </w:r>
    </w:p>
    <w:p w:rsidR="00D40F69" w:rsidRPr="009145D9" w:rsidRDefault="00D40F69" w:rsidP="000F1683">
      <w:pPr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Cena díla</w:t>
      </w:r>
    </w:p>
    <w:p w:rsidR="00D40F69" w:rsidRPr="009145D9" w:rsidRDefault="00D40F69" w:rsidP="00287A61">
      <w:pPr>
        <w:numPr>
          <w:ilvl w:val="0"/>
          <w:numId w:val="4"/>
        </w:numPr>
        <w:tabs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Za zhotovení díla dle čl. II. zaplatí objednatel zhotoviteli částku ve výši </w:t>
      </w:r>
      <w:r w:rsidRPr="009145D9">
        <w:rPr>
          <w:rFonts w:ascii="Times New Roman" w:hAnsi="Times New Roman"/>
          <w:bCs/>
          <w:color w:val="404040" w:themeColor="text1" w:themeTint="BF"/>
          <w:sz w:val="24"/>
        </w:rPr>
        <w:t>9</w:t>
      </w:r>
      <w:r w:rsidR="00E2275A">
        <w:rPr>
          <w:rFonts w:ascii="Times New Roman" w:hAnsi="Times New Roman"/>
          <w:bCs/>
          <w:color w:val="404040" w:themeColor="text1" w:themeTint="BF"/>
          <w:sz w:val="24"/>
        </w:rPr>
        <w:t>8</w:t>
      </w:r>
      <w:r w:rsidR="00287A61">
        <w:rPr>
          <w:rFonts w:ascii="Times New Roman" w:hAnsi="Times New Roman"/>
          <w:bCs/>
          <w:color w:val="404040" w:themeColor="text1" w:themeTint="BF"/>
          <w:sz w:val="24"/>
        </w:rPr>
        <w:t>.</w:t>
      </w:r>
      <w:r w:rsidRPr="009145D9">
        <w:rPr>
          <w:rFonts w:ascii="Times New Roman" w:hAnsi="Times New Roman"/>
          <w:bCs/>
          <w:color w:val="404040" w:themeColor="text1" w:themeTint="BF"/>
          <w:sz w:val="24"/>
        </w:rPr>
        <w:t>000,- Kč + D</w:t>
      </w:r>
      <w:r w:rsidRPr="009145D9">
        <w:rPr>
          <w:rFonts w:ascii="Times New Roman" w:hAnsi="Times New Roman"/>
          <w:color w:val="404040" w:themeColor="text1" w:themeTint="BF"/>
          <w:sz w:val="24"/>
        </w:rPr>
        <w:t>PH dle platných předpisů v souladu s čl. V této smlouvy. Cena celkem včetně aktuální výše DPH činí 11</w:t>
      </w:r>
      <w:r w:rsidR="00E2275A">
        <w:rPr>
          <w:rFonts w:ascii="Times New Roman" w:hAnsi="Times New Roman"/>
          <w:color w:val="404040" w:themeColor="text1" w:themeTint="BF"/>
          <w:sz w:val="24"/>
        </w:rPr>
        <w:t>8</w:t>
      </w:r>
      <w:r w:rsidR="00287A61">
        <w:rPr>
          <w:rFonts w:ascii="Times New Roman" w:hAnsi="Times New Roman"/>
          <w:color w:val="404040" w:themeColor="text1" w:themeTint="BF"/>
          <w:sz w:val="24"/>
        </w:rPr>
        <w:t>.</w:t>
      </w:r>
      <w:r w:rsidR="00E2275A">
        <w:rPr>
          <w:rFonts w:ascii="Times New Roman" w:hAnsi="Times New Roman"/>
          <w:color w:val="404040" w:themeColor="text1" w:themeTint="BF"/>
          <w:sz w:val="24"/>
        </w:rPr>
        <w:t>580</w:t>
      </w:r>
      <w:r w:rsidRPr="009145D9">
        <w:rPr>
          <w:rFonts w:ascii="Times New Roman" w:hAnsi="Times New Roman"/>
          <w:color w:val="404040" w:themeColor="text1" w:themeTint="BF"/>
          <w:sz w:val="24"/>
        </w:rPr>
        <w:t>,</w:t>
      </w:r>
      <w:r w:rsidR="002F14F6">
        <w:rPr>
          <w:rFonts w:ascii="Times New Roman" w:hAnsi="Times New Roman"/>
          <w:color w:val="404040" w:themeColor="text1" w:themeTint="BF"/>
          <w:sz w:val="24"/>
        </w:rPr>
        <w:t>-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Kč.</w:t>
      </w:r>
    </w:p>
    <w:p w:rsidR="00D40F69" w:rsidRPr="009145D9" w:rsidRDefault="00D40F69" w:rsidP="00287A61">
      <w:pPr>
        <w:numPr>
          <w:ilvl w:val="0"/>
          <w:numId w:val="4"/>
        </w:numPr>
        <w:tabs>
          <w:tab w:val="left" w:pos="426"/>
        </w:tabs>
        <w:suppressAutoHyphens/>
        <w:spacing w:before="120"/>
        <w:ind w:left="357" w:hanging="357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 ceně jsou zahrnuty: 1 originál díla dle čl. II. této smlouvy.</w:t>
      </w:r>
    </w:p>
    <w:p w:rsidR="00C53604" w:rsidRDefault="00D40F69" w:rsidP="008F3F4C">
      <w:pPr>
        <w:spacing w:before="40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Čl. V. </w:t>
      </w:r>
    </w:p>
    <w:p w:rsidR="00D40F69" w:rsidRPr="009145D9" w:rsidRDefault="00D40F69" w:rsidP="00C53604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Platební podmínky</w:t>
      </w:r>
    </w:p>
    <w:p w:rsidR="00D40F69" w:rsidRPr="009145D9" w:rsidRDefault="00D40F69" w:rsidP="00287A6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Podkladem pro placení je faktura. Objednatel zaplatí zhotoviteli odměnu ve výši 9</w:t>
      </w:r>
      <w:r w:rsidR="00E2275A">
        <w:rPr>
          <w:rFonts w:ascii="Times New Roman" w:hAnsi="Times New Roman"/>
          <w:color w:val="404040" w:themeColor="text1" w:themeTint="BF"/>
          <w:sz w:val="24"/>
        </w:rPr>
        <w:t>8</w:t>
      </w:r>
      <w:r w:rsidR="002F14F6">
        <w:rPr>
          <w:rFonts w:ascii="Times New Roman" w:hAnsi="Times New Roman"/>
          <w:color w:val="404040" w:themeColor="text1" w:themeTint="BF"/>
          <w:sz w:val="24"/>
        </w:rPr>
        <w:t>.</w:t>
      </w:r>
      <w:r w:rsidRPr="009145D9">
        <w:rPr>
          <w:rFonts w:ascii="Times New Roman" w:hAnsi="Times New Roman"/>
          <w:color w:val="404040" w:themeColor="text1" w:themeTint="BF"/>
          <w:sz w:val="24"/>
        </w:rPr>
        <w:t>000,- Kč bez DPH a příslušnou sazbu DPH do 60 dnů po předání díla objednateli a následného vystavení faktury zhotovitelem.</w:t>
      </w:r>
    </w:p>
    <w:p w:rsidR="00D40F69" w:rsidRPr="009145D9" w:rsidRDefault="00D40F69" w:rsidP="00287A6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</w:t>
      </w:r>
      <w:r w:rsidR="00287A61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případě nedodržení časových termínů ze strany zhotovitele uvedených dle Čl. III. zaplatí zhotovitel objednateli smluvní pokutu </w:t>
      </w:r>
      <w:proofErr w:type="gramStart"/>
      <w:r w:rsidRPr="009145D9">
        <w:rPr>
          <w:rFonts w:ascii="Times New Roman" w:hAnsi="Times New Roman"/>
          <w:color w:val="404040" w:themeColor="text1" w:themeTint="BF"/>
          <w:sz w:val="24"/>
        </w:rPr>
        <w:t>0,05%</w:t>
      </w:r>
      <w:proofErr w:type="gramEnd"/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z celkové ceny díla za každý den prodlení. Nedodržení časových termínů nesmí být ale zapříčiněno nedodáním podkladů pro zhotovitele dle jeho požadavků. </w:t>
      </w:r>
    </w:p>
    <w:p w:rsidR="00D40F69" w:rsidRPr="009145D9" w:rsidRDefault="00D40F69" w:rsidP="00287A6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 případě prodlení objednatele s úhradou faktur, zaplatí objednatel zhotoviteli smluvní pokutu ve výši 0,05% z dlužné částky za každý den prodlení.</w:t>
      </w:r>
    </w:p>
    <w:p w:rsidR="00D40F69" w:rsidRPr="009145D9" w:rsidRDefault="00D40F69" w:rsidP="008D0829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V případě, že dojde ke zrušení nebo odstoupení od této smlouvy ze strany objednatele bude zhotovitel fakturovat objednateli částku odpovídající rozsahu prací provedených ke dni zrušení či odstoupení od smlouvy.</w:t>
      </w:r>
    </w:p>
    <w:p w:rsidR="00C53604" w:rsidRDefault="00D40F69" w:rsidP="008F3F4C">
      <w:pPr>
        <w:spacing w:before="40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Čl. VI. </w:t>
      </w:r>
    </w:p>
    <w:p w:rsidR="00D40F69" w:rsidRPr="009145D9" w:rsidRDefault="00D40F69" w:rsidP="00C53604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Práva a povinnosti smluvních stran</w:t>
      </w:r>
    </w:p>
    <w:p w:rsidR="00D40F69" w:rsidRPr="009145D9" w:rsidRDefault="00D40F69" w:rsidP="00287A61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Zhotovitel musí dílo zpracovat v předepsaném rozsahu a kvalitě příslušných metodik Integrovaného regionálního operačního programu. </w:t>
      </w:r>
    </w:p>
    <w:p w:rsidR="00D40F69" w:rsidRPr="009145D9" w:rsidRDefault="00D40F69" w:rsidP="00D40F69">
      <w:pPr>
        <w:numPr>
          <w:ilvl w:val="0"/>
          <w:numId w:val="7"/>
        </w:numPr>
        <w:suppressAutoHyphens/>
        <w:spacing w:before="120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Objednatel se zavazuje spolupracovat se zhotovitelem v rozsahu nutném k provedení díla. Zejména se zavazuje:</w:t>
      </w:r>
    </w:p>
    <w:p w:rsidR="00D40F69" w:rsidRPr="009145D9" w:rsidRDefault="00D40F69" w:rsidP="00D40F69">
      <w:pPr>
        <w:numPr>
          <w:ilvl w:val="0"/>
          <w:numId w:val="6"/>
        </w:numPr>
        <w:tabs>
          <w:tab w:val="left" w:pos="720"/>
          <w:tab w:val="left" w:pos="1617"/>
          <w:tab w:val="left" w:pos="1886"/>
          <w:tab w:val="right" w:pos="9072"/>
        </w:tabs>
        <w:suppressAutoHyphens/>
        <w:spacing w:before="120"/>
        <w:ind w:left="720" w:right="-4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poskytnout zhotoviteli včas nezbytné podklady pro žádosti o dotaci dle požadavků zhotovitele.</w:t>
      </w:r>
    </w:p>
    <w:p w:rsidR="00D40F69" w:rsidRPr="009145D9" w:rsidRDefault="00D40F69" w:rsidP="00D40F69">
      <w:pPr>
        <w:numPr>
          <w:ilvl w:val="0"/>
          <w:numId w:val="6"/>
        </w:numPr>
        <w:tabs>
          <w:tab w:val="left" w:pos="720"/>
          <w:tab w:val="left" w:pos="1617"/>
          <w:tab w:val="left" w:pos="1886"/>
          <w:tab w:val="right" w:pos="9072"/>
        </w:tabs>
        <w:suppressAutoHyphens/>
        <w:ind w:left="714" w:right="-45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poskytnout mu další podklady a stanoviska vztahující se k předmětu díla, získané v průběhu prací neprodleně po jejich obdržení.</w:t>
      </w:r>
    </w:p>
    <w:p w:rsidR="00D40F69" w:rsidRPr="009145D9" w:rsidRDefault="00D40F69" w:rsidP="002F14F6">
      <w:pPr>
        <w:tabs>
          <w:tab w:val="left" w:pos="426"/>
        </w:tabs>
        <w:spacing w:before="120"/>
        <w:ind w:left="357" w:hanging="357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3.</w:t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souvislosti s úhradou zboží nebo služeb z veřejných výdajů nebo veřejných fondů.</w:t>
      </w:r>
    </w:p>
    <w:p w:rsidR="00C53604" w:rsidRDefault="00D40F69" w:rsidP="008F3F4C">
      <w:pPr>
        <w:spacing w:before="40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lastRenderedPageBreak/>
        <w:t xml:space="preserve">Čl. VII. </w:t>
      </w:r>
    </w:p>
    <w:p w:rsidR="00D40F69" w:rsidRPr="009145D9" w:rsidRDefault="00D40F69" w:rsidP="00C53604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Řešení sporů</w:t>
      </w:r>
    </w:p>
    <w:p w:rsidR="008F3F4C" w:rsidRPr="00A90435" w:rsidRDefault="00D40F69" w:rsidP="002F14F6">
      <w:pPr>
        <w:pStyle w:val="Odstavecseseznamem"/>
        <w:numPr>
          <w:ilvl w:val="0"/>
          <w:numId w:val="9"/>
        </w:numPr>
        <w:tabs>
          <w:tab w:val="left" w:pos="1617"/>
          <w:tab w:val="left" w:pos="1886"/>
          <w:tab w:val="left" w:pos="9356"/>
        </w:tabs>
        <w:spacing w:before="120"/>
        <w:ind w:left="357" w:hanging="357"/>
        <w:jc w:val="both"/>
        <w:rPr>
          <w:rFonts w:ascii="Times New Roman" w:hAnsi="Times New Roman"/>
          <w:b/>
          <w:color w:val="404040" w:themeColor="text1" w:themeTint="BF"/>
          <w:sz w:val="24"/>
        </w:rPr>
      </w:pPr>
      <w:r w:rsidRPr="00A90435">
        <w:rPr>
          <w:rFonts w:ascii="Times New Roman" w:hAnsi="Times New Roman"/>
          <w:color w:val="404040" w:themeColor="text1" w:themeTint="BF"/>
          <w:sz w:val="24"/>
        </w:rPr>
        <w:t>Smluvní strany vynaloží veškeré úsilí, aby přátelsky, přímým a neformálním jednáním vyřešily jakékoli neshody nebo spory vznikající mezi nimi v souvislosti s touto smlouvou.</w:t>
      </w:r>
    </w:p>
    <w:p w:rsidR="007116FB" w:rsidRPr="007116FB" w:rsidRDefault="007116FB" w:rsidP="007116FB">
      <w:pPr>
        <w:rPr>
          <w:b/>
        </w:rPr>
      </w:pPr>
    </w:p>
    <w:p w:rsidR="00C53604" w:rsidRDefault="00D40F69" w:rsidP="008F3F4C">
      <w:pPr>
        <w:spacing w:before="320"/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 xml:space="preserve">Čl. VIII. </w:t>
      </w:r>
    </w:p>
    <w:p w:rsidR="00D40F69" w:rsidRPr="009145D9" w:rsidRDefault="00D40F69" w:rsidP="00C53604">
      <w:pPr>
        <w:jc w:val="center"/>
        <w:rPr>
          <w:rFonts w:ascii="Times New Roman" w:hAnsi="Times New Roman"/>
          <w:b/>
          <w:color w:val="404040" w:themeColor="text1" w:themeTint="BF"/>
          <w:sz w:val="24"/>
        </w:rPr>
      </w:pPr>
      <w:r w:rsidRPr="009145D9">
        <w:rPr>
          <w:rFonts w:ascii="Times New Roman" w:hAnsi="Times New Roman"/>
          <w:b/>
          <w:color w:val="404040" w:themeColor="text1" w:themeTint="BF"/>
          <w:sz w:val="24"/>
        </w:rPr>
        <w:t>Závěrečná ujednání</w:t>
      </w:r>
    </w:p>
    <w:p w:rsidR="00D40F69" w:rsidRPr="009145D9" w:rsidRDefault="00D40F69" w:rsidP="002F14F6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Ostatní vztahy touto smlouvou výslovně neupravené se řídí příslušnými ustanoveními Občanského zákoníku.</w:t>
      </w:r>
    </w:p>
    <w:p w:rsidR="00D40F69" w:rsidRPr="009145D9" w:rsidRDefault="00D40F69" w:rsidP="002F14F6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:rsidR="00D40F69" w:rsidRPr="009145D9" w:rsidRDefault="00D40F69" w:rsidP="002F14F6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Smlouva je vyhotovena v </w:t>
      </w:r>
      <w:r w:rsidR="00E2275A">
        <w:rPr>
          <w:rFonts w:ascii="Times New Roman" w:hAnsi="Times New Roman"/>
          <w:color w:val="404040" w:themeColor="text1" w:themeTint="BF"/>
          <w:sz w:val="24"/>
        </w:rPr>
        <w:t>šesti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stejnopisech, z nichž </w:t>
      </w:r>
      <w:r w:rsidR="00E2275A">
        <w:rPr>
          <w:rFonts w:ascii="Times New Roman" w:hAnsi="Times New Roman"/>
          <w:color w:val="404040" w:themeColor="text1" w:themeTint="BF"/>
          <w:sz w:val="24"/>
        </w:rPr>
        <w:t>čtyři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vyhotovení obdrží objednatel</w:t>
      </w:r>
      <w:r w:rsidR="008F3F4C">
        <w:rPr>
          <w:rFonts w:ascii="Times New Roman" w:hAnsi="Times New Roman"/>
          <w:color w:val="404040" w:themeColor="text1" w:themeTint="BF"/>
          <w:sz w:val="24"/>
        </w:rPr>
        <w:t xml:space="preserve"> a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8F3F4C">
        <w:rPr>
          <w:rFonts w:ascii="Times New Roman" w:hAnsi="Times New Roman"/>
          <w:color w:val="404040" w:themeColor="text1" w:themeTint="BF"/>
          <w:sz w:val="24"/>
        </w:rPr>
        <w:t>dvě</w:t>
      </w: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zhotovitel.</w:t>
      </w:r>
    </w:p>
    <w:p w:rsidR="00D40F69" w:rsidRPr="009145D9" w:rsidRDefault="00D40F69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7116FB" w:rsidRDefault="007116FB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D40F69" w:rsidRPr="009145D9" w:rsidRDefault="00D40F69" w:rsidP="00D40F69">
      <w:pPr>
        <w:rPr>
          <w:rFonts w:ascii="Times New Roman" w:hAnsi="Times New Roman"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 xml:space="preserve">   </w:t>
      </w:r>
    </w:p>
    <w:p w:rsidR="00D40F69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color w:val="404040" w:themeColor="text1" w:themeTint="BF"/>
          <w:sz w:val="24"/>
        </w:rPr>
        <w:t xml:space="preserve">V Kadani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dne </w:t>
      </w:r>
      <w:r w:rsidR="00692A25">
        <w:rPr>
          <w:rFonts w:ascii="Times New Roman" w:hAnsi="Times New Roman"/>
          <w:color w:val="404040" w:themeColor="text1" w:themeTint="BF"/>
          <w:sz w:val="24"/>
        </w:rPr>
        <w:t>6</w:t>
      </w:r>
      <w:r w:rsidR="00A9393C">
        <w:rPr>
          <w:rFonts w:ascii="Times New Roman" w:hAnsi="Times New Roman"/>
          <w:color w:val="404040" w:themeColor="text1" w:themeTint="BF"/>
          <w:sz w:val="24"/>
        </w:rPr>
        <w:t>.</w:t>
      </w:r>
      <w:r w:rsidR="00AF1FB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692A25">
        <w:rPr>
          <w:rFonts w:ascii="Times New Roman" w:hAnsi="Times New Roman"/>
          <w:color w:val="404040" w:themeColor="text1" w:themeTint="BF"/>
          <w:sz w:val="24"/>
        </w:rPr>
        <w:t>8</w:t>
      </w:r>
      <w:r w:rsidR="00A9393C">
        <w:rPr>
          <w:rFonts w:ascii="Times New Roman" w:hAnsi="Times New Roman"/>
          <w:color w:val="404040" w:themeColor="text1" w:themeTint="BF"/>
          <w:sz w:val="24"/>
        </w:rPr>
        <w:t>.</w:t>
      </w:r>
      <w:r w:rsidR="00AF1FB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A9393C">
        <w:rPr>
          <w:rFonts w:ascii="Times New Roman" w:hAnsi="Times New Roman"/>
          <w:color w:val="404040" w:themeColor="text1" w:themeTint="BF"/>
          <w:sz w:val="24"/>
        </w:rPr>
        <w:t>2018</w:t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         </w:t>
      </w:r>
      <w:r w:rsidR="00A9393C">
        <w:rPr>
          <w:rFonts w:ascii="Times New Roman" w:hAnsi="Times New Roman"/>
          <w:color w:val="404040" w:themeColor="text1" w:themeTint="BF"/>
          <w:sz w:val="24"/>
        </w:rPr>
        <w:t xml:space="preserve">         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>V Ústí nad Labem dne</w:t>
      </w:r>
      <w:r w:rsidR="00A9393C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692A25">
        <w:rPr>
          <w:rFonts w:ascii="Times New Roman" w:hAnsi="Times New Roman"/>
          <w:color w:val="404040" w:themeColor="text1" w:themeTint="BF"/>
          <w:sz w:val="24"/>
        </w:rPr>
        <w:t>6</w:t>
      </w:r>
      <w:r w:rsidR="00A9393C">
        <w:rPr>
          <w:rFonts w:ascii="Times New Roman" w:hAnsi="Times New Roman"/>
          <w:color w:val="404040" w:themeColor="text1" w:themeTint="BF"/>
          <w:sz w:val="24"/>
        </w:rPr>
        <w:t>.</w:t>
      </w:r>
      <w:r w:rsidR="00AF1FB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692A25">
        <w:rPr>
          <w:rFonts w:ascii="Times New Roman" w:hAnsi="Times New Roman"/>
          <w:color w:val="404040" w:themeColor="text1" w:themeTint="BF"/>
          <w:sz w:val="24"/>
        </w:rPr>
        <w:t>8</w:t>
      </w:r>
      <w:bookmarkStart w:id="0" w:name="_GoBack"/>
      <w:bookmarkEnd w:id="0"/>
      <w:r w:rsidR="00A9393C">
        <w:rPr>
          <w:rFonts w:ascii="Times New Roman" w:hAnsi="Times New Roman"/>
          <w:color w:val="404040" w:themeColor="text1" w:themeTint="BF"/>
          <w:sz w:val="24"/>
        </w:rPr>
        <w:t>.</w:t>
      </w:r>
      <w:r w:rsidR="00AF1FB3">
        <w:rPr>
          <w:rFonts w:ascii="Times New Roman" w:hAnsi="Times New Roman"/>
          <w:color w:val="404040" w:themeColor="text1" w:themeTint="BF"/>
          <w:sz w:val="24"/>
        </w:rPr>
        <w:t xml:space="preserve"> </w:t>
      </w:r>
      <w:r w:rsidR="00A9393C">
        <w:rPr>
          <w:rFonts w:ascii="Times New Roman" w:hAnsi="Times New Roman"/>
          <w:color w:val="404040" w:themeColor="text1" w:themeTint="BF"/>
          <w:sz w:val="24"/>
        </w:rPr>
        <w:t>2018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  </w:t>
      </w: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8F3F4C" w:rsidRPr="009145D9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</w:p>
    <w:p w:rsidR="00D40F69" w:rsidRPr="009145D9" w:rsidRDefault="00D40F69" w:rsidP="00D40F69">
      <w:pPr>
        <w:rPr>
          <w:rFonts w:ascii="Times New Roman" w:hAnsi="Times New Roman"/>
          <w:bCs/>
          <w:color w:val="404040" w:themeColor="text1" w:themeTint="BF"/>
          <w:sz w:val="24"/>
        </w:rPr>
      </w:pPr>
      <w:r w:rsidRPr="009145D9">
        <w:rPr>
          <w:rFonts w:ascii="Times New Roman" w:hAnsi="Times New Roman"/>
          <w:color w:val="404040" w:themeColor="text1" w:themeTint="BF"/>
          <w:sz w:val="24"/>
        </w:rPr>
        <w:t>..........................................</w:t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</w:r>
      <w:r w:rsidRPr="009145D9">
        <w:rPr>
          <w:rFonts w:ascii="Times New Roman" w:hAnsi="Times New Roman"/>
          <w:color w:val="404040" w:themeColor="text1" w:themeTint="BF"/>
          <w:sz w:val="24"/>
        </w:rPr>
        <w:tab/>
        <w:t xml:space="preserve">  </w:t>
      </w:r>
      <w:r w:rsidR="008F3F4C">
        <w:rPr>
          <w:rFonts w:ascii="Times New Roman" w:hAnsi="Times New Roman"/>
          <w:color w:val="404040" w:themeColor="text1" w:themeTint="BF"/>
          <w:sz w:val="24"/>
        </w:rPr>
        <w:t xml:space="preserve">           </w:t>
      </w:r>
      <w:r w:rsidR="008F3F4C">
        <w:rPr>
          <w:rFonts w:ascii="Times New Roman" w:hAnsi="Times New Roman"/>
          <w:color w:val="404040" w:themeColor="text1" w:themeTint="BF"/>
          <w:sz w:val="24"/>
        </w:rPr>
        <w:tab/>
        <w:t xml:space="preserve">       </w:t>
      </w:r>
      <w:r w:rsidRPr="009145D9">
        <w:rPr>
          <w:rFonts w:ascii="Times New Roman" w:hAnsi="Times New Roman"/>
          <w:color w:val="404040" w:themeColor="text1" w:themeTint="BF"/>
          <w:sz w:val="24"/>
        </w:rPr>
        <w:t>...........................................</w:t>
      </w:r>
    </w:p>
    <w:p w:rsidR="00D40F69" w:rsidRPr="009145D9" w:rsidRDefault="008F3F4C" w:rsidP="00D40F69">
      <w:pPr>
        <w:rPr>
          <w:rFonts w:ascii="Times New Roman" w:hAnsi="Times New Roman"/>
          <w:bCs/>
          <w:color w:val="404040" w:themeColor="text1" w:themeTint="BF"/>
          <w:sz w:val="24"/>
        </w:rPr>
      </w:pPr>
      <w:r>
        <w:rPr>
          <w:rFonts w:ascii="Times New Roman" w:hAnsi="Times New Roman"/>
          <w:bCs/>
          <w:color w:val="404040" w:themeColor="text1" w:themeTint="BF"/>
          <w:sz w:val="24"/>
        </w:rPr>
        <w:t xml:space="preserve">   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>PaedDr. Jiří Kulhánek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</w:t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                    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>Mgr. Jan Kučera</w:t>
      </w:r>
    </w:p>
    <w:p w:rsidR="00D40F69" w:rsidRPr="009145D9" w:rsidRDefault="008F3F4C" w:rsidP="00D40F69">
      <w:pPr>
        <w:rPr>
          <w:rFonts w:ascii="Times New Roman" w:hAnsi="Times New Roman"/>
          <w:color w:val="404040" w:themeColor="text1" w:themeTint="BF"/>
          <w:sz w:val="24"/>
        </w:rPr>
      </w:pPr>
      <w:r>
        <w:rPr>
          <w:rFonts w:ascii="Times New Roman" w:hAnsi="Times New Roman"/>
          <w:bCs/>
          <w:color w:val="404040" w:themeColor="text1" w:themeTint="BF"/>
          <w:sz w:val="24"/>
        </w:rPr>
        <w:t xml:space="preserve">             </w:t>
      </w:r>
      <w:r w:rsidR="00D40F69" w:rsidRPr="009145D9">
        <w:rPr>
          <w:rFonts w:ascii="Times New Roman" w:hAnsi="Times New Roman"/>
          <w:bCs/>
          <w:color w:val="404040" w:themeColor="text1" w:themeTint="BF"/>
          <w:sz w:val="24"/>
        </w:rPr>
        <w:t>starosta</w:t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</w:r>
      <w:r>
        <w:rPr>
          <w:rFonts w:ascii="Times New Roman" w:hAnsi="Times New Roman"/>
          <w:color w:val="404040" w:themeColor="text1" w:themeTint="BF"/>
          <w:sz w:val="24"/>
        </w:rPr>
        <w:tab/>
        <w:t xml:space="preserve">                      </w:t>
      </w:r>
      <w:r w:rsidR="00D40F69" w:rsidRPr="009145D9">
        <w:rPr>
          <w:rFonts w:ascii="Times New Roman" w:hAnsi="Times New Roman"/>
          <w:color w:val="404040" w:themeColor="text1" w:themeTint="BF"/>
          <w:sz w:val="24"/>
        </w:rPr>
        <w:t xml:space="preserve">prokurista                                                          </w:t>
      </w:r>
    </w:p>
    <w:p w:rsidR="001D6E00" w:rsidRPr="009145D9" w:rsidRDefault="001D6E00">
      <w:pPr>
        <w:rPr>
          <w:rFonts w:ascii="Times New Roman" w:hAnsi="Times New Roman"/>
          <w:color w:val="404040" w:themeColor="text1" w:themeTint="BF"/>
          <w:sz w:val="24"/>
        </w:rPr>
      </w:pPr>
    </w:p>
    <w:sectPr w:rsidR="001D6E00" w:rsidRPr="009145D9" w:rsidSect="00692A2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4C" w:rsidRDefault="008F3F4C" w:rsidP="008F3F4C">
      <w:r>
        <w:separator/>
      </w:r>
    </w:p>
  </w:endnote>
  <w:endnote w:type="continuationSeparator" w:id="0">
    <w:p w:rsidR="008F3F4C" w:rsidRDefault="008F3F4C" w:rsidP="008F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2"/>
        <w:szCs w:val="22"/>
      </w:rPr>
      <w:id w:val="-1238550913"/>
      <w:docPartObj>
        <w:docPartGallery w:val="Page Numbers (Bottom of Page)"/>
        <w:docPartUnique/>
      </w:docPartObj>
    </w:sdtPr>
    <w:sdtEndPr/>
    <w:sdtContent>
      <w:p w:rsidR="008F3F4C" w:rsidRPr="00287A61" w:rsidRDefault="008F3F4C">
        <w:pPr>
          <w:pStyle w:val="Zpat"/>
          <w:jc w:val="center"/>
          <w:rPr>
            <w:rFonts w:ascii="Times New Roman" w:hAnsi="Times New Roman"/>
            <w:sz w:val="22"/>
            <w:szCs w:val="22"/>
          </w:rPr>
        </w:pPr>
        <w:r w:rsidRPr="00287A61">
          <w:rPr>
            <w:rFonts w:ascii="Times New Roman" w:hAnsi="Times New Roman"/>
            <w:sz w:val="22"/>
            <w:szCs w:val="22"/>
          </w:rPr>
          <w:fldChar w:fldCharType="begin"/>
        </w:r>
        <w:r w:rsidRPr="00287A6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87A61">
          <w:rPr>
            <w:rFonts w:ascii="Times New Roman" w:hAnsi="Times New Roman"/>
            <w:sz w:val="22"/>
            <w:szCs w:val="22"/>
          </w:rPr>
          <w:fldChar w:fldCharType="separate"/>
        </w:r>
        <w:r w:rsidR="00A918E0" w:rsidRPr="00287A61">
          <w:rPr>
            <w:rFonts w:ascii="Times New Roman" w:hAnsi="Times New Roman"/>
            <w:noProof/>
            <w:sz w:val="22"/>
            <w:szCs w:val="22"/>
          </w:rPr>
          <w:t>1</w:t>
        </w:r>
        <w:r w:rsidRPr="00287A6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8F3F4C" w:rsidRDefault="008F3F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4C" w:rsidRDefault="008F3F4C" w:rsidP="008F3F4C">
      <w:r>
        <w:separator/>
      </w:r>
    </w:p>
  </w:footnote>
  <w:footnote w:type="continuationSeparator" w:id="0">
    <w:p w:rsidR="008F3F4C" w:rsidRDefault="008F3F4C" w:rsidP="008F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1B6DB9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503465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404040"/>
      </w:rPr>
    </w:lvl>
  </w:abstractNum>
  <w:abstractNum w:abstractNumId="3" w15:restartNumberingAfterBreak="0">
    <w:nsid w:val="00000004"/>
    <w:multiLevelType w:val="singleLevel"/>
    <w:tmpl w:val="D64CB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404040"/>
      </w:rPr>
    </w:lvl>
  </w:abstractNum>
  <w:abstractNum w:abstractNumId="4" w15:restartNumberingAfterBreak="0">
    <w:nsid w:val="00000005"/>
    <w:multiLevelType w:val="singleLevel"/>
    <w:tmpl w:val="4F364D2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404040"/>
      </w:rPr>
    </w:lvl>
  </w:abstractNum>
  <w:abstractNum w:abstractNumId="5" w15:restartNumberingAfterBreak="0">
    <w:nsid w:val="00000006"/>
    <w:multiLevelType w:val="singleLevel"/>
    <w:tmpl w:val="A7DAD32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404040"/>
      </w:rPr>
    </w:lvl>
  </w:abstractNum>
  <w:abstractNum w:abstractNumId="6" w15:restartNumberingAfterBreak="0">
    <w:nsid w:val="00000007"/>
    <w:multiLevelType w:val="singleLevel"/>
    <w:tmpl w:val="1E24AE5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404040"/>
      </w:rPr>
    </w:lvl>
  </w:abstractNum>
  <w:abstractNum w:abstractNumId="7" w15:restartNumberingAfterBreak="0">
    <w:nsid w:val="0873583A"/>
    <w:multiLevelType w:val="hybridMultilevel"/>
    <w:tmpl w:val="6C323B88"/>
    <w:lvl w:ilvl="0" w:tplc="1CE4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F3E98"/>
    <w:multiLevelType w:val="hybridMultilevel"/>
    <w:tmpl w:val="03AC2CBE"/>
    <w:lvl w:ilvl="0" w:tplc="F4365C72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16A27"/>
    <w:multiLevelType w:val="hybridMultilevel"/>
    <w:tmpl w:val="779C3672"/>
    <w:lvl w:ilvl="0" w:tplc="D7EAABB2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F69"/>
    <w:rsid w:val="000246CE"/>
    <w:rsid w:val="000F1683"/>
    <w:rsid w:val="001D6E00"/>
    <w:rsid w:val="00287A61"/>
    <w:rsid w:val="002F14F6"/>
    <w:rsid w:val="004F1930"/>
    <w:rsid w:val="00692A25"/>
    <w:rsid w:val="006D7E29"/>
    <w:rsid w:val="007116FB"/>
    <w:rsid w:val="008D0829"/>
    <w:rsid w:val="008F3F4C"/>
    <w:rsid w:val="009145D9"/>
    <w:rsid w:val="00A55F9C"/>
    <w:rsid w:val="00A90435"/>
    <w:rsid w:val="00A918E0"/>
    <w:rsid w:val="00A9393C"/>
    <w:rsid w:val="00AF1FB3"/>
    <w:rsid w:val="00C53604"/>
    <w:rsid w:val="00D055FB"/>
    <w:rsid w:val="00D40F69"/>
    <w:rsid w:val="00E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DE46"/>
  <w15:docId w15:val="{22E3A382-C4AA-4E78-986C-96AD13E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F6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0F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40F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0F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40F69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customStyle="1" w:styleId="Char">
    <w:name w:val="Char"/>
    <w:basedOn w:val="Normln"/>
    <w:rsid w:val="00D40F69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vbloku1">
    <w:name w:val="Text v bloku1"/>
    <w:basedOn w:val="Normln"/>
    <w:rsid w:val="00D40F69"/>
    <w:pPr>
      <w:widowControl w:val="0"/>
      <w:tabs>
        <w:tab w:val="left" w:pos="720"/>
      </w:tabs>
      <w:suppressAutoHyphens/>
      <w:ind w:left="2124" w:right="566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F4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3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F4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68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1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9FCB-4764-40FF-A973-EDA68C43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Tomáš Mědílek</cp:lastModifiedBy>
  <cp:revision>12</cp:revision>
  <cp:lastPrinted>2018-07-12T12:53:00Z</cp:lastPrinted>
  <dcterms:created xsi:type="dcterms:W3CDTF">2018-01-09T14:30:00Z</dcterms:created>
  <dcterms:modified xsi:type="dcterms:W3CDTF">2018-07-19T12:58:00Z</dcterms:modified>
</cp:coreProperties>
</file>