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BE" w:rsidRDefault="00C725CF" w:rsidP="00BA4ABE">
      <w:pPr>
        <w:pStyle w:val="cpNzevsmlouvy"/>
        <w:spacing w:after="0"/>
      </w:pPr>
      <w:r>
        <w:t>Dohoda o používání výplatního stroje k úhradě cen za poštovní služby</w:t>
      </w:r>
    </w:p>
    <w:p w:rsidR="005E50B0" w:rsidRDefault="00BA4ABE" w:rsidP="009454A0">
      <w:pPr>
        <w:pStyle w:val="cpNzevsmlouvy"/>
        <w:spacing w:after="0"/>
      </w:pPr>
      <w:r>
        <w:t>Č</w:t>
      </w:r>
      <w:r w:rsidR="005E50B0">
        <w:t xml:space="preserve">íslo </w:t>
      </w:r>
      <w:r w:rsidR="00C17557">
        <w:t>2018</w:t>
      </w:r>
      <w:r w:rsidR="005E50B0">
        <w:t xml:space="preserve"> / </w:t>
      </w:r>
      <w:r w:rsidR="00C17557">
        <w:t>10993</w:t>
      </w:r>
    </w:p>
    <w:tbl>
      <w:tblPr>
        <w:tblpPr w:leftFromText="141" w:rightFromText="141" w:vertAnchor="text" w:horzAnchor="margin" w:tblpY="501"/>
        <w:tblW w:w="10407" w:type="dxa"/>
        <w:tblLook w:val="01E0" w:firstRow="1" w:lastRow="1" w:firstColumn="1" w:lastColumn="1" w:noHBand="0" w:noVBand="0"/>
      </w:tblPr>
      <w:tblGrid>
        <w:gridCol w:w="3727"/>
        <w:gridCol w:w="6680"/>
      </w:tblGrid>
      <w:tr w:rsidR="005E50B0" w:rsidRPr="0095032E" w:rsidTr="000E7450">
        <w:trPr>
          <w:trHeight w:val="397"/>
        </w:trPr>
        <w:tc>
          <w:tcPr>
            <w:tcW w:w="3727" w:type="dxa"/>
          </w:tcPr>
          <w:p w:rsidR="005E50B0" w:rsidRPr="0095032E" w:rsidRDefault="005E50B0" w:rsidP="00D344BD">
            <w:pPr>
              <w:pStyle w:val="cpTabulkasmluvnistrany"/>
              <w:framePr w:hSpace="0" w:wrap="auto" w:vAnchor="margin" w:hAnchor="text" w:yAlign="inline"/>
            </w:pPr>
            <w:r w:rsidRPr="0095032E">
              <w:rPr>
                <w:b/>
              </w:rPr>
              <w:t xml:space="preserve">Česká pošta, </w:t>
            </w:r>
            <w:proofErr w:type="spellStart"/>
            <w:r w:rsidRPr="0095032E">
              <w:rPr>
                <w:b/>
              </w:rPr>
              <w:t>s.p</w:t>
            </w:r>
            <w:proofErr w:type="spellEnd"/>
            <w:r w:rsidRPr="0095032E">
              <w:rPr>
                <w:b/>
              </w:rPr>
              <w:t>.</w:t>
            </w:r>
          </w:p>
        </w:tc>
        <w:tc>
          <w:tcPr>
            <w:tcW w:w="6680" w:type="dxa"/>
          </w:tcPr>
          <w:p w:rsidR="005E50B0" w:rsidRPr="0095032E" w:rsidRDefault="005E50B0" w:rsidP="00D344BD">
            <w:pPr>
              <w:pStyle w:val="cpTabulkasmluvnistrany"/>
              <w:framePr w:hSpace="0" w:wrap="auto" w:vAnchor="margin" w:hAnchor="text" w:yAlign="inline"/>
            </w:pP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D344BD">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D344BD">
            <w:pPr>
              <w:pStyle w:val="cpTabulkasmluvnistrany"/>
              <w:framePr w:hSpace="0" w:wrap="auto" w:vAnchor="margin" w:hAnchor="text" w:yAlign="inline"/>
              <w:spacing w:after="60"/>
            </w:pPr>
            <w:r w:rsidRPr="0095032E">
              <w:t>47114983</w:t>
            </w:r>
          </w:p>
        </w:tc>
      </w:tr>
      <w:tr w:rsidR="005E50B0" w:rsidRPr="0095032E" w:rsidTr="000E7450">
        <w:trPr>
          <w:trHeight w:val="336"/>
        </w:trPr>
        <w:tc>
          <w:tcPr>
            <w:tcW w:w="3727" w:type="dxa"/>
          </w:tcPr>
          <w:p w:rsidR="005E50B0" w:rsidRPr="0095032E" w:rsidRDefault="005E50B0" w:rsidP="00D344BD">
            <w:pPr>
              <w:pStyle w:val="cpTabulkasmluvnistrany"/>
              <w:framePr w:hSpace="0" w:wrap="auto" w:vAnchor="margin" w:hAnchor="text" w:yAlign="inline"/>
              <w:spacing w:after="60"/>
            </w:pPr>
            <w:r w:rsidRPr="0095032E">
              <w:t>DIČ:</w:t>
            </w:r>
          </w:p>
        </w:tc>
        <w:tc>
          <w:tcPr>
            <w:tcW w:w="6680" w:type="dxa"/>
          </w:tcPr>
          <w:p w:rsidR="005E50B0" w:rsidRPr="0095032E" w:rsidRDefault="005E50B0" w:rsidP="00D344BD">
            <w:pPr>
              <w:pStyle w:val="cpTabulkasmluvnistrany"/>
              <w:framePr w:hSpace="0" w:wrap="auto" w:vAnchor="margin" w:hAnchor="text" w:yAlign="inline"/>
              <w:spacing w:after="60"/>
            </w:pPr>
            <w:r w:rsidRPr="0095032E">
              <w:t>CZ47114983</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680" w:type="dxa"/>
          </w:tcPr>
          <w:p w:rsidR="005E50B0" w:rsidRPr="0095032E" w:rsidRDefault="00C17557" w:rsidP="00C17557">
            <w:pPr>
              <w:pStyle w:val="cpTabulkasmluvnistrany"/>
              <w:framePr w:hSpace="0" w:wrap="auto" w:vAnchor="margin" w:hAnchor="text" w:yAlign="inline"/>
              <w:spacing w:after="60"/>
            </w:pPr>
            <w:r>
              <w:t>Jan Szlifka</w:t>
            </w:r>
            <w:r w:rsidR="005E50B0" w:rsidRPr="0095032E">
              <w:t xml:space="preserve">, </w:t>
            </w: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odboru VIP obchod</w:t>
            </w:r>
            <w:r w:rsidR="005E50B0" w:rsidRPr="0095032E">
              <w:t xml:space="preserve"> </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D344BD">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0E7450">
        <w:trPr>
          <w:trHeight w:val="336"/>
        </w:trPr>
        <w:tc>
          <w:tcPr>
            <w:tcW w:w="3727"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D344BD">
            <w:pPr>
              <w:pStyle w:val="cpTabulkasmluvnistrany"/>
              <w:framePr w:hSpace="0" w:wrap="auto" w:vAnchor="margin" w:hAnchor="text" w:yAlign="inline"/>
              <w:spacing w:after="60"/>
            </w:pPr>
            <w:r w:rsidRPr="0095032E">
              <w:t>Československá obchodní banka, a.s.</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680" w:type="dxa"/>
          </w:tcPr>
          <w:p w:rsidR="005E50B0" w:rsidRPr="0095032E" w:rsidRDefault="00E06979" w:rsidP="00D344BD">
            <w:pPr>
              <w:pStyle w:val="cpTabulkasmluvnistrany"/>
              <w:framePr w:hSpace="0" w:wrap="auto" w:vAnchor="margin" w:hAnchor="text" w:yAlign="inline"/>
              <w:spacing w:after="60"/>
            </w:pPr>
            <w:r>
              <w:t>133406370/0300</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680" w:type="dxa"/>
          </w:tcPr>
          <w:p w:rsidR="005E50B0" w:rsidRPr="0095032E" w:rsidRDefault="00E06979" w:rsidP="00D344BD">
            <w:pPr>
              <w:pStyle w:val="cpTabulkasmluvnistrany"/>
              <w:framePr w:hSpace="0" w:wrap="auto" w:vAnchor="margin" w:hAnchor="text" w:yAlign="inline"/>
              <w:spacing w:after="60"/>
            </w:pPr>
            <w:r>
              <w:t xml:space="preserve">Česká pošta, </w:t>
            </w:r>
            <w:proofErr w:type="spellStart"/>
            <w:r>
              <w:t>s.p</w:t>
            </w:r>
            <w:proofErr w:type="spellEnd"/>
            <w:r>
              <w:t>., Poštovní přihrádka 99, 225 99 Praha 025</w:t>
            </w:r>
          </w:p>
        </w:tc>
      </w:tr>
      <w:tr w:rsidR="005E50B0" w:rsidRPr="0095032E" w:rsidTr="000E7450">
        <w:trPr>
          <w:trHeight w:val="336"/>
        </w:trPr>
        <w:tc>
          <w:tcPr>
            <w:tcW w:w="3727" w:type="dxa"/>
          </w:tcPr>
          <w:p w:rsidR="005E50B0" w:rsidRPr="0095032E" w:rsidRDefault="005E50B0" w:rsidP="00D344BD">
            <w:pPr>
              <w:pStyle w:val="cpTabulkasmluvnistrany"/>
              <w:framePr w:hSpace="0" w:wrap="auto" w:vAnchor="margin" w:hAnchor="text" w:yAlign="inline"/>
              <w:spacing w:after="60"/>
            </w:pPr>
            <w:r w:rsidRPr="0095032E">
              <w:t>BIC/SWIFT:</w:t>
            </w:r>
          </w:p>
        </w:tc>
        <w:tc>
          <w:tcPr>
            <w:tcW w:w="6680" w:type="dxa"/>
          </w:tcPr>
          <w:p w:rsidR="005E50B0" w:rsidRPr="0095032E" w:rsidRDefault="005E50B0" w:rsidP="00D344BD">
            <w:pPr>
              <w:pStyle w:val="cpTabulkasmluvnistrany"/>
              <w:framePr w:hSpace="0" w:wrap="auto" w:vAnchor="margin" w:hAnchor="text" w:yAlign="inline"/>
              <w:spacing w:after="60"/>
            </w:pPr>
            <w:r w:rsidRPr="0095032E">
              <w:t>CEKOCZPP</w:t>
            </w:r>
          </w:p>
        </w:tc>
      </w:tr>
      <w:tr w:rsidR="005E50B0" w:rsidRPr="0095032E" w:rsidTr="000E7450">
        <w:trPr>
          <w:trHeight w:val="321"/>
        </w:trPr>
        <w:tc>
          <w:tcPr>
            <w:tcW w:w="3727" w:type="dxa"/>
          </w:tcPr>
          <w:p w:rsidR="005E50B0" w:rsidRPr="0095032E" w:rsidRDefault="005E50B0" w:rsidP="00D344BD">
            <w:pPr>
              <w:pStyle w:val="cpTabulkasmluvnistrany"/>
              <w:framePr w:hSpace="0" w:wrap="auto" w:vAnchor="margin" w:hAnchor="text" w:yAlign="inline"/>
              <w:spacing w:after="60"/>
            </w:pPr>
            <w:r w:rsidRPr="0095032E">
              <w:t>IBAN:</w:t>
            </w:r>
          </w:p>
        </w:tc>
        <w:tc>
          <w:tcPr>
            <w:tcW w:w="6680" w:type="dxa"/>
          </w:tcPr>
          <w:p w:rsidR="005E50B0" w:rsidRPr="0095032E" w:rsidRDefault="00E06979" w:rsidP="00D344BD">
            <w:pPr>
              <w:pStyle w:val="cpTabulkasmluvnistrany"/>
              <w:framePr w:hSpace="0" w:wrap="auto" w:vAnchor="margin" w:hAnchor="text" w:yAlign="inline"/>
              <w:spacing w:after="60"/>
            </w:pPr>
            <w:r>
              <w:t>CZ62 0300 0000 0001 3340 6370</w:t>
            </w:r>
          </w:p>
        </w:tc>
      </w:tr>
      <w:tr w:rsidR="005E50B0" w:rsidRPr="0095032E" w:rsidTr="000E7450">
        <w:trPr>
          <w:trHeight w:val="382"/>
        </w:trPr>
        <w:tc>
          <w:tcPr>
            <w:tcW w:w="3727" w:type="dxa"/>
          </w:tcPr>
          <w:p w:rsidR="005E50B0" w:rsidRPr="0095032E" w:rsidRDefault="005E50B0" w:rsidP="00D344BD">
            <w:pPr>
              <w:pStyle w:val="cpTabulkasmluvnistrany"/>
              <w:framePr w:hSpace="0" w:wrap="auto" w:vAnchor="margin" w:hAnchor="text" w:yAlign="inline"/>
            </w:pPr>
            <w:r w:rsidRPr="0095032E">
              <w:t>dále jen „ČP“</w:t>
            </w:r>
          </w:p>
        </w:tc>
        <w:tc>
          <w:tcPr>
            <w:tcW w:w="6680"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A10F94" w:rsidP="00D344BD">
            <w:pPr>
              <w:pStyle w:val="cpTabulkasmluvnistrany"/>
              <w:framePr w:hSpace="0" w:wrap="auto" w:vAnchor="margin" w:hAnchor="text" w:yAlign="inline"/>
            </w:pPr>
            <w:r>
              <w:rPr>
                <w:b/>
              </w:rPr>
              <w:t xml:space="preserve">Česká republika - </w:t>
            </w:r>
            <w:r w:rsidR="00E06979" w:rsidRPr="005E61B9">
              <w:rPr>
                <w:b/>
              </w:rPr>
              <w:t>Ministerstvo dopravy</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rsidR="005E50B0" w:rsidRPr="0095032E" w:rsidRDefault="00E06979" w:rsidP="00D344BD">
            <w:pPr>
              <w:pStyle w:val="cpTabulkasmluvnistrany"/>
              <w:framePr w:hSpace="0" w:wrap="auto" w:vAnchor="margin" w:hAnchor="text" w:yAlign="inline"/>
              <w:spacing w:after="60"/>
            </w:pPr>
            <w:r>
              <w:t>nábřeží Ludvíka Svobody 1222/12</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E06979" w:rsidP="00D344BD">
            <w:pPr>
              <w:pStyle w:val="cpTabulkasmluvnistrany"/>
              <w:framePr w:hSpace="0" w:wrap="auto" w:vAnchor="margin" w:hAnchor="text" w:yAlign="inline"/>
              <w:spacing w:after="60"/>
            </w:pPr>
            <w:r>
              <w:rPr>
                <w:noProof/>
              </w:rPr>
              <w:t>66003008</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rsidR="005E50B0" w:rsidRPr="0095032E" w:rsidRDefault="00E06979" w:rsidP="00D344BD">
            <w:pPr>
              <w:pStyle w:val="cpTabulkasmluvnistrany"/>
              <w:framePr w:hSpace="0" w:wrap="auto" w:vAnchor="margin" w:hAnchor="text" w:yAlign="inline"/>
              <w:spacing w:after="60"/>
            </w:pPr>
            <w:r>
              <w:rPr>
                <w:noProof/>
              </w:rPr>
              <w:t>CZ66003008</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rsidR="005E50B0" w:rsidRPr="0095032E" w:rsidRDefault="00E06979" w:rsidP="00D344BD">
            <w:pPr>
              <w:pStyle w:val="cpTabulkasmluvnistrany"/>
              <w:framePr w:hSpace="0" w:wrap="auto" w:vAnchor="margin" w:hAnchor="text" w:yAlign="inline"/>
              <w:spacing w:after="60"/>
            </w:pPr>
            <w:r>
              <w:t>Mgr. Martin Vavřina, státní tajemník</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rsidR="005E50B0" w:rsidRPr="0095032E" w:rsidRDefault="00E06979" w:rsidP="00D344BD">
            <w:pPr>
              <w:pStyle w:val="cpTabulkasmluvnistrany"/>
              <w:framePr w:hSpace="0" w:wrap="auto" w:vAnchor="margin" w:hAnchor="text" w:yAlign="inline"/>
              <w:spacing w:after="60"/>
            </w:pPr>
            <w:r>
              <w:rPr>
                <w:noProof/>
              </w:rPr>
              <w:t>podle zákona č. 2/1969 Sb., o zřízení ministerstev a jiných ústředních orgánů státní správy, ve znění pozdějších předpisů</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E06979" w:rsidP="00D344BD">
            <w:pPr>
              <w:pStyle w:val="cpTabulkasmluvnistrany"/>
              <w:framePr w:hSpace="0" w:wrap="auto" w:vAnchor="margin" w:hAnchor="text" w:yAlign="inline"/>
              <w:spacing w:after="60"/>
            </w:pPr>
            <w:r>
              <w:rPr>
                <w:noProof/>
              </w:rP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E06979" w:rsidP="00D344BD">
            <w:pPr>
              <w:pStyle w:val="cpTabulkasmluvnistrany"/>
              <w:framePr w:hSpace="0" w:wrap="auto" w:vAnchor="margin" w:hAnchor="text" w:yAlign="inline"/>
              <w:spacing w:after="60"/>
            </w:pPr>
            <w:bookmarkStart w:id="0" w:name="_GoBack"/>
            <w:bookmarkEnd w:id="0"/>
            <w:r>
              <w:rPr>
                <w:noProof/>
              </w:rPr>
              <w:t>22027001/0710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5E50B0" w:rsidRPr="0095032E" w:rsidRDefault="00E06979" w:rsidP="00D344BD">
            <w:pPr>
              <w:pStyle w:val="cpTabulkasmluvnistrany"/>
              <w:framePr w:hSpace="0" w:wrap="auto" w:vAnchor="margin" w:hAnchor="text" w:yAlign="inline"/>
              <w:spacing w:after="60"/>
            </w:pPr>
            <w:r>
              <w:rPr>
                <w:noProof/>
              </w:rPr>
              <w:t>nábř. Ludvíka Svobody 1222/12, 110 15 Praha 1</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E06979" w:rsidP="00D344BD">
            <w:pPr>
              <w:pStyle w:val="cpTabulkasmluvnistrany"/>
              <w:framePr w:hSpace="0" w:wrap="auto" w:vAnchor="margin" w:hAnchor="text" w:yAlign="inline"/>
              <w:spacing w:after="60"/>
            </w:pPr>
            <w:r>
              <w:rPr>
                <w:noProof/>
              </w:rPr>
              <w:t>869004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1F0E1A">
      <w:pPr>
        <w:numPr>
          <w:ilvl w:val="2"/>
          <w:numId w:val="23"/>
        </w:numPr>
        <w:spacing w:after="120"/>
        <w:jc w:val="both"/>
      </w:pPr>
      <w:r w:rsidRPr="00135AEA">
        <w:t>značka, typ:</w:t>
      </w:r>
      <w:r w:rsidR="00921F07" w:rsidRPr="00135AEA">
        <w:tab/>
      </w:r>
      <w:r w:rsidR="00921F07" w:rsidRPr="00135AEA">
        <w:tab/>
      </w:r>
      <w:r w:rsidR="00CA69D7">
        <w:tab/>
      </w:r>
      <w:r w:rsidR="000B1BD4">
        <w:t>XXX</w:t>
      </w:r>
    </w:p>
    <w:p w:rsidR="00A76567" w:rsidRPr="00135AEA" w:rsidRDefault="00A76567" w:rsidP="001F0E1A">
      <w:pPr>
        <w:numPr>
          <w:ilvl w:val="2"/>
          <w:numId w:val="23"/>
        </w:numPr>
        <w:spacing w:after="120"/>
        <w:jc w:val="both"/>
      </w:pPr>
      <w:r w:rsidRPr="00135AEA">
        <w:t>výrobce:</w:t>
      </w:r>
      <w:r w:rsidR="00CA69D7">
        <w:tab/>
      </w:r>
      <w:r w:rsidR="00921F07" w:rsidRPr="00135AEA">
        <w:tab/>
      </w:r>
      <w:r w:rsidR="00921F07" w:rsidRPr="00135AEA">
        <w:tab/>
      </w:r>
      <w:r w:rsidR="00CA69D7">
        <w:tab/>
      </w:r>
      <w:r w:rsidR="000B1BD4">
        <w:t>XXX</w:t>
      </w:r>
    </w:p>
    <w:p w:rsidR="00A76567" w:rsidRPr="00135AEA" w:rsidRDefault="00A76567" w:rsidP="001F0E1A">
      <w:pPr>
        <w:numPr>
          <w:ilvl w:val="2"/>
          <w:numId w:val="23"/>
        </w:numPr>
        <w:spacing w:after="120"/>
        <w:jc w:val="both"/>
      </w:pPr>
      <w:r w:rsidRPr="00135AEA">
        <w:t>výrobní číslo:</w:t>
      </w:r>
      <w:r w:rsidR="00CA69D7">
        <w:tab/>
      </w:r>
      <w:r w:rsidR="00921F07" w:rsidRPr="00135AEA">
        <w:tab/>
      </w:r>
      <w:r w:rsidR="00CA69D7">
        <w:tab/>
      </w:r>
      <w:r w:rsidR="000B1BD4">
        <w:t>XXX</w:t>
      </w:r>
    </w:p>
    <w:p w:rsidR="00A76567" w:rsidRPr="00135AEA" w:rsidRDefault="00A76567" w:rsidP="001F0E1A">
      <w:pPr>
        <w:numPr>
          <w:ilvl w:val="2"/>
          <w:numId w:val="23"/>
        </w:numPr>
        <w:spacing w:after="120"/>
        <w:jc w:val="both"/>
      </w:pPr>
      <w:r w:rsidRPr="00135AEA">
        <w:t>oprávněný prodejce</w:t>
      </w:r>
      <w:r w:rsidR="00CA69D7">
        <w:t>:</w:t>
      </w:r>
      <w:r w:rsidR="00CA69D7">
        <w:tab/>
      </w:r>
      <w:r w:rsidR="000B1BD4">
        <w:t>XXX</w:t>
      </w:r>
    </w:p>
    <w:p w:rsidR="00A76567" w:rsidRPr="00B83669" w:rsidRDefault="00A76567" w:rsidP="001F0E1A">
      <w:pPr>
        <w:numPr>
          <w:ilvl w:val="2"/>
          <w:numId w:val="23"/>
        </w:numPr>
        <w:spacing w:after="120"/>
        <w:jc w:val="both"/>
      </w:pPr>
      <w:r w:rsidRPr="00135AEA">
        <w:t>licenční číslo:</w:t>
      </w:r>
      <w:r w:rsidR="00CA69D7">
        <w:tab/>
      </w:r>
      <w:r w:rsidR="00CA69D7">
        <w:tab/>
      </w:r>
      <w:r w:rsidR="00921F07" w:rsidRPr="00135AEA">
        <w:tab/>
      </w:r>
      <w:r w:rsidR="000B1BD4">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E06979">
        <w:t>0,-</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527850">
        <w:t>„</w:t>
      </w:r>
      <w:r w:rsidR="00B0540F">
        <w:t>Podmínky</w:t>
      </w:r>
      <w:r w:rsidR="00527850">
        <w:t>“</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1F0E1A">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0B1BD4">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0B1BD4">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0B1BD4">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0B1BD4">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0B1BD4">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C7120C" w:rsidRDefault="00A76567" w:rsidP="00EB545F">
      <w:pPr>
        <w:numPr>
          <w:ilvl w:val="1"/>
          <w:numId w:val="21"/>
        </w:numPr>
        <w:spacing w:after="120"/>
        <w:jc w:val="both"/>
      </w:pPr>
      <w:r w:rsidRPr="00135AEA">
        <w:t>Výplatní stroj bude umístěn na adrese:</w:t>
      </w:r>
    </w:p>
    <w:p w:rsidR="007B3D0B" w:rsidRPr="00B83669" w:rsidRDefault="00A76567" w:rsidP="000E7450">
      <w:pPr>
        <w:numPr>
          <w:ilvl w:val="0"/>
          <w:numId w:val="0"/>
        </w:numPr>
        <w:spacing w:after="120"/>
        <w:ind w:left="570"/>
        <w:jc w:val="both"/>
      </w:pPr>
      <w:r w:rsidRPr="00135AEA">
        <w:t xml:space="preserve"> </w:t>
      </w:r>
      <w:r w:rsidR="000B1BD4">
        <w:rPr>
          <w:noProof/>
        </w:rPr>
        <w:t>XXX</w:t>
      </w:r>
    </w:p>
    <w:p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0B1BD4">
        <w:rPr>
          <w:noProof/>
        </w:rPr>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rsidR="00A10F94">
        <w:t>„</w:t>
      </w:r>
      <w:r>
        <w:t>Zásilky</w:t>
      </w:r>
      <w:r w:rsidR="00A10F94">
        <w:t>“</w:t>
      </w:r>
      <w:r w:rsidRPr="003D2C23">
        <w:t xml:space="preserve">) opatřené otiskem </w:t>
      </w:r>
      <w:r w:rsidR="00A76567" w:rsidRPr="00135AEA">
        <w:t xml:space="preserve">tohoto </w:t>
      </w:r>
      <w:r w:rsidRPr="003D2C23">
        <w:t>výplatního stroje budou předávány</w:t>
      </w:r>
      <w:r w:rsidR="00A87576">
        <w:t>:</w:t>
      </w:r>
    </w:p>
    <w:p w:rsidR="0082246E" w:rsidRPr="00135AEA" w:rsidRDefault="00EC0178" w:rsidP="00E06979">
      <w:pPr>
        <w:pStyle w:val="Odstavecseseznamem"/>
        <w:numPr>
          <w:ilvl w:val="0"/>
          <w:numId w:val="26"/>
        </w:numPr>
        <w:spacing w:after="120"/>
        <w:jc w:val="both"/>
      </w:pPr>
      <w:r w:rsidRPr="003D2C23">
        <w:t>výhradně u přepážky pošty</w:t>
      </w:r>
      <w:r w:rsidR="00FF136D" w:rsidRPr="00135AEA">
        <w:t>:</w:t>
      </w:r>
      <w:r w:rsidR="00FF136D" w:rsidRPr="00B83669">
        <w:t xml:space="preserve"> </w:t>
      </w:r>
      <w:r w:rsidR="000B1BD4">
        <w:t>XXX</w:t>
      </w:r>
    </w:p>
    <w:p w:rsidR="00921F07" w:rsidRPr="00135AEA" w:rsidRDefault="00FF136D" w:rsidP="00E06979">
      <w:pPr>
        <w:numPr>
          <w:ilvl w:val="0"/>
          <w:numId w:val="0"/>
        </w:numPr>
        <w:spacing w:after="120"/>
        <w:ind w:left="1084" w:firstLine="203"/>
        <w:jc w:val="both"/>
      </w:pPr>
      <w:r w:rsidRPr="00135AEA">
        <w:t xml:space="preserve">v době </w:t>
      </w:r>
      <w:r w:rsidRPr="00B83669">
        <w:t xml:space="preserve">od: </w:t>
      </w:r>
      <w:r w:rsidR="000B1BD4">
        <w:t>XXX</w:t>
      </w:r>
      <w:r w:rsidR="00B0540F">
        <w:t xml:space="preserve"> </w:t>
      </w:r>
      <w:r w:rsidRPr="00B83669">
        <w:t xml:space="preserve">do: </w:t>
      </w:r>
      <w:r w:rsidR="000B1BD4">
        <w:t>XXX</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 xml:space="preserve">Poštovních podmínek České pošty, </w:t>
      </w:r>
      <w:proofErr w:type="spellStart"/>
      <w:r w:rsidR="00A3614E" w:rsidRPr="005D41C8">
        <w:t>s.p</w:t>
      </w:r>
      <w:proofErr w:type="spellEnd"/>
      <w:r w:rsidR="00A3614E" w:rsidRPr="005D41C8">
        <w:t>.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Pr="003D2C23"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rsidR="00163586" w:rsidRPr="00135AEA" w:rsidRDefault="000B1BD4" w:rsidP="00EB545F">
      <w:pPr>
        <w:numPr>
          <w:ilvl w:val="5"/>
          <w:numId w:val="19"/>
        </w:numPr>
        <w:spacing w:after="120"/>
        <w:jc w:val="both"/>
      </w:pPr>
      <w:r>
        <w:t> XXX</w:t>
      </w:r>
    </w:p>
    <w:p w:rsidR="00EC0178" w:rsidRDefault="00EC0178" w:rsidP="00EB545F">
      <w:pPr>
        <w:numPr>
          <w:ilvl w:val="2"/>
          <w:numId w:val="19"/>
        </w:numPr>
        <w:spacing w:after="120"/>
        <w:ind w:left="567" w:hanging="567"/>
        <w:jc w:val="both"/>
      </w:pPr>
      <w:r w:rsidRPr="003D2C23">
        <w:t>Kontaktními osobami za ČP jsou</w:t>
      </w:r>
      <w:r w:rsidR="00076875">
        <w:t xml:space="preserve"> </w:t>
      </w:r>
      <w:r w:rsidR="00076875" w:rsidRPr="00215724">
        <w:t>(jméno, pozice, tel., e-mail, popř. fax)</w:t>
      </w:r>
      <w:r w:rsidRPr="003D2C23">
        <w:t>:</w:t>
      </w:r>
    </w:p>
    <w:p w:rsidR="00894678" w:rsidRDefault="000B1BD4" w:rsidP="00EB545F">
      <w:pPr>
        <w:numPr>
          <w:ilvl w:val="5"/>
          <w:numId w:val="19"/>
        </w:numPr>
        <w:spacing w:after="120"/>
        <w:ind w:left="1037" w:hanging="357"/>
        <w:jc w:val="both"/>
      </w:pPr>
      <w:r>
        <w:t> XXX</w:t>
      </w:r>
    </w:p>
    <w:p w:rsidR="00076875" w:rsidRDefault="000B1BD4" w:rsidP="00EB545F">
      <w:pPr>
        <w:numPr>
          <w:ilvl w:val="5"/>
          <w:numId w:val="19"/>
        </w:numPr>
        <w:spacing w:after="120"/>
        <w:ind w:left="1037" w:hanging="357"/>
        <w:jc w:val="both"/>
      </w:pPr>
      <w:r>
        <w:t> XXX</w:t>
      </w:r>
    </w:p>
    <w:p w:rsidR="00EC0178" w:rsidRDefault="00EC0178" w:rsidP="00476D41">
      <w:pPr>
        <w:numPr>
          <w:ilvl w:val="0"/>
          <w:numId w:val="0"/>
        </w:numPr>
        <w:spacing w:after="120"/>
        <w:ind w:left="570"/>
        <w:jc w:val="both"/>
      </w:pPr>
      <w:r w:rsidRPr="003D2C23">
        <w:t>O změnách kontaktních osob a spojení</w:t>
      </w:r>
      <w:r w:rsidR="00A76567" w:rsidRPr="00135AEA">
        <w:t>, které jsou uvedeny v tomto</w:t>
      </w:r>
      <w:r w:rsidRPr="003D2C23">
        <w:t xml:space="preserve"> článku, </w:t>
      </w:r>
      <w:r w:rsidR="00B83669">
        <w:t>odstavci 1.</w:t>
      </w:r>
      <w:r w:rsidR="00731CA6">
        <w:t>19</w:t>
      </w:r>
      <w:r w:rsidRPr="003D2C23">
        <w:t xml:space="preserve">, se budou strany </w:t>
      </w:r>
      <w:r>
        <w:t xml:space="preserve">Dohody </w:t>
      </w:r>
      <w:r w:rsidRPr="003D2C23">
        <w:t>neprodleně písemně informovat. Tyto změny nejsou důvodem k sepsání Dodatku</w:t>
      </w:r>
      <w:r w:rsidR="00EB4EA3">
        <w:t xml:space="preserve"> k této Dohodě</w:t>
      </w:r>
      <w:r w:rsidRPr="003D2C23">
        <w:t>.</w:t>
      </w:r>
    </w:p>
    <w:p w:rsidR="00D55244" w:rsidRDefault="00D55244" w:rsidP="00EB545F">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p>
    <w:p w:rsidR="00D55244" w:rsidRDefault="00D55244" w:rsidP="00D55244">
      <w:pPr>
        <w:pStyle w:val="Odstavecseseznamem"/>
        <w:numPr>
          <w:ilvl w:val="0"/>
          <w:numId w:val="0"/>
        </w:numPr>
        <w:spacing w:after="120"/>
        <w:ind w:left="570"/>
        <w:jc w:val="both"/>
      </w:pP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lastRenderedPageBreak/>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EC0178" w:rsidRDefault="00EC0178" w:rsidP="00EB545F">
      <w:pPr>
        <w:numPr>
          <w:ilvl w:val="1"/>
          <w:numId w:val="20"/>
        </w:numPr>
        <w:spacing w:after="120"/>
        <w:ind w:left="567" w:hanging="567"/>
        <w:jc w:val="both"/>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w:t>
      </w:r>
      <w:proofErr w:type="spellStart"/>
      <w:r>
        <w:t>s.p</w:t>
      </w:r>
      <w:proofErr w:type="spellEnd"/>
      <w:r>
        <w:t xml:space="preserve">., je Uživatel povinen České poště, </w:t>
      </w:r>
      <w:proofErr w:type="spellStart"/>
      <w:r>
        <w:t>s.p</w:t>
      </w:r>
      <w:proofErr w:type="spellEnd"/>
      <w:r>
        <w:t xml:space="preserve">.,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F06305" w:rsidRDefault="00F06305" w:rsidP="00EB545F">
      <w:pPr>
        <w:numPr>
          <w:ilvl w:val="1"/>
          <w:numId w:val="20"/>
        </w:numPr>
        <w:spacing w:after="120" w:line="240" w:lineRule="auto"/>
        <w:jc w:val="both"/>
      </w:pPr>
      <w:r>
        <w:lastRenderedPageBreak/>
        <w:t xml:space="preserve">V případě vědomého porušení povinnosti sdělit České poště, </w:t>
      </w:r>
      <w:proofErr w:type="spellStart"/>
      <w:r>
        <w:t>s.p</w:t>
      </w:r>
      <w:proofErr w:type="spellEnd"/>
      <w:r>
        <w:t xml:space="preserve">.,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215724" w:rsidRDefault="001328AB" w:rsidP="00EB545F">
      <w:pPr>
        <w:numPr>
          <w:ilvl w:val="1"/>
          <w:numId w:val="20"/>
        </w:numPr>
        <w:spacing w:after="120"/>
        <w:ind w:left="567" w:hanging="567"/>
        <w:jc w:val="both"/>
      </w:pPr>
      <w:r w:rsidRPr="00215724">
        <w:t xml:space="preserve">Tato Dohoda se uzavírá na dobu </w:t>
      </w:r>
      <w:r w:rsidR="00897DC7">
        <w:t>neurčitou</w:t>
      </w:r>
      <w:r w:rsidR="00D36094">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D36094" w:rsidRDefault="0021738D" w:rsidP="00D36094">
      <w:pPr>
        <w:pStyle w:val="cpodstavecslovan1"/>
        <w:numPr>
          <w:ilvl w:val="1"/>
          <w:numId w:val="20"/>
        </w:numPr>
        <w:ind w:left="567" w:hanging="567"/>
        <w:rPr>
          <w:b/>
        </w:rPr>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 xml:space="preserve">tran Dohody zajistí odeslání této Dohody správci registru smluv ČP. ČP je oprávněna před odesláním Dohody správci registru smluv v Dohodě znečitelnit informace, na něž se nevztahuje </w:t>
      </w:r>
      <w:proofErr w:type="spellStart"/>
      <w:r w:rsidRPr="0021738D">
        <w:t>uveřejňovací</w:t>
      </w:r>
      <w:proofErr w:type="spellEnd"/>
      <w:r w:rsidRPr="0021738D">
        <w:t xml:space="preserve">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9"/>
          <w:headerReference w:type="default" r:id="rId10"/>
          <w:footerReference w:type="default" r:id="rId11"/>
          <w:headerReference w:type="first" r:id="rId12"/>
          <w:footerReference w:type="first" r:id="rId13"/>
          <w:type w:val="continuous"/>
          <w:pgSz w:w="11906" w:h="16838" w:code="9"/>
          <w:pgMar w:top="2127" w:right="1134" w:bottom="1418" w:left="993" w:header="680" w:footer="1417" w:gutter="0"/>
          <w:cols w:space="709"/>
          <w:docGrid w:linePitch="360"/>
        </w:sectPr>
      </w:pPr>
    </w:p>
    <w:p w:rsidR="00431369" w:rsidRDefault="00431369" w:rsidP="00EB545F">
      <w:pPr>
        <w:numPr>
          <w:ilvl w:val="1"/>
          <w:numId w:val="20"/>
        </w:numPr>
        <w:spacing w:after="120"/>
        <w:ind w:left="567" w:hanging="567"/>
        <w:jc w:val="both"/>
      </w:pPr>
      <w:r>
        <w:lastRenderedPageBreak/>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9C052B" w:rsidRPr="00972BAE"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431369" w:rsidRPr="00215724" w:rsidRDefault="00431369" w:rsidP="00431369">
      <w:pPr>
        <w:pStyle w:val="cpodstavecslovan1"/>
        <w:numPr>
          <w:ilvl w:val="0"/>
          <w:numId w:val="0"/>
        </w:numPr>
      </w:pPr>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431369" w:rsidP="00431369">
      <w:pPr>
        <w:pStyle w:val="cpodstavecslovan1"/>
        <w:numPr>
          <w:ilvl w:val="0"/>
          <w:numId w:val="0"/>
        </w:numPr>
        <w:ind w:left="624" w:hanging="624"/>
      </w:pPr>
      <w:r>
        <w:lastRenderedPageBreak/>
        <w:t>Příloha č. 2 – Podmínky pro používání výplatních strojů</w:t>
      </w:r>
    </w:p>
    <w:p w:rsidR="00431369" w:rsidRDefault="00431369" w:rsidP="00431369">
      <w:pPr>
        <w:pStyle w:val="cpodstavecslovan1"/>
        <w:numPr>
          <w:ilvl w:val="0"/>
          <w:numId w:val="0"/>
        </w:numPr>
        <w:ind w:left="624" w:hanging="624"/>
      </w:pPr>
    </w:p>
    <w:p w:rsidR="00431369" w:rsidRDefault="00431369" w:rsidP="00431369">
      <w:pPr>
        <w:numPr>
          <w:ilvl w:val="0"/>
          <w:numId w:val="0"/>
        </w:numPr>
        <w:spacing w:after="0"/>
        <w:jc w:val="both"/>
      </w:pPr>
    </w:p>
    <w:p w:rsidR="00431369" w:rsidRDefault="00431369"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D36094">
            <w:pPr>
              <w:pStyle w:val="cpodstavecslovan1"/>
              <w:numPr>
                <w:ilvl w:val="0"/>
                <w:numId w:val="0"/>
              </w:numPr>
            </w:pPr>
            <w:r>
              <w:t xml:space="preserve">V </w:t>
            </w:r>
            <w:r w:rsidR="00D36094">
              <w:t>Praze</w:t>
            </w:r>
            <w:r>
              <w:t xml:space="preserve"> dne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89" w:type="dxa"/>
          </w:tcPr>
          <w:p w:rsidR="00431369" w:rsidRDefault="00431369" w:rsidP="00D36094">
            <w:pPr>
              <w:pStyle w:val="cpodstavecslovan1"/>
              <w:numPr>
                <w:ilvl w:val="0"/>
                <w:numId w:val="0"/>
              </w:numPr>
            </w:pPr>
            <w:r>
              <w:t xml:space="preserve">V </w:t>
            </w:r>
            <w:r w:rsidR="00D36094">
              <w:t>Praze</w:t>
            </w:r>
            <w:r>
              <w:t xml:space="preserve"> dne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431369" w:rsidRDefault="00D36094" w:rsidP="00C7120C">
            <w:pPr>
              <w:pStyle w:val="cpodstavecslovan1"/>
              <w:numPr>
                <w:ilvl w:val="0"/>
                <w:numId w:val="0"/>
              </w:numPr>
              <w:jc w:val="center"/>
            </w:pPr>
            <w:r>
              <w:t>Jan Szlifka</w:t>
            </w:r>
          </w:p>
          <w:p w:rsidR="00431369" w:rsidRDefault="00D36094" w:rsidP="00C7120C">
            <w:pPr>
              <w:pStyle w:val="cpodstavecslovan1"/>
              <w:numPr>
                <w:ilvl w:val="0"/>
                <w:numId w:val="0"/>
              </w:numPr>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t xml:space="preserve"> odboru VIP obchod</w:t>
            </w:r>
          </w:p>
        </w:tc>
        <w:tc>
          <w:tcPr>
            <w:tcW w:w="4889" w:type="dxa"/>
          </w:tcPr>
          <w:p w:rsidR="00431369" w:rsidRDefault="00D36094" w:rsidP="00C7120C">
            <w:pPr>
              <w:pStyle w:val="cpodstavecslovan1"/>
              <w:numPr>
                <w:ilvl w:val="0"/>
                <w:numId w:val="0"/>
              </w:numPr>
              <w:jc w:val="center"/>
            </w:pPr>
            <w:r>
              <w:t>Mgr. Martin Vavřina</w:t>
            </w:r>
          </w:p>
          <w:p w:rsidR="00431369" w:rsidRDefault="00D36094" w:rsidP="00C7120C">
            <w:pPr>
              <w:pStyle w:val="cpodstavecslovan1"/>
              <w:numPr>
                <w:ilvl w:val="0"/>
                <w:numId w:val="0"/>
              </w:numPr>
              <w:jc w:val="center"/>
            </w:pPr>
            <w:r>
              <w:t>státní tajemník</w:t>
            </w:r>
          </w:p>
        </w:tc>
      </w:tr>
    </w:tbl>
    <w:p w:rsidR="00EE176D" w:rsidRDefault="00EE176D" w:rsidP="00EE176D">
      <w:pPr>
        <w:numPr>
          <w:ilvl w:val="0"/>
          <w:numId w:val="0"/>
        </w:numPr>
        <w:spacing w:after="120"/>
        <w:jc w:val="both"/>
        <w:sectPr w:rsidR="00EE176D" w:rsidSect="00EE176D">
          <w:headerReference w:type="even" r:id="rId14"/>
          <w:headerReference w:type="default" r:id="rId15"/>
          <w:footerReference w:type="default" r:id="rId16"/>
          <w:type w:val="continuous"/>
          <w:pgSz w:w="11906" w:h="16838" w:code="9"/>
          <w:pgMar w:top="2127" w:right="1134" w:bottom="1418" w:left="993" w:header="680" w:footer="1417" w:gutter="0"/>
          <w:cols w:space="709"/>
          <w:docGrid w:linePitch="360"/>
        </w:sectPr>
      </w:pPr>
    </w:p>
    <w:p w:rsidR="00E42594" w:rsidRPr="00A76567" w:rsidRDefault="00E42594" w:rsidP="000E7450">
      <w:pPr>
        <w:numPr>
          <w:ilvl w:val="0"/>
          <w:numId w:val="0"/>
        </w:numPr>
        <w:spacing w:after="120"/>
      </w:pPr>
    </w:p>
    <w:sectPr w:rsidR="00E42594" w:rsidRPr="00A76567" w:rsidSect="000E7450">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B8E" w:rsidRDefault="00653B8E" w:rsidP="00EB545F">
      <w:pPr>
        <w:numPr>
          <w:ilvl w:val="0"/>
          <w:numId w:val="19"/>
        </w:numPr>
        <w:ind w:left="0" w:firstLine="0"/>
      </w:pPr>
      <w:r>
        <w:separator/>
      </w:r>
    </w:p>
  </w:endnote>
  <w:endnote w:type="continuationSeparator" w:id="0">
    <w:p w:rsidR="00653B8E" w:rsidRDefault="00653B8E" w:rsidP="00EB545F">
      <w:pPr>
        <w:numPr>
          <w:ilvl w:val="0"/>
          <w:numId w:val="19"/>
        </w:numPr>
        <w:ind w:left="0" w:firstLine="0"/>
      </w:pPr>
      <w:r>
        <w:continuationSeparator/>
      </w:r>
    </w:p>
  </w:endnote>
  <w:endnote w:type="continuationNotice" w:id="1">
    <w:p w:rsidR="00653B8E" w:rsidRDefault="00653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F81E1F"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EE5D1D">
      <w:rPr>
        <w:noProof/>
        <w:sz w:val="18"/>
        <w:szCs w:val="18"/>
      </w:rPr>
      <w:t>1</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EE5D1D">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EB677C" w:rsidRDefault="00C7120C" w:rsidP="000E7450">
    <w:pPr>
      <w:pStyle w:val="Zpat"/>
      <w:numPr>
        <w:ilvl w:val="0"/>
        <w:numId w:val="0"/>
      </w:num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rsidP="00C7120C">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EE5D1D">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EE5D1D">
      <w:rPr>
        <w:noProof/>
        <w:sz w:val="18"/>
        <w:szCs w:val="18"/>
      </w:rPr>
      <w:t>7</w:t>
    </w:r>
    <w:r w:rsidRPr="00160A6D">
      <w:rPr>
        <w:sz w:val="18"/>
        <w:szCs w:val="18"/>
      </w:rPr>
      <w:fldChar w:fldCharType="end"/>
    </w:r>
    <w:r w:rsidR="002D5E90">
      <w:rPr>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p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B8E" w:rsidRDefault="00653B8E" w:rsidP="00EB545F">
      <w:pPr>
        <w:numPr>
          <w:ilvl w:val="0"/>
          <w:numId w:val="19"/>
        </w:numPr>
        <w:ind w:left="0" w:firstLine="0"/>
      </w:pPr>
      <w:r>
        <w:separator/>
      </w:r>
    </w:p>
  </w:footnote>
  <w:footnote w:type="continuationSeparator" w:id="0">
    <w:p w:rsidR="00653B8E" w:rsidRDefault="00653B8E" w:rsidP="00EB545F">
      <w:pPr>
        <w:numPr>
          <w:ilvl w:val="0"/>
          <w:numId w:val="19"/>
        </w:numPr>
        <w:ind w:left="0" w:firstLine="0"/>
      </w:pPr>
      <w:r>
        <w:continuationSeparator/>
      </w:r>
    </w:p>
  </w:footnote>
  <w:footnote w:type="continuationNotice" w:id="1">
    <w:p w:rsidR="00653B8E" w:rsidRDefault="00653B8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7C7D557C" wp14:editId="6F457665">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5E926E"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C17557">
      <w:rPr>
        <w:rFonts w:ascii="Arial" w:hAnsi="Arial" w:cs="Arial"/>
      </w:rPr>
      <w:t>2018</w:t>
    </w:r>
    <w:r>
      <w:rPr>
        <w:rFonts w:ascii="Arial" w:hAnsi="Arial" w:cs="Arial"/>
      </w:rPr>
      <w:t xml:space="preserve"> / </w:t>
    </w:r>
    <w:r w:rsidR="00C17557">
      <w:rPr>
        <w:rFonts w:ascii="Arial" w:hAnsi="Arial" w:cs="Arial"/>
      </w:rPr>
      <w:t>10993</w:t>
    </w:r>
  </w:p>
  <w:p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56DC06BD" wp14:editId="51FB58DA">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000B1BD4" w:rsidRPr="00476D41">
      <w:rPr>
        <w:noProof/>
        <w:szCs w:val="22"/>
      </w:rPr>
      <w:drawing>
        <wp:anchor distT="0" distB="0" distL="114300" distR="114300" simplePos="0" relativeHeight="251677696" behindDoc="1" locked="0" layoutInCell="1" allowOverlap="1" wp14:anchorId="328C7505" wp14:editId="517201C7">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0B1BD4">
      <w:rPr>
        <w:noProof/>
        <w:szCs w:val="22"/>
      </w:rPr>
      <w:t>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proofErr w:type="spellStart"/>
    <w:r>
      <w:t>ass</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E" w:rsidRDefault="0053125E" w:rsidP="009D7203">
    <w:pPr>
      <w:pStyle w:val="Zhlav"/>
      <w:numPr>
        <w:ilvl w:val="0"/>
        <w:numId w:val="0"/>
      </w:numPr>
      <w:spacing w:after="0" w:line="80" w:lineRule="exact"/>
      <w:ind w:left="1344"/>
      <w:rPr>
        <w:rFonts w:ascii="Arial" w:hAnsi="Arial" w:cs="Arial"/>
        <w:b/>
        <w:sz w:val="12"/>
        <w:szCs w:val="12"/>
      </w:rPr>
    </w:pPr>
  </w:p>
  <w:p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2D9E598B" wp14:editId="2EDDEC55">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00F0BD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 xml:space="preserve">Číslo </w:t>
    </w:r>
    <w:r w:rsidR="000B1BD4">
      <w:rPr>
        <w:rFonts w:ascii="Arial" w:hAnsi="Arial" w:cs="Arial"/>
      </w:rPr>
      <w:t>2018/10993</w:t>
    </w:r>
  </w:p>
  <w:p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276BBA54" wp14:editId="6AD7E0A2">
          <wp:simplePos x="0" y="0"/>
          <wp:positionH relativeFrom="page">
            <wp:posOffset>720090</wp:posOffset>
          </wp:positionH>
          <wp:positionV relativeFrom="page">
            <wp:posOffset>431800</wp:posOffset>
          </wp:positionV>
          <wp:extent cx="611505" cy="465455"/>
          <wp:effectExtent l="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76D1A8ED" wp14:editId="644A7286">
          <wp:simplePos x="0" y="0"/>
          <wp:positionH relativeFrom="page">
            <wp:posOffset>720090</wp:posOffset>
          </wp:positionH>
          <wp:positionV relativeFrom="page">
            <wp:posOffset>1080135</wp:posOffset>
          </wp:positionV>
          <wp:extent cx="6124575" cy="142875"/>
          <wp:effectExtent l="0" t="0" r="9525" b="952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0B1BD4">
      <w:rPr>
        <w:rFonts w:ascii="Arial" w:hAnsi="Arial" w:cs="Arial"/>
      </w:rPr>
      <w:t>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20C" w:rsidRDefault="00C712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5">
    <w:nsid w:val="35083A6B"/>
    <w:multiLevelType w:val="hybridMultilevel"/>
    <w:tmpl w:val="A3D4663E"/>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2">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3">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4">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3"/>
  </w:num>
  <w:num w:numId="12">
    <w:abstractNumId w:val="11"/>
  </w:num>
  <w:num w:numId="13">
    <w:abstractNumId w:val="16"/>
  </w:num>
  <w:num w:numId="14">
    <w:abstractNumId w:val="10"/>
  </w:num>
  <w:num w:numId="15">
    <w:abstractNumId w:val="17"/>
  </w:num>
  <w:num w:numId="16">
    <w:abstractNumId w:val="24"/>
  </w:num>
  <w:num w:numId="17">
    <w:abstractNumId w:val="19"/>
  </w:num>
  <w:num w:numId="18">
    <w:abstractNumId w:val="14"/>
  </w:num>
  <w:num w:numId="19">
    <w:abstractNumId w:val="25"/>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2"/>
  </w:num>
  <w:num w:numId="21">
    <w:abstractNumId w:val="21"/>
  </w:num>
  <w:num w:numId="22">
    <w:abstractNumId w:val="20"/>
  </w:num>
  <w:num w:numId="23">
    <w:abstractNumId w:val="12"/>
  </w:num>
  <w:num w:numId="24">
    <w:abstractNumId w:val="18"/>
  </w:num>
  <w:num w:numId="25">
    <w:abstractNumId w:val="23"/>
  </w:num>
  <w:num w:numId="26">
    <w:abstractNumId w:val="1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šková Lucie Mgr. Bc.">
    <w15:presenceInfo w15:providerId="AD" w15:userId="S-1-5-21-2013546996-1368335440-1734353810-185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2BB4"/>
    <w:rsid w:val="000039C5"/>
    <w:rsid w:val="00005962"/>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A6ADA"/>
    <w:rsid w:val="000A72EB"/>
    <w:rsid w:val="000A7732"/>
    <w:rsid w:val="000A78D0"/>
    <w:rsid w:val="000B1BD4"/>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2090A"/>
    <w:rsid w:val="00123CBC"/>
    <w:rsid w:val="00124B4A"/>
    <w:rsid w:val="00124C0E"/>
    <w:rsid w:val="001273E5"/>
    <w:rsid w:val="00127B57"/>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95F"/>
    <w:rsid w:val="001F0E1A"/>
    <w:rsid w:val="001F5DAA"/>
    <w:rsid w:val="001F757A"/>
    <w:rsid w:val="001F7A96"/>
    <w:rsid w:val="001F7E8A"/>
    <w:rsid w:val="002012CB"/>
    <w:rsid w:val="00201902"/>
    <w:rsid w:val="002067F0"/>
    <w:rsid w:val="0021738D"/>
    <w:rsid w:val="002179B7"/>
    <w:rsid w:val="0022261D"/>
    <w:rsid w:val="00231FBD"/>
    <w:rsid w:val="00236591"/>
    <w:rsid w:val="0024027A"/>
    <w:rsid w:val="0024104D"/>
    <w:rsid w:val="002422DC"/>
    <w:rsid w:val="00243BC2"/>
    <w:rsid w:val="00254C86"/>
    <w:rsid w:val="00254F17"/>
    <w:rsid w:val="00263075"/>
    <w:rsid w:val="002642C3"/>
    <w:rsid w:val="002670AD"/>
    <w:rsid w:val="00272A61"/>
    <w:rsid w:val="0027585D"/>
    <w:rsid w:val="00276E44"/>
    <w:rsid w:val="00284124"/>
    <w:rsid w:val="00286D81"/>
    <w:rsid w:val="00287B5C"/>
    <w:rsid w:val="00291A94"/>
    <w:rsid w:val="00294C21"/>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910D5"/>
    <w:rsid w:val="003965AE"/>
    <w:rsid w:val="003A27E0"/>
    <w:rsid w:val="003A3142"/>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376B"/>
    <w:rsid w:val="00420226"/>
    <w:rsid w:val="00424101"/>
    <w:rsid w:val="00426765"/>
    <w:rsid w:val="00431369"/>
    <w:rsid w:val="00437D68"/>
    <w:rsid w:val="004415B5"/>
    <w:rsid w:val="004421D5"/>
    <w:rsid w:val="00445790"/>
    <w:rsid w:val="004468D4"/>
    <w:rsid w:val="00455D11"/>
    <w:rsid w:val="00470256"/>
    <w:rsid w:val="00472D56"/>
    <w:rsid w:val="00476D41"/>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6723"/>
    <w:rsid w:val="004E7563"/>
    <w:rsid w:val="004F00B7"/>
    <w:rsid w:val="004F0594"/>
    <w:rsid w:val="004F39DD"/>
    <w:rsid w:val="00502DD7"/>
    <w:rsid w:val="0051060F"/>
    <w:rsid w:val="00527130"/>
    <w:rsid w:val="00527850"/>
    <w:rsid w:val="0053067C"/>
    <w:rsid w:val="0053125E"/>
    <w:rsid w:val="00531847"/>
    <w:rsid w:val="005360BB"/>
    <w:rsid w:val="00541F53"/>
    <w:rsid w:val="00547784"/>
    <w:rsid w:val="00556CA0"/>
    <w:rsid w:val="00562C75"/>
    <w:rsid w:val="00564A9F"/>
    <w:rsid w:val="005657A9"/>
    <w:rsid w:val="005668AE"/>
    <w:rsid w:val="0057375C"/>
    <w:rsid w:val="00577982"/>
    <w:rsid w:val="00583482"/>
    <w:rsid w:val="00590234"/>
    <w:rsid w:val="005903FC"/>
    <w:rsid w:val="0059319D"/>
    <w:rsid w:val="005960F2"/>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5151"/>
    <w:rsid w:val="00606C15"/>
    <w:rsid w:val="0061111D"/>
    <w:rsid w:val="00611981"/>
    <w:rsid w:val="006134D5"/>
    <w:rsid w:val="0061531D"/>
    <w:rsid w:val="00625669"/>
    <w:rsid w:val="00625DA2"/>
    <w:rsid w:val="006269FB"/>
    <w:rsid w:val="00630CEC"/>
    <w:rsid w:val="0063175E"/>
    <w:rsid w:val="006324AA"/>
    <w:rsid w:val="00634A7D"/>
    <w:rsid w:val="00636489"/>
    <w:rsid w:val="00636F01"/>
    <w:rsid w:val="00640B16"/>
    <w:rsid w:val="00640F4A"/>
    <w:rsid w:val="00652D73"/>
    <w:rsid w:val="00653B8E"/>
    <w:rsid w:val="00655D95"/>
    <w:rsid w:val="00656792"/>
    <w:rsid w:val="006652D4"/>
    <w:rsid w:val="00665E88"/>
    <w:rsid w:val="00666F0C"/>
    <w:rsid w:val="00681C9F"/>
    <w:rsid w:val="00681CBE"/>
    <w:rsid w:val="00684275"/>
    <w:rsid w:val="006A1CCC"/>
    <w:rsid w:val="006B0A38"/>
    <w:rsid w:val="006B3278"/>
    <w:rsid w:val="006B5A69"/>
    <w:rsid w:val="006B667A"/>
    <w:rsid w:val="006B6780"/>
    <w:rsid w:val="006B781C"/>
    <w:rsid w:val="006C76EE"/>
    <w:rsid w:val="006D14E9"/>
    <w:rsid w:val="006D629F"/>
    <w:rsid w:val="006E169C"/>
    <w:rsid w:val="006E1DA2"/>
    <w:rsid w:val="006E37CD"/>
    <w:rsid w:val="006E74DE"/>
    <w:rsid w:val="006F574E"/>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6B69"/>
    <w:rsid w:val="00747481"/>
    <w:rsid w:val="00753269"/>
    <w:rsid w:val="00762A4C"/>
    <w:rsid w:val="007703E6"/>
    <w:rsid w:val="00780DC8"/>
    <w:rsid w:val="0078100A"/>
    <w:rsid w:val="00783D54"/>
    <w:rsid w:val="00786E4F"/>
    <w:rsid w:val="007A53F2"/>
    <w:rsid w:val="007A5C30"/>
    <w:rsid w:val="007A5E7F"/>
    <w:rsid w:val="007B3B82"/>
    <w:rsid w:val="007B3D0B"/>
    <w:rsid w:val="007C3998"/>
    <w:rsid w:val="007D31A2"/>
    <w:rsid w:val="007D4A1E"/>
    <w:rsid w:val="007D5DC2"/>
    <w:rsid w:val="007E0737"/>
    <w:rsid w:val="007E093E"/>
    <w:rsid w:val="007E3139"/>
    <w:rsid w:val="007E5B24"/>
    <w:rsid w:val="007F01E7"/>
    <w:rsid w:val="007F0A88"/>
    <w:rsid w:val="007F1F6C"/>
    <w:rsid w:val="007F2BAA"/>
    <w:rsid w:val="007F30B1"/>
    <w:rsid w:val="007F442A"/>
    <w:rsid w:val="007F57CA"/>
    <w:rsid w:val="007F70ED"/>
    <w:rsid w:val="007F7AC6"/>
    <w:rsid w:val="008019BB"/>
    <w:rsid w:val="00801DB5"/>
    <w:rsid w:val="00804026"/>
    <w:rsid w:val="00805614"/>
    <w:rsid w:val="0080649A"/>
    <w:rsid w:val="00806936"/>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563CC"/>
    <w:rsid w:val="008567B6"/>
    <w:rsid w:val="00860203"/>
    <w:rsid w:val="0086516E"/>
    <w:rsid w:val="00865D4C"/>
    <w:rsid w:val="00870919"/>
    <w:rsid w:val="00870E1F"/>
    <w:rsid w:val="0087315F"/>
    <w:rsid w:val="00877376"/>
    <w:rsid w:val="0088027F"/>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4C5"/>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64EE"/>
    <w:rsid w:val="0096737B"/>
    <w:rsid w:val="009677AF"/>
    <w:rsid w:val="009714DD"/>
    <w:rsid w:val="0097187A"/>
    <w:rsid w:val="00971C5D"/>
    <w:rsid w:val="00972BAE"/>
    <w:rsid w:val="009820C7"/>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A001C3"/>
    <w:rsid w:val="00A03F29"/>
    <w:rsid w:val="00A10070"/>
    <w:rsid w:val="00A10F94"/>
    <w:rsid w:val="00A15617"/>
    <w:rsid w:val="00A15B8A"/>
    <w:rsid w:val="00A173DF"/>
    <w:rsid w:val="00A207CA"/>
    <w:rsid w:val="00A20C21"/>
    <w:rsid w:val="00A25A6A"/>
    <w:rsid w:val="00A26346"/>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4025"/>
    <w:rsid w:val="00A87576"/>
    <w:rsid w:val="00A92FDA"/>
    <w:rsid w:val="00A96D46"/>
    <w:rsid w:val="00A974BC"/>
    <w:rsid w:val="00AA4A4D"/>
    <w:rsid w:val="00AA7B23"/>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B0E66"/>
    <w:rsid w:val="00BB0EAA"/>
    <w:rsid w:val="00BB545D"/>
    <w:rsid w:val="00BC10F2"/>
    <w:rsid w:val="00BC169F"/>
    <w:rsid w:val="00BD109D"/>
    <w:rsid w:val="00BD3466"/>
    <w:rsid w:val="00BE0C9D"/>
    <w:rsid w:val="00BE1431"/>
    <w:rsid w:val="00BE18CC"/>
    <w:rsid w:val="00BE46E9"/>
    <w:rsid w:val="00BE5050"/>
    <w:rsid w:val="00C007D7"/>
    <w:rsid w:val="00C011D5"/>
    <w:rsid w:val="00C04B12"/>
    <w:rsid w:val="00C17557"/>
    <w:rsid w:val="00C23A1F"/>
    <w:rsid w:val="00C23B80"/>
    <w:rsid w:val="00C347E4"/>
    <w:rsid w:val="00C352C4"/>
    <w:rsid w:val="00C35B21"/>
    <w:rsid w:val="00C4609C"/>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1D86"/>
    <w:rsid w:val="00CA5A07"/>
    <w:rsid w:val="00CA69D7"/>
    <w:rsid w:val="00CB5701"/>
    <w:rsid w:val="00CC200B"/>
    <w:rsid w:val="00CC3319"/>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1BED"/>
    <w:rsid w:val="00D30469"/>
    <w:rsid w:val="00D32840"/>
    <w:rsid w:val="00D344BD"/>
    <w:rsid w:val="00D36094"/>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E02460"/>
    <w:rsid w:val="00E02FDD"/>
    <w:rsid w:val="00E06979"/>
    <w:rsid w:val="00E06AC7"/>
    <w:rsid w:val="00E11B3F"/>
    <w:rsid w:val="00E128B9"/>
    <w:rsid w:val="00E2097A"/>
    <w:rsid w:val="00E30E47"/>
    <w:rsid w:val="00E321AF"/>
    <w:rsid w:val="00E33719"/>
    <w:rsid w:val="00E341BF"/>
    <w:rsid w:val="00E42594"/>
    <w:rsid w:val="00E46A78"/>
    <w:rsid w:val="00E56801"/>
    <w:rsid w:val="00E579D7"/>
    <w:rsid w:val="00E57C2B"/>
    <w:rsid w:val="00E6080F"/>
    <w:rsid w:val="00E63E0B"/>
    <w:rsid w:val="00E65986"/>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E5D1D"/>
    <w:rsid w:val="00EF14FA"/>
    <w:rsid w:val="00EF35DB"/>
    <w:rsid w:val="00EF4C86"/>
    <w:rsid w:val="00EF6A71"/>
    <w:rsid w:val="00EF6ED3"/>
    <w:rsid w:val="00F06305"/>
    <w:rsid w:val="00F06FC8"/>
    <w:rsid w:val="00F11E67"/>
    <w:rsid w:val="00F20DE8"/>
    <w:rsid w:val="00F24AAE"/>
    <w:rsid w:val="00F36A04"/>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titul">
    <w:name w:val="Subtitle"/>
    <w:basedOn w:val="Normln"/>
    <w:link w:val="PodtitulChar"/>
    <w:qFormat/>
    <w:rsid w:val="00A15B8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v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qFormat/>
    <w:rsid w:val="00A15B8A"/>
    <w:pPr>
      <w:numPr>
        <w:ilvl w:val="1"/>
        <w:numId w:val="10"/>
      </w:numPr>
      <w:spacing w:after="120"/>
      <w:jc w:val="both"/>
    </w:pPr>
    <w:rPr>
      <w:szCs w:val="22"/>
    </w:rPr>
  </w:style>
  <w:style w:type="paragraph" w:customStyle="1" w:styleId="cpodstavecslovan2">
    <w:name w:val="cp_odstavec číslovaný 2"/>
    <w:basedOn w:val="Normln"/>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titul">
    <w:name w:val="Subtitle"/>
    <w:basedOn w:val="Normln"/>
    <w:link w:val="PodtitulChar"/>
    <w:qFormat/>
    <w:rsid w:val="00A15B8A"/>
    <w:pPr>
      <w:spacing w:after="60"/>
      <w:jc w:val="center"/>
      <w:outlineLvl w:val="1"/>
    </w:pPr>
    <w:rPr>
      <w:rFonts w:ascii="Arial" w:hAnsi="Arial" w:cs="Arial"/>
      <w:sz w:val="24"/>
      <w:szCs w:val="24"/>
    </w:rPr>
  </w:style>
  <w:style w:type="character" w:customStyle="1" w:styleId="PodtitulChar">
    <w:name w:val="Podtitul Char"/>
    <w:basedOn w:val="Standardnpsmoodstavce"/>
    <w:link w:val="Podtitul"/>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v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qFormat/>
    <w:rsid w:val="00A15B8A"/>
    <w:pPr>
      <w:numPr>
        <w:ilvl w:val="1"/>
        <w:numId w:val="10"/>
      </w:numPr>
      <w:spacing w:after="120"/>
      <w:jc w:val="both"/>
    </w:pPr>
    <w:rPr>
      <w:szCs w:val="22"/>
    </w:rPr>
  </w:style>
  <w:style w:type="paragraph" w:customStyle="1" w:styleId="cpodstavecslovan2">
    <w:name w:val="cp_odstavec číslovaný 2"/>
    <w:basedOn w:val="Normln"/>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52D6B-FC9A-44A9-BBC6-2E977521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2547</Words>
  <Characters>15029</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4</cp:revision>
  <cp:lastPrinted>2015-03-12T13:28:00Z</cp:lastPrinted>
  <dcterms:created xsi:type="dcterms:W3CDTF">2018-08-14T10:40:00Z</dcterms:created>
  <dcterms:modified xsi:type="dcterms:W3CDTF">2018-08-14T10:47:00Z</dcterms:modified>
</cp:coreProperties>
</file>