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70" w:rsidRDefault="00270C70" w:rsidP="00270C70">
      <w:pPr>
        <w:jc w:val="right"/>
        <w:rPr>
          <w:rFonts w:ascii="Calibri" w:hAnsi="Calibri" w:cs="Arial"/>
          <w:b/>
          <w:sz w:val="22"/>
          <w:szCs w:val="22"/>
        </w:rPr>
      </w:pPr>
      <w:bookmarkStart w:id="0" w:name="_GoBack"/>
    </w:p>
    <w:bookmarkEnd w:id="0"/>
    <w:p w:rsidR="00270C70" w:rsidRDefault="00270C70" w:rsidP="00270C70">
      <w:pPr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Příloha č. 1 Smlouvy</w:t>
      </w:r>
    </w:p>
    <w:p w:rsidR="00270C70" w:rsidRDefault="00270C70" w:rsidP="00270C70">
      <w:pPr>
        <w:rPr>
          <w:rFonts w:ascii="Calibri" w:hAnsi="Calibri" w:cs="Arial"/>
          <w:b/>
          <w:sz w:val="22"/>
          <w:szCs w:val="22"/>
        </w:rPr>
      </w:pPr>
    </w:p>
    <w:p w:rsidR="00270C70" w:rsidRDefault="00270C70" w:rsidP="00270C70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Cenová nabídka </w:t>
      </w:r>
    </w:p>
    <w:p w:rsidR="00270C70" w:rsidRDefault="00270C70" w:rsidP="00270C70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„Stěhovací služby pro FS“</w:t>
      </w:r>
    </w:p>
    <w:p w:rsidR="00270C70" w:rsidRDefault="00270C70" w:rsidP="00270C70">
      <w:pPr>
        <w:jc w:val="center"/>
      </w:pPr>
      <w:proofErr w:type="gramStart"/>
      <w:r>
        <w:rPr>
          <w:rFonts w:ascii="Calibri" w:hAnsi="Calibri" w:cs="Arial"/>
          <w:sz w:val="22"/>
          <w:szCs w:val="22"/>
        </w:rPr>
        <w:t>Č.j.</w:t>
      </w:r>
      <w:proofErr w:type="gramEnd"/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107549/16/7320-5028-050058 </w:t>
      </w:r>
    </w:p>
    <w:p w:rsidR="00270C70" w:rsidRDefault="00270C70" w:rsidP="00270C70">
      <w:pPr>
        <w:tabs>
          <w:tab w:val="left" w:pos="0"/>
        </w:tabs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W w:w="8158" w:type="dxa"/>
        <w:tblInd w:w="8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7"/>
        <w:gridCol w:w="2028"/>
        <w:gridCol w:w="1943"/>
      </w:tblGrid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Cena bez DPH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Cena včetně DPH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Balící materiál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70" w:rsidRDefault="00270C70">
            <w:pPr>
              <w:spacing w:line="244" w:lineRule="auto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70" w:rsidRDefault="00270C70">
            <w:pPr>
              <w:spacing w:line="244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 w:rsidP="00EC3E18">
            <w:pPr>
              <w:numPr>
                <w:ilvl w:val="0"/>
                <w:numId w:val="1"/>
              </w:num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bublinková folie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10,-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12,10,-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 w:rsidP="00EC3E18">
            <w:pPr>
              <w:numPr>
                <w:ilvl w:val="0"/>
                <w:numId w:val="1"/>
              </w:num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fixační folie 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5,-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6,05,-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 w:rsidP="00EC3E18">
            <w:pPr>
              <w:numPr>
                <w:ilvl w:val="0"/>
                <w:numId w:val="1"/>
              </w:num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lepicí páska 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10,-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12,10,-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>25,-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>30,25,-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Zapůjčení krabic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     stěhovací</w:t>
            </w:r>
            <w:proofErr w:type="gramEnd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krabice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10,-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12,10,-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 w:rsidP="00EC3E18">
            <w:pPr>
              <w:numPr>
                <w:ilvl w:val="0"/>
                <w:numId w:val="1"/>
              </w:num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Stěhovací krabice zamykatelné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10-,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12,10,-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>20,-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>24,20,-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Nakládka a vykládka 1 hod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380,-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459,80,-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Doprava 1 km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50,-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60,50,-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Vozidlo + posádka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 w:rsidP="00EC3E18">
            <w:pPr>
              <w:numPr>
                <w:ilvl w:val="0"/>
                <w:numId w:val="1"/>
              </w:num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Drobné převozy (20m3 + 1-2 osoby)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100,-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121,-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 w:rsidP="00EC3E18">
            <w:pPr>
              <w:numPr>
                <w:ilvl w:val="0"/>
                <w:numId w:val="1"/>
              </w:num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Standardní stěhování (24 m3 + 2-3 osoby)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100,-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121,-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 w:rsidP="00EC3E18">
            <w:pPr>
              <w:numPr>
                <w:ilvl w:val="0"/>
                <w:numId w:val="1"/>
              </w:num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Velké stěhování (40m3 + 3-4 osoby)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100,-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121,-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>300,-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>363,-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 xml:space="preserve">Stěhování břemen 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     0 – 250</w:t>
            </w:r>
            <w:proofErr w:type="gramEnd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kg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2.500,-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3.025,-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     251</w:t>
            </w:r>
            <w:proofErr w:type="gramEnd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– 300 kg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200,-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242,-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proofErr w:type="gramStart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      301</w:t>
            </w:r>
            <w:proofErr w:type="gramEnd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– 400 kg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200,-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242,-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proofErr w:type="gramStart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      401</w:t>
            </w:r>
            <w:proofErr w:type="gramEnd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– 500 kg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200,-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242,-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proofErr w:type="gramStart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      501</w:t>
            </w:r>
            <w:proofErr w:type="gramEnd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– 600 kg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200,-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242,-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proofErr w:type="gramStart"/>
            <w:r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    601</w:t>
            </w:r>
            <w:proofErr w:type="gramEnd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– 800 kg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200,-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242,-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proofErr w:type="gramStart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      801</w:t>
            </w:r>
            <w:proofErr w:type="gramEnd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– 900 kg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200,-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242,-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proofErr w:type="gramStart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      901</w:t>
            </w:r>
            <w:proofErr w:type="gramEnd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– 1000 kg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200,-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242,-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proofErr w:type="gramStart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   cena</w:t>
            </w:r>
            <w:proofErr w:type="gramEnd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za každý dalších 100 kg nad 1000 kg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200,-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242,-</w:t>
            </w:r>
          </w:p>
        </w:tc>
      </w:tr>
      <w:tr w:rsidR="00270C70" w:rsidTr="00270C70">
        <w:tc>
          <w:tcPr>
            <w:tcW w:w="4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rPr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 xml:space="preserve">Celkem </w:t>
            </w:r>
          </w:p>
        </w:tc>
        <w:tc>
          <w:tcPr>
            <w:tcW w:w="2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>4.100,-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C70" w:rsidRDefault="00270C70">
            <w:pPr>
              <w:spacing w:line="244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>4.961,-</w:t>
            </w:r>
          </w:p>
        </w:tc>
      </w:tr>
    </w:tbl>
    <w:p w:rsidR="00270C70" w:rsidRDefault="00270C70" w:rsidP="00270C70">
      <w:pPr>
        <w:rPr>
          <w:rFonts w:ascii="Calibri" w:hAnsi="Calibri" w:cs="Arial"/>
          <w:sz w:val="22"/>
          <w:szCs w:val="22"/>
        </w:rPr>
      </w:pPr>
    </w:p>
    <w:p w:rsidR="00270C70" w:rsidRDefault="00270C70" w:rsidP="00270C70">
      <w:pPr>
        <w:keepNext/>
        <w:ind w:left="432"/>
        <w:rPr>
          <w:rFonts w:ascii="Calibri" w:hAnsi="Calibri" w:cs="Arial"/>
          <w:b/>
          <w:sz w:val="22"/>
          <w:szCs w:val="22"/>
          <w:lang w:eastAsia="ar-SA"/>
        </w:rPr>
      </w:pPr>
    </w:p>
    <w:p w:rsidR="00270C70" w:rsidRDefault="00270C70" w:rsidP="00270C70">
      <w:pPr>
        <w:rPr>
          <w:rFonts w:ascii="Calibri" w:hAnsi="Calibri"/>
          <w:sz w:val="22"/>
          <w:szCs w:val="22"/>
        </w:rPr>
      </w:pPr>
    </w:p>
    <w:p w:rsidR="00530CC0" w:rsidRDefault="00530CC0"/>
    <w:sectPr w:rsidR="00530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B61F8"/>
    <w:multiLevelType w:val="multilevel"/>
    <w:tmpl w:val="74545B70"/>
    <w:lvl w:ilvl="0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1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5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70"/>
    <w:rsid w:val="00270C70"/>
    <w:rsid w:val="0053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C7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C7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Pěkná Miroslava (GFŘ)</dc:creator>
  <cp:lastModifiedBy>Pěkná Miroslava (GFŘ)</cp:lastModifiedBy>
  <cp:revision>1</cp:revision>
  <dcterms:created xsi:type="dcterms:W3CDTF">2016-11-15T07:27:00Z</dcterms:created>
  <dcterms:modified xsi:type="dcterms:W3CDTF">2016-11-15T07:31:00Z</dcterms:modified>
</cp:coreProperties>
</file>