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15" w:rsidRPr="007260ED" w:rsidRDefault="00207215" w:rsidP="00207215">
      <w:pPr>
        <w:pBdr>
          <w:bottom w:val="single" w:sz="24" w:space="1" w:color="FF0000"/>
        </w:pBdr>
        <w:jc w:val="center"/>
        <w:rPr>
          <w:rFonts w:ascii="Cambria" w:hAnsi="Cambria" w:cs="Cambria"/>
          <w:b/>
          <w:bCs/>
          <w:sz w:val="44"/>
          <w:szCs w:val="44"/>
          <w:lang w:val="cs-CZ"/>
        </w:rPr>
      </w:pPr>
      <w:r w:rsidRPr="007260ED">
        <w:rPr>
          <w:rFonts w:ascii="Cambria" w:hAnsi="Cambria" w:cs="Cambria"/>
          <w:b/>
          <w:bCs/>
          <w:sz w:val="44"/>
          <w:szCs w:val="44"/>
          <w:lang w:val="cs-CZ"/>
        </w:rPr>
        <w:t xml:space="preserve">Příkazní smlouva </w:t>
      </w:r>
    </w:p>
    <w:p w:rsidR="00207215" w:rsidRPr="0070395B" w:rsidRDefault="00207215" w:rsidP="00207215">
      <w:pPr>
        <w:jc w:val="center"/>
        <w:rPr>
          <w:rFonts w:ascii="Cambria" w:hAnsi="Cambria" w:cs="Cambria"/>
          <w:lang w:val="cs-CZ"/>
        </w:rPr>
      </w:pPr>
      <w:r w:rsidRPr="0070395B">
        <w:rPr>
          <w:rFonts w:ascii="Cambria" w:hAnsi="Cambria" w:cs="Cambria"/>
          <w:lang w:val="cs-CZ"/>
        </w:rPr>
        <w:t xml:space="preserve">(dále jen „Smlouva“) uzavřená dle </w:t>
      </w:r>
      <w:proofErr w:type="spellStart"/>
      <w:r w:rsidRPr="0070395B">
        <w:rPr>
          <w:rFonts w:ascii="Cambria" w:hAnsi="Cambria" w:cs="Cambria"/>
          <w:lang w:val="cs-CZ"/>
        </w:rPr>
        <w:t>ust</w:t>
      </w:r>
      <w:proofErr w:type="spellEnd"/>
      <w:r w:rsidRPr="0070395B">
        <w:rPr>
          <w:rFonts w:ascii="Cambria" w:hAnsi="Cambria" w:cs="Cambria"/>
          <w:lang w:val="cs-CZ"/>
        </w:rPr>
        <w:t>. § 2430 a násl. zákona č. 89/2012 Sb., občanský zákoník, ve znění pozdějších předpisů (dále jen „občanský zákoník“)</w:t>
      </w:r>
    </w:p>
    <w:p w:rsidR="00207215" w:rsidRPr="0070395B" w:rsidRDefault="00207215" w:rsidP="00207215">
      <w:pPr>
        <w:pStyle w:val="Nadpis1"/>
        <w:spacing w:before="360" w:line="240" w:lineRule="auto"/>
        <w:ind w:left="0"/>
        <w:rPr>
          <w:sz w:val="22"/>
          <w:szCs w:val="22"/>
        </w:rPr>
      </w:pPr>
      <w:r w:rsidRPr="0070395B">
        <w:rPr>
          <w:sz w:val="22"/>
          <w:szCs w:val="22"/>
        </w:rPr>
        <w:t>Smluvní strany</w:t>
      </w:r>
    </w:p>
    <w:p w:rsidR="00207215" w:rsidRPr="0070395B" w:rsidRDefault="00207215" w:rsidP="00CC4A40">
      <w:pPr>
        <w:pStyle w:val="Odstavecseseznamem"/>
        <w:numPr>
          <w:ilvl w:val="0"/>
          <w:numId w:val="5"/>
        </w:numPr>
        <w:spacing w:line="240" w:lineRule="auto"/>
        <w:ind w:left="426" w:hanging="426"/>
        <w:jc w:val="both"/>
        <w:rPr>
          <w:rFonts w:ascii="Cambria" w:hAnsi="Cambria" w:cs="Cambria"/>
          <w:b/>
          <w:i/>
          <w:lang w:val="cs-CZ"/>
        </w:rPr>
      </w:pPr>
      <w:r w:rsidRPr="0070395B">
        <w:rPr>
          <w:rFonts w:ascii="Cambria" w:hAnsi="Cambria" w:cs="Cambria"/>
          <w:b/>
          <w:i/>
          <w:lang w:val="cs-CZ"/>
        </w:rPr>
        <w:t xml:space="preserve"> </w:t>
      </w:r>
      <w:r w:rsidR="00CC4A40">
        <w:rPr>
          <w:rFonts w:ascii="Cambria" w:hAnsi="Cambria" w:cs="Cambria"/>
          <w:b/>
          <w:i/>
          <w:lang w:val="cs-CZ"/>
        </w:rPr>
        <w:t>Úrazová nemocnice v Brně</w:t>
      </w:r>
    </w:p>
    <w:p w:rsidR="00207215" w:rsidRPr="0070395B" w:rsidRDefault="00207215" w:rsidP="00207215">
      <w:pPr>
        <w:tabs>
          <w:tab w:val="left" w:pos="3402"/>
        </w:tabs>
        <w:spacing w:line="240" w:lineRule="auto"/>
        <w:ind w:left="3402" w:hanging="3402"/>
        <w:jc w:val="both"/>
        <w:rPr>
          <w:rFonts w:ascii="Cambria" w:hAnsi="Cambria"/>
          <w:lang w:val="cs-CZ"/>
        </w:rPr>
      </w:pPr>
      <w:r w:rsidRPr="0070395B">
        <w:rPr>
          <w:rFonts w:ascii="Cambria" w:hAnsi="Cambria" w:cs="Cambria"/>
          <w:lang w:val="cs-CZ"/>
        </w:rPr>
        <w:t>Sídlo:</w:t>
      </w:r>
      <w:r w:rsidR="00CC4A40">
        <w:rPr>
          <w:rFonts w:ascii="Cambria" w:hAnsi="Cambria" w:cs="Cambria"/>
          <w:lang w:val="cs-CZ"/>
        </w:rPr>
        <w:t xml:space="preserve"> </w:t>
      </w:r>
      <w:r w:rsidR="00CC4A40">
        <w:rPr>
          <w:rFonts w:ascii="Cambria" w:hAnsi="Cambria" w:cs="Cambria"/>
          <w:lang w:val="cs-CZ"/>
        </w:rPr>
        <w:tab/>
      </w:r>
      <w:proofErr w:type="spellStart"/>
      <w:r w:rsidR="00CC4A40">
        <w:rPr>
          <w:rFonts w:ascii="Cambria" w:hAnsi="Cambria" w:cs="Cambria"/>
          <w:lang w:val="cs-CZ"/>
        </w:rPr>
        <w:t>Ponávka</w:t>
      </w:r>
      <w:proofErr w:type="spellEnd"/>
      <w:r w:rsidR="00CC4A40">
        <w:rPr>
          <w:rFonts w:ascii="Cambria" w:hAnsi="Cambria" w:cs="Cambria"/>
          <w:lang w:val="cs-CZ"/>
        </w:rPr>
        <w:t xml:space="preserve"> 139/6, 66250 Brno</w:t>
      </w:r>
      <w:r w:rsidRPr="0070395B">
        <w:rPr>
          <w:rFonts w:ascii="Cambria" w:hAnsi="Cambria"/>
          <w:lang w:val="cs-CZ"/>
        </w:rPr>
        <w:tab/>
      </w:r>
    </w:p>
    <w:p w:rsidR="00207215" w:rsidRDefault="00207215" w:rsidP="00207215">
      <w:pPr>
        <w:pStyle w:val="Bezmezer"/>
        <w:tabs>
          <w:tab w:val="left" w:pos="3402"/>
        </w:tabs>
        <w:spacing w:line="240" w:lineRule="auto"/>
        <w:rPr>
          <w:sz w:val="22"/>
          <w:szCs w:val="22"/>
        </w:rPr>
      </w:pPr>
      <w:r w:rsidRPr="0070395B">
        <w:rPr>
          <w:sz w:val="22"/>
          <w:szCs w:val="22"/>
        </w:rPr>
        <w:t>Statutární zástupce:</w:t>
      </w:r>
      <w:r w:rsidR="00CC4A40">
        <w:rPr>
          <w:sz w:val="22"/>
          <w:szCs w:val="22"/>
        </w:rPr>
        <w:tab/>
        <w:t xml:space="preserve">Ing. Zdeněk </w:t>
      </w:r>
      <w:proofErr w:type="spellStart"/>
      <w:r w:rsidR="00CC4A40">
        <w:rPr>
          <w:sz w:val="22"/>
          <w:szCs w:val="22"/>
        </w:rPr>
        <w:t>Buštík</w:t>
      </w:r>
      <w:proofErr w:type="spellEnd"/>
      <w:r w:rsidR="00CC4A40">
        <w:rPr>
          <w:sz w:val="22"/>
          <w:szCs w:val="22"/>
        </w:rPr>
        <w:t>, MBA - ředitel</w:t>
      </w:r>
      <w:r w:rsidRPr="0070395B">
        <w:rPr>
          <w:sz w:val="22"/>
          <w:szCs w:val="22"/>
        </w:rPr>
        <w:tab/>
      </w:r>
    </w:p>
    <w:p w:rsidR="00207215" w:rsidRDefault="00207215" w:rsidP="00207215">
      <w:pPr>
        <w:pStyle w:val="Bezmezer"/>
        <w:tabs>
          <w:tab w:val="left" w:pos="3402"/>
        </w:tabs>
        <w:spacing w:line="240" w:lineRule="auto"/>
        <w:rPr>
          <w:sz w:val="22"/>
          <w:szCs w:val="22"/>
        </w:rPr>
      </w:pPr>
      <w:r w:rsidRPr="0070395B">
        <w:rPr>
          <w:sz w:val="22"/>
          <w:szCs w:val="22"/>
        </w:rPr>
        <w:t>IČ:</w:t>
      </w:r>
      <w:r w:rsidR="00CC4A40">
        <w:rPr>
          <w:sz w:val="22"/>
          <w:szCs w:val="22"/>
        </w:rPr>
        <w:tab/>
        <w:t>00209813</w:t>
      </w:r>
      <w:r w:rsidRPr="0070395B">
        <w:rPr>
          <w:sz w:val="22"/>
          <w:szCs w:val="22"/>
        </w:rPr>
        <w:tab/>
      </w:r>
    </w:p>
    <w:p w:rsidR="00207215" w:rsidRPr="0070395B" w:rsidRDefault="00207215" w:rsidP="00207215">
      <w:pPr>
        <w:pStyle w:val="Bezmezer"/>
        <w:tabs>
          <w:tab w:val="left" w:pos="3402"/>
        </w:tabs>
        <w:spacing w:line="240" w:lineRule="auto"/>
        <w:rPr>
          <w:sz w:val="22"/>
          <w:szCs w:val="22"/>
          <w:lang w:eastAsia="cs-CZ"/>
        </w:rPr>
      </w:pPr>
      <w:r w:rsidRPr="0070395B">
        <w:rPr>
          <w:sz w:val="22"/>
          <w:szCs w:val="22"/>
        </w:rPr>
        <w:t>Bankovní spojení:</w:t>
      </w:r>
      <w:r w:rsidRPr="0070395B">
        <w:rPr>
          <w:sz w:val="22"/>
          <w:szCs w:val="22"/>
        </w:rPr>
        <w:tab/>
      </w:r>
    </w:p>
    <w:p w:rsidR="00207215" w:rsidRPr="0070395B" w:rsidRDefault="00207215" w:rsidP="00207215">
      <w:pPr>
        <w:pStyle w:val="Bezmezer"/>
        <w:tabs>
          <w:tab w:val="left" w:pos="3402"/>
        </w:tabs>
        <w:spacing w:after="0" w:line="240" w:lineRule="auto"/>
        <w:rPr>
          <w:sz w:val="22"/>
          <w:szCs w:val="22"/>
          <w:lang w:eastAsia="cs-CZ"/>
        </w:rPr>
      </w:pPr>
      <w:r w:rsidRPr="0070395B">
        <w:rPr>
          <w:sz w:val="22"/>
          <w:szCs w:val="22"/>
          <w:lang w:eastAsia="cs-CZ"/>
        </w:rPr>
        <w:t>Osoba oprávněná jednat</w:t>
      </w:r>
    </w:p>
    <w:p w:rsidR="00207215" w:rsidRPr="0070395B" w:rsidRDefault="00207215" w:rsidP="00207215">
      <w:pPr>
        <w:pStyle w:val="Bezmezer"/>
        <w:tabs>
          <w:tab w:val="left" w:pos="3402"/>
        </w:tabs>
        <w:spacing w:after="0" w:line="240" w:lineRule="auto"/>
        <w:rPr>
          <w:sz w:val="22"/>
          <w:szCs w:val="22"/>
        </w:rPr>
      </w:pPr>
      <w:r w:rsidRPr="0070395B">
        <w:rPr>
          <w:sz w:val="22"/>
          <w:szCs w:val="22"/>
          <w:lang w:eastAsia="cs-CZ"/>
        </w:rPr>
        <w:t>Ve věcech technických:</w:t>
      </w:r>
      <w:r w:rsidRPr="0070395B">
        <w:rPr>
          <w:sz w:val="22"/>
          <w:szCs w:val="22"/>
          <w:lang w:eastAsia="cs-CZ"/>
        </w:rPr>
        <w:tab/>
      </w:r>
      <w:r w:rsidR="00CC4A40">
        <w:rPr>
          <w:sz w:val="22"/>
          <w:szCs w:val="22"/>
          <w:lang w:eastAsia="cs-CZ"/>
        </w:rPr>
        <w:t>Ing. Leoš Dostál, ekonomicko-technický náměstek</w:t>
      </w:r>
    </w:p>
    <w:p w:rsidR="00207215" w:rsidRPr="0070395B" w:rsidRDefault="00207215" w:rsidP="00207215">
      <w:pPr>
        <w:pStyle w:val="Bezmezer"/>
        <w:spacing w:before="240"/>
        <w:rPr>
          <w:sz w:val="22"/>
          <w:szCs w:val="22"/>
        </w:rPr>
      </w:pPr>
      <w:r w:rsidRPr="0070395B">
        <w:rPr>
          <w:sz w:val="22"/>
          <w:szCs w:val="22"/>
        </w:rPr>
        <w:t xml:space="preserve"> (dále jen „Zadavatel nebo Příkazce“)</w:t>
      </w:r>
    </w:p>
    <w:p w:rsidR="00207215" w:rsidRPr="0070395B" w:rsidRDefault="00207215" w:rsidP="00207215">
      <w:pPr>
        <w:pStyle w:val="Bezmezer"/>
        <w:rPr>
          <w:sz w:val="22"/>
          <w:szCs w:val="22"/>
        </w:rPr>
      </w:pPr>
    </w:p>
    <w:p w:rsidR="00207215" w:rsidRPr="0047407F" w:rsidRDefault="0047407F" w:rsidP="00CC4A40">
      <w:pPr>
        <w:pStyle w:val="Nadpis2"/>
        <w:numPr>
          <w:ilvl w:val="1"/>
          <w:numId w:val="3"/>
        </w:numPr>
        <w:ind w:left="567" w:hanging="567"/>
        <w:rPr>
          <w:b/>
          <w:bCs/>
          <w:i/>
          <w:iCs/>
          <w:sz w:val="22"/>
          <w:szCs w:val="22"/>
        </w:rPr>
      </w:pPr>
      <w:r>
        <w:rPr>
          <w:b/>
          <w:bCs/>
          <w:i/>
          <w:iCs/>
          <w:sz w:val="22"/>
          <w:szCs w:val="22"/>
        </w:rPr>
        <w:t>COSTI s.r.o.</w:t>
      </w:r>
    </w:p>
    <w:p w:rsidR="00207215" w:rsidRPr="0047407F" w:rsidRDefault="00207215" w:rsidP="00207215">
      <w:pPr>
        <w:pStyle w:val="Bezmezer"/>
        <w:tabs>
          <w:tab w:val="left" w:pos="3402"/>
        </w:tabs>
        <w:spacing w:line="240" w:lineRule="auto"/>
        <w:rPr>
          <w:sz w:val="22"/>
          <w:szCs w:val="22"/>
        </w:rPr>
      </w:pPr>
      <w:r w:rsidRPr="0047407F">
        <w:rPr>
          <w:sz w:val="22"/>
          <w:szCs w:val="22"/>
        </w:rPr>
        <w:t>Sídlo:</w:t>
      </w:r>
      <w:r w:rsidRPr="0047407F">
        <w:rPr>
          <w:sz w:val="22"/>
          <w:szCs w:val="22"/>
        </w:rPr>
        <w:tab/>
      </w:r>
      <w:r w:rsidR="0047407F">
        <w:rPr>
          <w:sz w:val="22"/>
          <w:szCs w:val="22"/>
        </w:rPr>
        <w:t>Bednářova 22, Brno 619 00</w:t>
      </w:r>
    </w:p>
    <w:p w:rsidR="00207215" w:rsidRPr="0047407F" w:rsidRDefault="00207215" w:rsidP="00207215">
      <w:pPr>
        <w:pStyle w:val="Nadpis2"/>
        <w:numPr>
          <w:ilvl w:val="0"/>
          <w:numId w:val="0"/>
        </w:numPr>
        <w:tabs>
          <w:tab w:val="left" w:pos="3402"/>
        </w:tabs>
        <w:spacing w:line="240" w:lineRule="auto"/>
        <w:rPr>
          <w:sz w:val="22"/>
          <w:szCs w:val="22"/>
        </w:rPr>
      </w:pPr>
      <w:r w:rsidRPr="0047407F">
        <w:rPr>
          <w:sz w:val="22"/>
          <w:szCs w:val="22"/>
        </w:rPr>
        <w:t>Statutární zástupce:</w:t>
      </w:r>
      <w:r w:rsidRPr="0047407F">
        <w:rPr>
          <w:sz w:val="22"/>
          <w:szCs w:val="22"/>
        </w:rPr>
        <w:tab/>
      </w:r>
      <w:r w:rsidR="0047407F">
        <w:rPr>
          <w:sz w:val="22"/>
          <w:szCs w:val="22"/>
        </w:rPr>
        <w:t xml:space="preserve">Ing. Jiří </w:t>
      </w:r>
      <w:proofErr w:type="spellStart"/>
      <w:r w:rsidR="0047407F">
        <w:rPr>
          <w:sz w:val="22"/>
          <w:szCs w:val="22"/>
        </w:rPr>
        <w:t>Lády</w:t>
      </w:r>
      <w:proofErr w:type="spellEnd"/>
    </w:p>
    <w:p w:rsidR="00207215" w:rsidRPr="0047407F" w:rsidRDefault="00207215" w:rsidP="00207215">
      <w:pPr>
        <w:pStyle w:val="Bezmezer"/>
        <w:tabs>
          <w:tab w:val="left" w:pos="3402"/>
          <w:tab w:val="left" w:pos="3540"/>
          <w:tab w:val="left" w:pos="4020"/>
        </w:tabs>
        <w:spacing w:line="240" w:lineRule="auto"/>
        <w:rPr>
          <w:sz w:val="22"/>
          <w:szCs w:val="22"/>
        </w:rPr>
      </w:pPr>
      <w:r w:rsidRPr="0047407F">
        <w:rPr>
          <w:sz w:val="22"/>
          <w:szCs w:val="22"/>
        </w:rPr>
        <w:t>e-mail:</w:t>
      </w:r>
      <w:r w:rsidRPr="0047407F">
        <w:rPr>
          <w:sz w:val="22"/>
          <w:szCs w:val="22"/>
        </w:rPr>
        <w:tab/>
      </w:r>
      <w:r w:rsidRPr="0047407F">
        <w:rPr>
          <w:sz w:val="22"/>
          <w:szCs w:val="22"/>
          <w:shd w:val="clear" w:color="auto" w:fill="FFFF00"/>
        </w:rPr>
        <w:fldChar w:fldCharType="begin">
          <w:ffData>
            <w:name w:val="Text2"/>
            <w:enabled/>
            <w:calcOnExit w:val="0"/>
            <w:textInput/>
          </w:ffData>
        </w:fldChar>
      </w:r>
      <w:r w:rsidRPr="0047407F">
        <w:rPr>
          <w:sz w:val="22"/>
          <w:szCs w:val="22"/>
          <w:shd w:val="clear" w:color="auto" w:fill="FFFF00"/>
        </w:rPr>
        <w:instrText xml:space="preserve"> FORMTEXT </w:instrText>
      </w:r>
      <w:r w:rsidRPr="0047407F">
        <w:rPr>
          <w:sz w:val="22"/>
          <w:szCs w:val="22"/>
          <w:shd w:val="clear" w:color="auto" w:fill="FFFF00"/>
        </w:rPr>
      </w:r>
      <w:r w:rsidRPr="0047407F">
        <w:rPr>
          <w:sz w:val="22"/>
          <w:szCs w:val="22"/>
          <w:shd w:val="clear" w:color="auto" w:fill="FFFF00"/>
        </w:rPr>
        <w:fldChar w:fldCharType="separate"/>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sz w:val="22"/>
          <w:szCs w:val="22"/>
          <w:shd w:val="clear" w:color="auto" w:fill="FFFF00"/>
        </w:rPr>
        <w:fldChar w:fldCharType="end"/>
      </w:r>
    </w:p>
    <w:p w:rsidR="00207215" w:rsidRPr="0047407F" w:rsidRDefault="00207215" w:rsidP="00207215">
      <w:pPr>
        <w:pStyle w:val="Bezmezer"/>
        <w:tabs>
          <w:tab w:val="left" w:pos="3402"/>
        </w:tabs>
        <w:spacing w:line="240" w:lineRule="auto"/>
        <w:rPr>
          <w:sz w:val="22"/>
          <w:szCs w:val="22"/>
        </w:rPr>
      </w:pPr>
      <w:r w:rsidRPr="0047407F">
        <w:rPr>
          <w:sz w:val="22"/>
          <w:szCs w:val="22"/>
        </w:rPr>
        <w:t>telefon:</w:t>
      </w:r>
      <w:r w:rsidRPr="0047407F">
        <w:rPr>
          <w:sz w:val="22"/>
          <w:szCs w:val="22"/>
        </w:rPr>
        <w:tab/>
      </w:r>
      <w:r w:rsidRPr="0047407F">
        <w:rPr>
          <w:sz w:val="22"/>
          <w:szCs w:val="22"/>
          <w:shd w:val="clear" w:color="auto" w:fill="FFFF00"/>
        </w:rPr>
        <w:fldChar w:fldCharType="begin">
          <w:ffData>
            <w:name w:val="Text2"/>
            <w:enabled/>
            <w:calcOnExit w:val="0"/>
            <w:textInput/>
          </w:ffData>
        </w:fldChar>
      </w:r>
      <w:r w:rsidRPr="0047407F">
        <w:rPr>
          <w:sz w:val="22"/>
          <w:szCs w:val="22"/>
          <w:shd w:val="clear" w:color="auto" w:fill="FFFF00"/>
        </w:rPr>
        <w:instrText xml:space="preserve"> FORMTEXT </w:instrText>
      </w:r>
      <w:r w:rsidRPr="0047407F">
        <w:rPr>
          <w:sz w:val="22"/>
          <w:szCs w:val="22"/>
          <w:shd w:val="clear" w:color="auto" w:fill="FFFF00"/>
        </w:rPr>
      </w:r>
      <w:r w:rsidRPr="0047407F">
        <w:rPr>
          <w:sz w:val="22"/>
          <w:szCs w:val="22"/>
          <w:shd w:val="clear" w:color="auto" w:fill="FFFF00"/>
        </w:rPr>
        <w:fldChar w:fldCharType="separate"/>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sz w:val="22"/>
          <w:szCs w:val="22"/>
          <w:shd w:val="clear" w:color="auto" w:fill="FFFF00"/>
        </w:rPr>
        <w:fldChar w:fldCharType="end"/>
      </w:r>
    </w:p>
    <w:p w:rsidR="00207215" w:rsidRPr="0047407F" w:rsidRDefault="00207215" w:rsidP="00207215">
      <w:pPr>
        <w:pStyle w:val="Bezmezer"/>
        <w:tabs>
          <w:tab w:val="left" w:pos="3402"/>
        </w:tabs>
        <w:spacing w:line="240" w:lineRule="auto"/>
        <w:rPr>
          <w:sz w:val="22"/>
          <w:szCs w:val="22"/>
        </w:rPr>
      </w:pPr>
      <w:r w:rsidRPr="0047407F">
        <w:rPr>
          <w:sz w:val="22"/>
          <w:szCs w:val="22"/>
        </w:rPr>
        <w:t>fax:</w:t>
      </w:r>
      <w:r w:rsidRPr="0047407F">
        <w:rPr>
          <w:sz w:val="22"/>
          <w:szCs w:val="22"/>
        </w:rPr>
        <w:tab/>
      </w:r>
      <w:r w:rsidRPr="0047407F">
        <w:rPr>
          <w:sz w:val="22"/>
          <w:szCs w:val="22"/>
          <w:shd w:val="clear" w:color="auto" w:fill="FFFF00"/>
        </w:rPr>
        <w:fldChar w:fldCharType="begin">
          <w:ffData>
            <w:name w:val="Text2"/>
            <w:enabled/>
            <w:calcOnExit w:val="0"/>
            <w:textInput/>
          </w:ffData>
        </w:fldChar>
      </w:r>
      <w:r w:rsidRPr="0047407F">
        <w:rPr>
          <w:sz w:val="22"/>
          <w:szCs w:val="22"/>
          <w:shd w:val="clear" w:color="auto" w:fill="FFFF00"/>
        </w:rPr>
        <w:instrText xml:space="preserve"> FORMTEXT </w:instrText>
      </w:r>
      <w:r w:rsidRPr="0047407F">
        <w:rPr>
          <w:sz w:val="22"/>
          <w:szCs w:val="22"/>
          <w:shd w:val="clear" w:color="auto" w:fill="FFFF00"/>
        </w:rPr>
      </w:r>
      <w:r w:rsidRPr="0047407F">
        <w:rPr>
          <w:sz w:val="22"/>
          <w:szCs w:val="22"/>
          <w:shd w:val="clear" w:color="auto" w:fill="FFFF00"/>
        </w:rPr>
        <w:fldChar w:fldCharType="separate"/>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sz w:val="22"/>
          <w:szCs w:val="22"/>
          <w:shd w:val="clear" w:color="auto" w:fill="FFFF00"/>
        </w:rPr>
        <w:fldChar w:fldCharType="end"/>
      </w:r>
    </w:p>
    <w:p w:rsidR="00207215" w:rsidRPr="0047407F" w:rsidRDefault="00207215" w:rsidP="00207215">
      <w:pPr>
        <w:pStyle w:val="Bezmezer"/>
        <w:tabs>
          <w:tab w:val="left" w:pos="3402"/>
        </w:tabs>
        <w:spacing w:line="240" w:lineRule="auto"/>
        <w:rPr>
          <w:sz w:val="22"/>
          <w:szCs w:val="22"/>
          <w:shd w:val="clear" w:color="auto" w:fill="FFFF00"/>
        </w:rPr>
      </w:pPr>
      <w:r w:rsidRPr="0047407F">
        <w:rPr>
          <w:sz w:val="22"/>
          <w:szCs w:val="22"/>
        </w:rPr>
        <w:t>IČ:</w:t>
      </w:r>
      <w:r w:rsidRPr="0047407F">
        <w:rPr>
          <w:sz w:val="22"/>
          <w:szCs w:val="22"/>
        </w:rPr>
        <w:tab/>
      </w:r>
      <w:r w:rsidR="0047407F">
        <w:rPr>
          <w:sz w:val="22"/>
          <w:szCs w:val="22"/>
        </w:rPr>
        <w:t>25338633</w:t>
      </w:r>
    </w:p>
    <w:p w:rsidR="00207215" w:rsidRPr="0047407F" w:rsidRDefault="00207215" w:rsidP="00207215">
      <w:pPr>
        <w:pStyle w:val="Bezmezer"/>
        <w:tabs>
          <w:tab w:val="left" w:pos="3402"/>
        </w:tabs>
        <w:spacing w:line="240" w:lineRule="auto"/>
        <w:rPr>
          <w:sz w:val="22"/>
          <w:szCs w:val="22"/>
        </w:rPr>
      </w:pPr>
      <w:r w:rsidRPr="0047407F">
        <w:rPr>
          <w:sz w:val="22"/>
          <w:szCs w:val="22"/>
        </w:rPr>
        <w:t>DIČ:</w:t>
      </w:r>
      <w:r w:rsidRPr="0047407F">
        <w:rPr>
          <w:sz w:val="22"/>
          <w:szCs w:val="22"/>
        </w:rPr>
        <w:tab/>
      </w:r>
      <w:r w:rsidRPr="0047407F">
        <w:rPr>
          <w:sz w:val="22"/>
          <w:szCs w:val="22"/>
          <w:shd w:val="clear" w:color="auto" w:fill="FFFF00"/>
        </w:rPr>
        <w:fldChar w:fldCharType="begin">
          <w:ffData>
            <w:name w:val="Text2"/>
            <w:enabled/>
            <w:calcOnExit w:val="0"/>
            <w:textInput/>
          </w:ffData>
        </w:fldChar>
      </w:r>
      <w:r w:rsidRPr="0047407F">
        <w:rPr>
          <w:sz w:val="22"/>
          <w:szCs w:val="22"/>
          <w:shd w:val="clear" w:color="auto" w:fill="FFFF00"/>
        </w:rPr>
        <w:instrText xml:space="preserve"> FORMTEXT </w:instrText>
      </w:r>
      <w:r w:rsidRPr="0047407F">
        <w:rPr>
          <w:sz w:val="22"/>
          <w:szCs w:val="22"/>
          <w:shd w:val="clear" w:color="auto" w:fill="FFFF00"/>
        </w:rPr>
      </w:r>
      <w:r w:rsidRPr="0047407F">
        <w:rPr>
          <w:sz w:val="22"/>
          <w:szCs w:val="22"/>
          <w:shd w:val="clear" w:color="auto" w:fill="FFFF00"/>
        </w:rPr>
        <w:fldChar w:fldCharType="separate"/>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sz w:val="22"/>
          <w:szCs w:val="22"/>
          <w:shd w:val="clear" w:color="auto" w:fill="FFFF00"/>
        </w:rPr>
        <w:fldChar w:fldCharType="end"/>
      </w:r>
    </w:p>
    <w:p w:rsidR="00207215" w:rsidRPr="0047407F" w:rsidRDefault="00207215" w:rsidP="00207215">
      <w:pPr>
        <w:pStyle w:val="Bezmezer"/>
        <w:tabs>
          <w:tab w:val="left" w:pos="3402"/>
        </w:tabs>
        <w:spacing w:line="240" w:lineRule="auto"/>
        <w:rPr>
          <w:sz w:val="22"/>
          <w:szCs w:val="22"/>
        </w:rPr>
      </w:pPr>
      <w:r w:rsidRPr="0047407F">
        <w:rPr>
          <w:sz w:val="22"/>
          <w:szCs w:val="22"/>
        </w:rPr>
        <w:t xml:space="preserve">Bankovní spojení, </w:t>
      </w:r>
      <w:proofErr w:type="spellStart"/>
      <w:r w:rsidRPr="0047407F">
        <w:rPr>
          <w:sz w:val="22"/>
          <w:szCs w:val="22"/>
        </w:rPr>
        <w:t>č.ú</w:t>
      </w:r>
      <w:proofErr w:type="spellEnd"/>
      <w:r w:rsidRPr="0047407F">
        <w:rPr>
          <w:sz w:val="22"/>
          <w:szCs w:val="22"/>
        </w:rPr>
        <w:t>.:</w:t>
      </w:r>
      <w:r w:rsidRPr="0047407F">
        <w:rPr>
          <w:sz w:val="22"/>
          <w:szCs w:val="22"/>
        </w:rPr>
        <w:tab/>
      </w:r>
      <w:r w:rsidRPr="0047407F">
        <w:rPr>
          <w:sz w:val="22"/>
          <w:szCs w:val="22"/>
          <w:shd w:val="clear" w:color="auto" w:fill="FFFF00"/>
        </w:rPr>
        <w:fldChar w:fldCharType="begin">
          <w:ffData>
            <w:name w:val="Text2"/>
            <w:enabled/>
            <w:calcOnExit w:val="0"/>
            <w:textInput/>
          </w:ffData>
        </w:fldChar>
      </w:r>
      <w:r w:rsidRPr="0047407F">
        <w:rPr>
          <w:sz w:val="22"/>
          <w:szCs w:val="22"/>
          <w:shd w:val="clear" w:color="auto" w:fill="FFFF00"/>
        </w:rPr>
        <w:instrText xml:space="preserve"> FORMTEXT </w:instrText>
      </w:r>
      <w:r w:rsidRPr="0047407F">
        <w:rPr>
          <w:sz w:val="22"/>
          <w:szCs w:val="22"/>
          <w:shd w:val="clear" w:color="auto" w:fill="FFFF00"/>
        </w:rPr>
      </w:r>
      <w:r w:rsidRPr="0047407F">
        <w:rPr>
          <w:sz w:val="22"/>
          <w:szCs w:val="22"/>
          <w:shd w:val="clear" w:color="auto" w:fill="FFFF00"/>
        </w:rPr>
        <w:fldChar w:fldCharType="separate"/>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noProof/>
          <w:sz w:val="22"/>
          <w:szCs w:val="22"/>
          <w:shd w:val="clear" w:color="auto" w:fill="FFFF00"/>
        </w:rPr>
        <w:t> </w:t>
      </w:r>
      <w:r w:rsidRPr="0047407F">
        <w:rPr>
          <w:sz w:val="22"/>
          <w:szCs w:val="22"/>
          <w:shd w:val="clear" w:color="auto" w:fill="FFFF00"/>
        </w:rPr>
        <w:fldChar w:fldCharType="end"/>
      </w:r>
    </w:p>
    <w:p w:rsidR="00207215" w:rsidRPr="0047407F" w:rsidRDefault="00207215" w:rsidP="00207215">
      <w:pPr>
        <w:pStyle w:val="Bezmezer"/>
        <w:tabs>
          <w:tab w:val="left" w:pos="3402"/>
        </w:tabs>
        <w:spacing w:after="0" w:line="240" w:lineRule="auto"/>
        <w:rPr>
          <w:sz w:val="22"/>
          <w:szCs w:val="22"/>
          <w:lang w:eastAsia="cs-CZ"/>
        </w:rPr>
      </w:pPr>
      <w:r w:rsidRPr="0047407F">
        <w:rPr>
          <w:sz w:val="22"/>
          <w:szCs w:val="22"/>
          <w:lang w:eastAsia="cs-CZ"/>
        </w:rPr>
        <w:t>Osoba oprávněná jednat</w:t>
      </w:r>
    </w:p>
    <w:p w:rsidR="00207215" w:rsidRPr="0070395B" w:rsidRDefault="00207215" w:rsidP="00207215">
      <w:pPr>
        <w:pStyle w:val="Bezmezer"/>
        <w:tabs>
          <w:tab w:val="left" w:pos="3402"/>
        </w:tabs>
        <w:spacing w:line="240" w:lineRule="auto"/>
        <w:rPr>
          <w:sz w:val="22"/>
          <w:szCs w:val="22"/>
        </w:rPr>
      </w:pPr>
      <w:r w:rsidRPr="0047407F">
        <w:rPr>
          <w:sz w:val="22"/>
          <w:szCs w:val="22"/>
          <w:lang w:eastAsia="cs-CZ"/>
        </w:rPr>
        <w:t>ve věcech technických:</w:t>
      </w:r>
      <w:r w:rsidRPr="0047407F">
        <w:rPr>
          <w:sz w:val="22"/>
          <w:szCs w:val="22"/>
        </w:rPr>
        <w:tab/>
      </w:r>
      <w:r w:rsidR="0047407F">
        <w:rPr>
          <w:sz w:val="22"/>
          <w:szCs w:val="22"/>
        </w:rPr>
        <w:t xml:space="preserve">Ing. Jiří </w:t>
      </w:r>
      <w:proofErr w:type="spellStart"/>
      <w:r w:rsidR="0047407F">
        <w:rPr>
          <w:sz w:val="22"/>
          <w:szCs w:val="22"/>
        </w:rPr>
        <w:t>Lády</w:t>
      </w:r>
      <w:proofErr w:type="spellEnd"/>
    </w:p>
    <w:p w:rsidR="00207215" w:rsidRPr="0070395B" w:rsidRDefault="00207215" w:rsidP="00207215">
      <w:pPr>
        <w:pStyle w:val="Bezmezer"/>
        <w:rPr>
          <w:sz w:val="22"/>
          <w:szCs w:val="22"/>
        </w:rPr>
      </w:pPr>
      <w:r w:rsidRPr="0070395B">
        <w:rPr>
          <w:sz w:val="22"/>
          <w:szCs w:val="22"/>
        </w:rPr>
        <w:t>(dle jen „Uchazeč“ nebo „Příkazník“)</w:t>
      </w:r>
    </w:p>
    <w:p w:rsidR="00207215" w:rsidRPr="0070395B" w:rsidRDefault="00207215" w:rsidP="00207215">
      <w:pPr>
        <w:pStyle w:val="Nadpis1"/>
        <w:spacing w:before="360" w:line="240" w:lineRule="auto"/>
        <w:ind w:left="0"/>
        <w:rPr>
          <w:sz w:val="22"/>
          <w:szCs w:val="22"/>
        </w:rPr>
      </w:pPr>
      <w:r w:rsidRPr="0070395B">
        <w:rPr>
          <w:sz w:val="22"/>
          <w:szCs w:val="22"/>
        </w:rPr>
        <w:t>Preambule</w:t>
      </w:r>
    </w:p>
    <w:p w:rsidR="00207215" w:rsidRPr="0070395B" w:rsidRDefault="00207215" w:rsidP="00207215">
      <w:pPr>
        <w:pStyle w:val="Nadpis2"/>
        <w:numPr>
          <w:ilvl w:val="0"/>
          <w:numId w:val="6"/>
        </w:numPr>
        <w:spacing w:line="240" w:lineRule="auto"/>
        <w:rPr>
          <w:sz w:val="22"/>
          <w:szCs w:val="22"/>
        </w:rPr>
      </w:pPr>
      <w:r w:rsidRPr="0070395B">
        <w:rPr>
          <w:sz w:val="22"/>
          <w:szCs w:val="22"/>
        </w:rPr>
        <w:t>Touto smlouvou se Příkazník zavazuje, že za níže uvedených podmínek a v níže uvedeném rozsahu pro Příkazce jakožto objednatele stavby vykoná za úplatu níže uvedené činnosti a Příkazce se zavazuje zaplatit Příkazníkovi dohodnutou odměnu.</w:t>
      </w:r>
    </w:p>
    <w:p w:rsidR="00207215" w:rsidRPr="0070395B" w:rsidRDefault="00207215" w:rsidP="00207215">
      <w:pPr>
        <w:pStyle w:val="Nadpis2"/>
        <w:numPr>
          <w:ilvl w:val="0"/>
          <w:numId w:val="6"/>
        </w:numPr>
        <w:spacing w:line="240" w:lineRule="auto"/>
        <w:rPr>
          <w:sz w:val="22"/>
          <w:szCs w:val="22"/>
        </w:rPr>
      </w:pPr>
      <w:r w:rsidRPr="0070395B">
        <w:rPr>
          <w:sz w:val="22"/>
          <w:szCs w:val="22"/>
        </w:rPr>
        <w:t>Tato smlouva je uzavřena na základě výběrového řízení. Obsahem závazku jsou tak i práva a povinnosti vyplývající ze zadávacích podmínek tohoto výběrového řízení. Všechna tato práva a povinnosti jsou již zohledněn</w:t>
      </w:r>
      <w:r w:rsidR="00042323">
        <w:rPr>
          <w:sz w:val="22"/>
          <w:szCs w:val="22"/>
        </w:rPr>
        <w:t>y</w:t>
      </w:r>
      <w:r w:rsidRPr="0070395B">
        <w:rPr>
          <w:sz w:val="22"/>
          <w:szCs w:val="22"/>
        </w:rPr>
        <w:t xml:space="preserve"> v odměně Příkazníka. Dodavatel musí vždy dostát svým povinnostem uvedeným v zadávacích podmínkách a této smlouvě.</w:t>
      </w:r>
    </w:p>
    <w:p w:rsidR="00207215" w:rsidRPr="0070395B" w:rsidRDefault="00207215" w:rsidP="00207215">
      <w:pPr>
        <w:pStyle w:val="Nadpis1"/>
        <w:pBdr>
          <w:bottom w:val="single" w:sz="8" w:space="0" w:color="FF0000"/>
        </w:pBdr>
        <w:spacing w:before="360" w:line="240" w:lineRule="auto"/>
        <w:ind w:left="0"/>
        <w:rPr>
          <w:sz w:val="22"/>
          <w:szCs w:val="22"/>
        </w:rPr>
      </w:pPr>
      <w:r w:rsidRPr="0070395B">
        <w:rPr>
          <w:sz w:val="22"/>
          <w:szCs w:val="22"/>
        </w:rPr>
        <w:lastRenderedPageBreak/>
        <w:t>Předmět Smlouvy</w:t>
      </w:r>
    </w:p>
    <w:p w:rsidR="00207215" w:rsidRDefault="00207215" w:rsidP="00207215">
      <w:pPr>
        <w:numPr>
          <w:ilvl w:val="0"/>
          <w:numId w:val="10"/>
        </w:numPr>
        <w:spacing w:before="60" w:after="0" w:line="240" w:lineRule="auto"/>
        <w:jc w:val="both"/>
        <w:rPr>
          <w:rFonts w:ascii="Cambria" w:hAnsi="Cambria"/>
          <w:lang w:val="cs-CZ"/>
        </w:rPr>
      </w:pPr>
      <w:r w:rsidRPr="0070395B">
        <w:rPr>
          <w:rFonts w:ascii="Cambria" w:hAnsi="Cambria"/>
          <w:lang w:val="cs-CZ"/>
        </w:rPr>
        <w:t>Příkazník vykoná jménem a na účet Příkazce činnosti technického dozoru investora (dále jen „TDI“) v rámci realizace stavby „</w:t>
      </w:r>
      <w:r w:rsidR="00C75CA7">
        <w:rPr>
          <w:rFonts w:ascii="Cambria" w:hAnsi="Cambria"/>
          <w:lang w:val="cs-CZ"/>
        </w:rPr>
        <w:t xml:space="preserve">Úrazová nemocnice v Brně – snížení energetické spotřeby objektu </w:t>
      </w:r>
      <w:proofErr w:type="spellStart"/>
      <w:r w:rsidR="00C75CA7">
        <w:rPr>
          <w:rFonts w:ascii="Cambria" w:hAnsi="Cambria"/>
          <w:lang w:val="cs-CZ"/>
        </w:rPr>
        <w:t>Ponávka</w:t>
      </w:r>
      <w:proofErr w:type="spellEnd"/>
      <w:r w:rsidR="00C75CA7">
        <w:rPr>
          <w:rFonts w:ascii="Cambria" w:hAnsi="Cambria"/>
          <w:lang w:val="cs-CZ"/>
        </w:rPr>
        <w:t xml:space="preserve"> 10</w:t>
      </w:r>
      <w:r w:rsidRPr="0070395B">
        <w:rPr>
          <w:rFonts w:ascii="Cambria" w:hAnsi="Cambria"/>
          <w:lang w:val="cs-CZ"/>
        </w:rPr>
        <w:t xml:space="preserve">“. TDI odpovídá zejména za dodržení obecných požadavků na výstavbu, za </w:t>
      </w:r>
      <w:r w:rsidR="00C75CA7">
        <w:rPr>
          <w:rFonts w:ascii="Cambria" w:hAnsi="Cambria"/>
          <w:lang w:val="cs-CZ"/>
        </w:rPr>
        <w:t>dodržování</w:t>
      </w:r>
      <w:r w:rsidRPr="0070395B">
        <w:rPr>
          <w:rFonts w:ascii="Cambria" w:hAnsi="Cambria"/>
          <w:lang w:val="cs-CZ"/>
        </w:rPr>
        <w:t xml:space="preserve"> technických předpisů a za dodržení rozhodnutí a jiných opatření vydaných k uskutečnění stavby. TDI dále sleduje způsob a postup provádění stavby, zejména bezpečnost instalací a provozu technických zařízení na staveništi, vhodnost ukládání a použití stavebních výrobků, materiálů a konstrukcí a vedení stavebního deníku; působí k odstranění závad při provádění stavby. Dále vykonává činnosti v následujícím rozsahu:</w:t>
      </w:r>
    </w:p>
    <w:p w:rsidR="00C75CA7" w:rsidRPr="0070395B" w:rsidRDefault="00C75CA7" w:rsidP="00C75CA7">
      <w:pPr>
        <w:spacing w:before="60" w:after="0" w:line="240" w:lineRule="auto"/>
        <w:jc w:val="both"/>
        <w:rPr>
          <w:rFonts w:ascii="Cambria" w:hAnsi="Cambria"/>
          <w:lang w:val="cs-CZ"/>
        </w:rPr>
      </w:pP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 xml:space="preserve">V </w:t>
      </w:r>
      <w:r w:rsidR="00C75CA7" w:rsidRPr="0070395B">
        <w:rPr>
          <w:sz w:val="22"/>
          <w:szCs w:val="22"/>
        </w:rPr>
        <w:t>průběhu celé výstavby</w:t>
      </w:r>
      <w:r w:rsidR="00C75CA7">
        <w:rPr>
          <w:sz w:val="22"/>
          <w:szCs w:val="22"/>
        </w:rPr>
        <w:t xml:space="preserve"> v </w:t>
      </w:r>
      <w:r w:rsidRPr="0070395B">
        <w:rPr>
          <w:sz w:val="22"/>
          <w:szCs w:val="22"/>
        </w:rPr>
        <w:t>součinnosti s BOZP a autorským dozorem projektanta sledování</w:t>
      </w:r>
      <w:r w:rsidR="00C75CA7">
        <w:rPr>
          <w:sz w:val="22"/>
          <w:szCs w:val="22"/>
        </w:rPr>
        <w:t>,</w:t>
      </w:r>
      <w:r w:rsidRPr="0070395B">
        <w:rPr>
          <w:sz w:val="22"/>
          <w:szCs w:val="22"/>
        </w:rPr>
        <w:t xml:space="preserve"> zda je realizace díla prováděna podle odsouhlasené a potvrzené projektové dokumentace, v souladu se stavebním povolením a vyjádřením orgánů státní správy</w:t>
      </w:r>
      <w:r w:rsidR="00D65AFE">
        <w:rPr>
          <w:sz w:val="22"/>
          <w:szCs w:val="22"/>
        </w:rPr>
        <w:t>, se smlouvou o dílo uzavřenou mezi Příkazcem a dodavatelem</w:t>
      </w:r>
      <w:r w:rsidRPr="0070395B">
        <w:rPr>
          <w:sz w:val="22"/>
          <w:szCs w:val="22"/>
        </w:rPr>
        <w:t xml:space="preserve"> a požadavků budoucího uživatele</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Organizování pravidelných kontrolních dnů stavby, jejich vedení a pořizování zápisů</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Evidence a doplňování realizační projektové dokumentace, sledování a evidence investorem odsouhlasených změn a víceprací a jejich finančního ocenění, kontrola jejich realizace</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 xml:space="preserve">Sledování stavu </w:t>
      </w:r>
      <w:r w:rsidR="00A063B2">
        <w:rPr>
          <w:sz w:val="22"/>
          <w:szCs w:val="22"/>
        </w:rPr>
        <w:t>nákladů na</w:t>
      </w:r>
      <w:r w:rsidRPr="0070395B">
        <w:rPr>
          <w:sz w:val="22"/>
          <w:szCs w:val="22"/>
        </w:rPr>
        <w:t xml:space="preserve"> díl</w:t>
      </w:r>
      <w:r w:rsidR="00A063B2">
        <w:rPr>
          <w:sz w:val="22"/>
          <w:szCs w:val="22"/>
        </w:rPr>
        <w:t>o</w:t>
      </w:r>
      <w:r w:rsidRPr="0070395B">
        <w:rPr>
          <w:sz w:val="22"/>
          <w:szCs w:val="22"/>
        </w:rPr>
        <w:t xml:space="preserve"> vzhledem k uzavřeným smlouvám a odsouhlaseným </w:t>
      </w:r>
      <w:r w:rsidR="00A063B2">
        <w:rPr>
          <w:sz w:val="22"/>
          <w:szCs w:val="22"/>
        </w:rPr>
        <w:t>změnám projektu.</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Kontrola cenových kalkulací na odsouhlasené vícepráce a méněpráce vzhledem k ujednáním smlouvy o dílo a vypracování stanoviska pro investora k těmto kalkulacím</w:t>
      </w:r>
    </w:p>
    <w:p w:rsidR="00A063B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A063B2">
        <w:rPr>
          <w:sz w:val="22"/>
          <w:szCs w:val="22"/>
        </w:rPr>
        <w:t>Kontrola úplnosti, věcné a cenové správnosti faktur zhotovitele, jejich soulad s</w:t>
      </w:r>
      <w:r w:rsidR="00A063B2">
        <w:rPr>
          <w:sz w:val="22"/>
          <w:szCs w:val="22"/>
        </w:rPr>
        <w:t>e</w:t>
      </w:r>
      <w:r w:rsidRPr="00A063B2">
        <w:rPr>
          <w:sz w:val="22"/>
          <w:szCs w:val="22"/>
        </w:rPr>
        <w:t xml:space="preserve"> smlouv</w:t>
      </w:r>
      <w:r w:rsidR="00A063B2">
        <w:rPr>
          <w:sz w:val="22"/>
          <w:szCs w:val="22"/>
        </w:rPr>
        <w:t>ou</w:t>
      </w:r>
      <w:r w:rsidRPr="00A063B2">
        <w:rPr>
          <w:sz w:val="22"/>
          <w:szCs w:val="22"/>
        </w:rPr>
        <w:t xml:space="preserve">, potvrzení zjišťovacích protokolů a soupisů provedených prací </w:t>
      </w:r>
    </w:p>
    <w:p w:rsidR="00207215" w:rsidRPr="00A063B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A063B2">
        <w:rPr>
          <w:sz w:val="22"/>
          <w:szCs w:val="22"/>
        </w:rPr>
        <w:t>Předání odsouhlasených faktur (platebních dokladů) k likvidaci příkazci</w:t>
      </w:r>
    </w:p>
    <w:p w:rsidR="00207215" w:rsidRPr="0070395B" w:rsidRDefault="00A063B2"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Pr>
          <w:sz w:val="22"/>
          <w:szCs w:val="22"/>
        </w:rPr>
        <w:t>K</w:t>
      </w:r>
      <w:r w:rsidR="00207215" w:rsidRPr="0070395B">
        <w:rPr>
          <w:sz w:val="22"/>
          <w:szCs w:val="22"/>
        </w:rPr>
        <w:t>ontrola stavu prostavěnosti</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Průběžná kontrola a sledování jakosti všech částí stavby a prováděných prací vč. kontrol</w:t>
      </w:r>
      <w:r w:rsidR="00A063B2">
        <w:rPr>
          <w:sz w:val="22"/>
          <w:szCs w:val="22"/>
        </w:rPr>
        <w:t>y</w:t>
      </w:r>
      <w:r w:rsidRPr="0070395B">
        <w:rPr>
          <w:sz w:val="22"/>
          <w:szCs w:val="22"/>
        </w:rPr>
        <w:t xml:space="preserve"> atestů materiálů</w:t>
      </w:r>
      <w:r w:rsidR="00A063B2">
        <w:rPr>
          <w:sz w:val="22"/>
          <w:szCs w:val="22"/>
        </w:rPr>
        <w:t>.</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Přejímání dílčích dokončených prací a jejich odsouhlasení po stránce číselné a věcné v souladu s výkazem výměr</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Kontrola dodávek, které budou v dalším postupu zakryty nebo se stanou nepřístupnými, povolování jejich zakrytí a následného pokračování ve výstavbě</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Zabezpečení expertních posouzení a stanovisek nezávislých expertů a soudních znalců na vybrané dodávky, u nichž došlo ke sporu o kvalitě nebo u nichž si to mandant vyžádá</w:t>
      </w:r>
    </w:p>
    <w:p w:rsidR="00A063B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A063B2">
        <w:rPr>
          <w:sz w:val="22"/>
          <w:szCs w:val="22"/>
        </w:rPr>
        <w:t xml:space="preserve">Průběžné sledování vedení stavebního deníku, provádění zápisů </w:t>
      </w:r>
    </w:p>
    <w:p w:rsidR="00207215" w:rsidRPr="00A063B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A063B2">
        <w:rPr>
          <w:sz w:val="22"/>
          <w:szCs w:val="22"/>
        </w:rPr>
        <w:t>Sledování kvality prováděných prací</w:t>
      </w:r>
    </w:p>
    <w:p w:rsidR="00207215" w:rsidRPr="0070395B" w:rsidRDefault="00A063B2"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Pr>
          <w:sz w:val="22"/>
          <w:szCs w:val="22"/>
        </w:rPr>
        <w:t>Kontrola provádění</w:t>
      </w:r>
      <w:r w:rsidR="00207215" w:rsidRPr="0070395B">
        <w:rPr>
          <w:sz w:val="22"/>
          <w:szCs w:val="22"/>
        </w:rPr>
        <w:t xml:space="preserve"> předepsan</w:t>
      </w:r>
      <w:r>
        <w:rPr>
          <w:sz w:val="22"/>
          <w:szCs w:val="22"/>
        </w:rPr>
        <w:t>ých</w:t>
      </w:r>
      <w:r w:rsidR="00207215" w:rsidRPr="0070395B">
        <w:rPr>
          <w:sz w:val="22"/>
          <w:szCs w:val="22"/>
        </w:rPr>
        <w:t xml:space="preserve"> zkouš</w:t>
      </w:r>
      <w:r>
        <w:rPr>
          <w:sz w:val="22"/>
          <w:szCs w:val="22"/>
        </w:rPr>
        <w:t>e</w:t>
      </w:r>
      <w:r w:rsidR="00207215" w:rsidRPr="0070395B">
        <w:rPr>
          <w:sz w:val="22"/>
          <w:szCs w:val="22"/>
        </w:rPr>
        <w:t>k, účast na těchto zkouškách, kontrola dokladů o provedení těchto zkoušek</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Spolupráce se zhotovitelem při provádění opatření na odvrácení škod při ohrožení stavby živelnými pohromami a haváriemi</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Kontrola čistoty a pořádku na staveništi a přilehlých plochách</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 xml:space="preserve">Kontrola provádění opatření na ochranu </w:t>
      </w:r>
      <w:r w:rsidR="00A063B2">
        <w:rPr>
          <w:sz w:val="22"/>
          <w:szCs w:val="22"/>
        </w:rPr>
        <w:t>prostor se zdravotnickým provozem přilehlých ke stavbě.</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 xml:space="preserve">Kontrola postupu prací podle časového plánu stavby, návrhy na řešení vzniklých časových prodlev, příprava podkladů pro uplatnění </w:t>
      </w:r>
      <w:r w:rsidR="00A063B2">
        <w:rPr>
          <w:sz w:val="22"/>
          <w:szCs w:val="22"/>
        </w:rPr>
        <w:t xml:space="preserve">příp. </w:t>
      </w:r>
      <w:r w:rsidRPr="0070395B">
        <w:rPr>
          <w:sz w:val="22"/>
          <w:szCs w:val="22"/>
        </w:rPr>
        <w:t>majetkových sankcí</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Vyhotovení soupisu vad a nedodělků, sledování a protokolární potvrzování jejich odstranění</w:t>
      </w:r>
    </w:p>
    <w:p w:rsidR="00C11CC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C11CC2">
        <w:rPr>
          <w:sz w:val="22"/>
          <w:szCs w:val="22"/>
        </w:rPr>
        <w:t>Předání a převzetí dokončených dodávek za účasti příkazce</w:t>
      </w:r>
      <w:r w:rsidR="00C11CC2" w:rsidRPr="00C11CC2">
        <w:rPr>
          <w:sz w:val="22"/>
          <w:szCs w:val="22"/>
        </w:rPr>
        <w:t xml:space="preserve"> a</w:t>
      </w:r>
      <w:r w:rsidRPr="00C11CC2">
        <w:rPr>
          <w:sz w:val="22"/>
          <w:szCs w:val="22"/>
        </w:rPr>
        <w:t xml:space="preserve"> jejich uvedení do provozu</w:t>
      </w:r>
    </w:p>
    <w:p w:rsidR="00207215" w:rsidRPr="00C11CC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C11CC2">
        <w:rPr>
          <w:sz w:val="22"/>
          <w:szCs w:val="22"/>
        </w:rPr>
        <w:t>Zastavení prací v případě, že zhotovitel provádí dílo tak, že by mohlo dojít ke škodě</w:t>
      </w:r>
    </w:p>
    <w:p w:rsidR="00207215" w:rsidRPr="00C11CC2"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C11CC2">
        <w:rPr>
          <w:sz w:val="22"/>
          <w:szCs w:val="22"/>
        </w:rPr>
        <w:t xml:space="preserve">Kontrola </w:t>
      </w:r>
      <w:r w:rsidR="00C11CC2" w:rsidRPr="00C11CC2">
        <w:rPr>
          <w:sz w:val="22"/>
          <w:szCs w:val="22"/>
        </w:rPr>
        <w:t>uvedení stavby do užívání</w:t>
      </w:r>
      <w:r w:rsidR="00C11CC2">
        <w:rPr>
          <w:sz w:val="22"/>
          <w:szCs w:val="22"/>
        </w:rPr>
        <w:t xml:space="preserve"> a </w:t>
      </w:r>
      <w:r w:rsidRPr="00C11CC2">
        <w:rPr>
          <w:sz w:val="22"/>
          <w:szCs w:val="22"/>
        </w:rPr>
        <w:t>konečné faktury zhotovitele</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Kontrola vyklizení staveniště a uvedení přilehlých ploch do původního stavu ve smluvně dohodnutém termínu</w:t>
      </w:r>
    </w:p>
    <w:p w:rsidR="00207215" w:rsidRPr="0070395B"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70395B">
        <w:rPr>
          <w:sz w:val="22"/>
          <w:szCs w:val="22"/>
        </w:rPr>
        <w:t xml:space="preserve">Předání </w:t>
      </w:r>
      <w:r w:rsidR="00C11CC2" w:rsidRPr="0070395B">
        <w:rPr>
          <w:sz w:val="22"/>
          <w:szCs w:val="22"/>
        </w:rPr>
        <w:t>vešker</w:t>
      </w:r>
      <w:r w:rsidR="00C11CC2">
        <w:rPr>
          <w:sz w:val="22"/>
          <w:szCs w:val="22"/>
        </w:rPr>
        <w:t>ých</w:t>
      </w:r>
      <w:r w:rsidR="00C11CC2" w:rsidRPr="0070395B">
        <w:rPr>
          <w:sz w:val="22"/>
          <w:szCs w:val="22"/>
        </w:rPr>
        <w:t xml:space="preserve"> doklad</w:t>
      </w:r>
      <w:r w:rsidR="00C11CC2">
        <w:rPr>
          <w:sz w:val="22"/>
          <w:szCs w:val="22"/>
        </w:rPr>
        <w:t>ů</w:t>
      </w:r>
      <w:r w:rsidR="00C11CC2" w:rsidRPr="0070395B">
        <w:rPr>
          <w:sz w:val="22"/>
          <w:szCs w:val="22"/>
        </w:rPr>
        <w:t xml:space="preserve"> a dokumentace o stavbě pořízených v průběhu provádění díla </w:t>
      </w:r>
      <w:r w:rsidRPr="0070395B">
        <w:rPr>
          <w:sz w:val="22"/>
          <w:szCs w:val="22"/>
        </w:rPr>
        <w:t>příkazci k</w:t>
      </w:r>
      <w:r w:rsidR="00C11CC2">
        <w:rPr>
          <w:sz w:val="22"/>
          <w:szCs w:val="22"/>
        </w:rPr>
        <w:t> </w:t>
      </w:r>
      <w:r w:rsidRPr="0070395B">
        <w:rPr>
          <w:sz w:val="22"/>
          <w:szCs w:val="22"/>
        </w:rPr>
        <w:t>archivaci</w:t>
      </w:r>
      <w:r w:rsidR="00C11CC2">
        <w:rPr>
          <w:sz w:val="22"/>
          <w:szCs w:val="22"/>
        </w:rPr>
        <w:t>, vč. projektové dokumentace skutečného provedení díla.</w:t>
      </w:r>
    </w:p>
    <w:p w:rsidR="00207215" w:rsidRPr="0070395B" w:rsidRDefault="00207215" w:rsidP="00207215">
      <w:pPr>
        <w:numPr>
          <w:ilvl w:val="0"/>
          <w:numId w:val="10"/>
        </w:numPr>
        <w:spacing w:before="60" w:after="0" w:line="240" w:lineRule="auto"/>
        <w:jc w:val="both"/>
        <w:rPr>
          <w:rFonts w:ascii="Cambria" w:hAnsi="Cambria" w:cs="Cambria"/>
          <w:lang w:val="cs-CZ"/>
        </w:rPr>
      </w:pPr>
      <w:r w:rsidRPr="0070395B">
        <w:rPr>
          <w:rFonts w:ascii="Cambria" w:hAnsi="Cambria" w:cs="Cambria"/>
          <w:lang w:val="cs-CZ"/>
        </w:rPr>
        <w:lastRenderedPageBreak/>
        <w:t>Podkladem pro stanovení rozsahu shora požadovaných výkonů a činností jsou zejména následující dokumenty:</w:t>
      </w:r>
    </w:p>
    <w:p w:rsidR="00207215" w:rsidRPr="0070395B" w:rsidRDefault="00C11CC2" w:rsidP="00244C42">
      <w:pPr>
        <w:numPr>
          <w:ilvl w:val="1"/>
          <w:numId w:val="7"/>
        </w:numPr>
        <w:tabs>
          <w:tab w:val="clear" w:pos="1440"/>
          <w:tab w:val="num" w:pos="709"/>
        </w:tabs>
        <w:spacing w:before="60" w:after="0" w:line="240" w:lineRule="auto"/>
        <w:ind w:hanging="1156"/>
        <w:jc w:val="both"/>
        <w:rPr>
          <w:rFonts w:ascii="Cambria" w:hAnsi="Cambria" w:cs="Cambria"/>
          <w:lang w:val="cs-CZ"/>
        </w:rPr>
      </w:pPr>
      <w:r>
        <w:rPr>
          <w:rFonts w:ascii="Cambria" w:hAnsi="Cambria" w:cs="Cambria"/>
          <w:lang w:val="cs-CZ"/>
        </w:rPr>
        <w:t xml:space="preserve">aktuální </w:t>
      </w:r>
      <w:r w:rsidR="00207215" w:rsidRPr="0070395B">
        <w:rPr>
          <w:rFonts w:ascii="Cambria" w:hAnsi="Cambria" w:cs="Cambria"/>
          <w:lang w:val="cs-CZ"/>
        </w:rPr>
        <w:t>projektová dokumentace pro provádění stavby</w:t>
      </w:r>
    </w:p>
    <w:p w:rsidR="00207215" w:rsidRPr="0070395B" w:rsidRDefault="00C11CC2" w:rsidP="00244C42">
      <w:pPr>
        <w:numPr>
          <w:ilvl w:val="1"/>
          <w:numId w:val="7"/>
        </w:numPr>
        <w:tabs>
          <w:tab w:val="clear" w:pos="1440"/>
          <w:tab w:val="num" w:pos="-142"/>
          <w:tab w:val="num" w:pos="709"/>
        </w:tabs>
        <w:spacing w:before="60" w:after="0" w:line="240" w:lineRule="auto"/>
        <w:ind w:hanging="1156"/>
        <w:jc w:val="both"/>
        <w:rPr>
          <w:rFonts w:ascii="Cambria" w:hAnsi="Cambria" w:cs="Cambria"/>
          <w:lang w:val="cs-CZ"/>
        </w:rPr>
      </w:pPr>
      <w:r>
        <w:rPr>
          <w:rFonts w:ascii="Cambria" w:hAnsi="Cambria" w:cs="Cambria"/>
          <w:lang w:val="cs-CZ"/>
        </w:rPr>
        <w:t>příkazní smlouva na výkon TDI</w:t>
      </w:r>
    </w:p>
    <w:p w:rsidR="00207215" w:rsidRPr="0070395B" w:rsidRDefault="00207215" w:rsidP="00207215">
      <w:pPr>
        <w:pStyle w:val="Nadpis1"/>
        <w:spacing w:before="360" w:line="240" w:lineRule="auto"/>
        <w:ind w:left="0"/>
        <w:rPr>
          <w:sz w:val="22"/>
          <w:szCs w:val="22"/>
        </w:rPr>
      </w:pPr>
      <w:r w:rsidRPr="0070395B">
        <w:rPr>
          <w:sz w:val="22"/>
          <w:szCs w:val="22"/>
        </w:rPr>
        <w:t>Povinnosti příkazníka</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Příkazník je při výkonu činností v obsahu a rozsahu výkonu dle článku III této smlouvy povinen:</w:t>
      </w:r>
    </w:p>
    <w:p w:rsidR="00207215" w:rsidRPr="0070395B" w:rsidRDefault="00207215" w:rsidP="00275437">
      <w:pPr>
        <w:numPr>
          <w:ilvl w:val="1"/>
          <w:numId w:val="13"/>
        </w:numPr>
        <w:spacing w:before="60" w:after="0" w:line="240" w:lineRule="auto"/>
        <w:ind w:left="709" w:hanging="425"/>
        <w:jc w:val="both"/>
        <w:rPr>
          <w:rFonts w:ascii="Cambria" w:hAnsi="Cambria" w:cs="Verdana"/>
          <w:lang w:val="cs-CZ"/>
        </w:rPr>
      </w:pPr>
      <w:r w:rsidRPr="0070395B">
        <w:rPr>
          <w:rFonts w:ascii="Cambria" w:hAnsi="Cambria" w:cs="Verdana"/>
          <w:lang w:val="cs-CZ"/>
        </w:rPr>
        <w:t>postupovat s náležitou odbornou péčí,</w:t>
      </w:r>
    </w:p>
    <w:p w:rsidR="00207215" w:rsidRPr="0070395B" w:rsidRDefault="00207215" w:rsidP="00275437">
      <w:pPr>
        <w:numPr>
          <w:ilvl w:val="1"/>
          <w:numId w:val="13"/>
        </w:numPr>
        <w:spacing w:before="60" w:after="0" w:line="240" w:lineRule="auto"/>
        <w:ind w:left="709" w:hanging="425"/>
        <w:jc w:val="both"/>
        <w:rPr>
          <w:rFonts w:ascii="Cambria" w:hAnsi="Cambria" w:cs="Verdana"/>
          <w:lang w:val="cs-CZ"/>
        </w:rPr>
      </w:pPr>
      <w:r w:rsidRPr="0070395B">
        <w:rPr>
          <w:rFonts w:ascii="Cambria" w:hAnsi="Cambria" w:cs="Verdana"/>
          <w:lang w:val="cs-CZ"/>
        </w:rPr>
        <w:t>vykonávat činnosti dle ustanovení čl. III této smlouvy v souladu s pokyny Příkazce,</w:t>
      </w:r>
    </w:p>
    <w:p w:rsidR="00207215" w:rsidRPr="0070395B" w:rsidRDefault="00275437" w:rsidP="00275437">
      <w:pPr>
        <w:numPr>
          <w:ilvl w:val="1"/>
          <w:numId w:val="13"/>
        </w:numPr>
        <w:spacing w:before="60" w:after="0" w:line="240" w:lineRule="auto"/>
        <w:ind w:left="709" w:hanging="425"/>
        <w:jc w:val="both"/>
        <w:rPr>
          <w:rFonts w:ascii="Cambria" w:hAnsi="Cambria" w:cs="Verdana"/>
          <w:lang w:val="cs-CZ"/>
        </w:rPr>
      </w:pPr>
      <w:r>
        <w:rPr>
          <w:rFonts w:ascii="Cambria" w:hAnsi="Cambria" w:cs="Verdana"/>
          <w:lang w:val="cs-CZ"/>
        </w:rPr>
        <w:t>s</w:t>
      </w:r>
      <w:r w:rsidR="00207215" w:rsidRPr="0070395B">
        <w:rPr>
          <w:rFonts w:ascii="Cambria" w:hAnsi="Cambria" w:cs="Verdana"/>
          <w:lang w:val="cs-CZ"/>
        </w:rPr>
        <w:t xml:space="preserve">eznámit se </w:t>
      </w:r>
      <w:r>
        <w:rPr>
          <w:rFonts w:ascii="Cambria" w:hAnsi="Cambria" w:cs="Verdana"/>
          <w:lang w:val="cs-CZ"/>
        </w:rPr>
        <w:t xml:space="preserve">se </w:t>
      </w:r>
      <w:r w:rsidR="00207215" w:rsidRPr="0070395B">
        <w:rPr>
          <w:rFonts w:ascii="Cambria" w:hAnsi="Cambria" w:cs="Verdana"/>
          <w:lang w:val="cs-CZ"/>
        </w:rPr>
        <w:t>všemi podklady, podle kterých se připravuje stavba, zejména s projektem, s obsahem smlouvy o dílo, s podmínkami stavebního a jiných povolení a s dalšími podmínkami pro realizaci stavby.</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Zjistí-li Příkazník, že pokyny Příkazce jsou nevhodné či neúčelné, je povinen na toto Příkazce upozornit. Bude-li v tomto případě Příkazce na výkonu činnosti dle svých pokynů trvat, má Příkazník povinnost:</w:t>
      </w:r>
    </w:p>
    <w:p w:rsidR="00207215" w:rsidRPr="0070395B" w:rsidRDefault="00207215" w:rsidP="00275437">
      <w:pPr>
        <w:numPr>
          <w:ilvl w:val="1"/>
          <w:numId w:val="14"/>
        </w:numPr>
        <w:spacing w:before="60" w:after="0" w:line="240" w:lineRule="auto"/>
        <w:ind w:left="709" w:hanging="425"/>
        <w:jc w:val="both"/>
        <w:rPr>
          <w:rFonts w:ascii="Cambria" w:hAnsi="Cambria" w:cs="Verdana"/>
          <w:lang w:val="cs-CZ"/>
        </w:rPr>
      </w:pPr>
      <w:r w:rsidRPr="0070395B">
        <w:rPr>
          <w:rFonts w:ascii="Cambria" w:hAnsi="Cambria" w:cs="Verdana"/>
          <w:lang w:val="cs-CZ"/>
        </w:rPr>
        <w:t>ve výkonu činností pokračovat dle původních pokynů Příkazce, přičemž s ohledem na druh nevhodnosti pokynů Příkazce se v odpovídajícím poměru zprošťuje odpovědnosti za úspěch vykonaných činností a za vady v jím poskytované službě Příkazníkovi,</w:t>
      </w:r>
    </w:p>
    <w:p w:rsidR="00207215" w:rsidRPr="0070395B" w:rsidRDefault="00207215" w:rsidP="00275437">
      <w:pPr>
        <w:numPr>
          <w:ilvl w:val="1"/>
          <w:numId w:val="14"/>
        </w:numPr>
        <w:spacing w:before="60" w:after="0" w:line="240" w:lineRule="auto"/>
        <w:ind w:left="709" w:hanging="425"/>
        <w:jc w:val="both"/>
        <w:rPr>
          <w:rFonts w:ascii="Cambria" w:hAnsi="Cambria" w:cs="Verdana"/>
          <w:lang w:val="cs-CZ"/>
        </w:rPr>
      </w:pPr>
      <w:r w:rsidRPr="0070395B">
        <w:rPr>
          <w:rFonts w:ascii="Cambria" w:hAnsi="Cambria" w:cs="Verdana"/>
          <w:lang w:val="cs-CZ"/>
        </w:rPr>
        <w:t>v případě pokračování ve výkonu činností požadovat na Příkazci, aby své setrvání na původních pokynech potvrdil Příkazce i písemně.</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Příkazník je povinen upozornit Příkazce na to, že jeho pokyny nebo nové pokyny odporují obecně závazným právním předpisům, a to bezodkladně poté, co danou skutečnost zjistí.</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 xml:space="preserve">Příkazník je povinen pravidelně informovat Příkazce o postupu při výkonu činností, a to nejméně </w:t>
      </w:r>
      <w:r w:rsidR="00275437">
        <w:rPr>
          <w:rFonts w:ascii="Cambria" w:hAnsi="Cambria" w:cs="Verdana"/>
          <w:lang w:val="cs-CZ"/>
        </w:rPr>
        <w:t>dvakrát</w:t>
      </w:r>
      <w:r w:rsidRPr="0070395B">
        <w:rPr>
          <w:rFonts w:ascii="Cambria" w:hAnsi="Cambria" w:cs="Verdana"/>
          <w:lang w:val="cs-CZ"/>
        </w:rPr>
        <w:t xml:space="preserve"> měsíčně.</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Příkazník je povinen předat po vykonání činností bez zbytečného odkladu Příkazci věci, které za něho převzal při výkonu činností.</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Jakékoliv problémy, které se netýkají změny ceny stavby, změny územního rozhodnutí, změny stavebního povolení, ani změny uživatelských požadavků určených v odsouhlasené a předané dokumentaci stavby Příkazce, je však povinen učinit o tom zápis do stavebního deníku a na nejbližším kontrolním dnu o tom informovat Příkazce.</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Závažné problémy, jejichž řešení by znamenalo zvýšení ceny stavby, změnu stavebního povolení, nebo změnu uživatelských požadavků Příkazce, je Příkazník povinen předem projednat s Příkazcem.</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lang w:val="cs-CZ"/>
        </w:rPr>
        <w:t>Příkazník se zavazuje, že bude plynule sledovat a kontrolovat průběh stavby.</w:t>
      </w:r>
    </w:p>
    <w:p w:rsidR="00207215" w:rsidRPr="0070395B" w:rsidRDefault="00207215" w:rsidP="00207215">
      <w:pPr>
        <w:numPr>
          <w:ilvl w:val="0"/>
          <w:numId w:val="9"/>
        </w:numPr>
        <w:spacing w:before="60" w:after="0" w:line="240" w:lineRule="auto"/>
        <w:jc w:val="both"/>
        <w:rPr>
          <w:rFonts w:ascii="Cambria" w:hAnsi="Cambria"/>
          <w:lang w:val="cs-CZ"/>
        </w:rPr>
      </w:pPr>
      <w:r w:rsidRPr="0070395B">
        <w:rPr>
          <w:rFonts w:ascii="Cambria" w:hAnsi="Cambria"/>
          <w:lang w:val="cs-CZ"/>
        </w:rPr>
        <w:t xml:space="preserve">Po dobu výstavby musí </w:t>
      </w:r>
      <w:r w:rsidR="00275437">
        <w:rPr>
          <w:rFonts w:ascii="Cambria" w:hAnsi="Cambria"/>
          <w:lang w:val="cs-CZ"/>
        </w:rPr>
        <w:t>Příkazník</w:t>
      </w:r>
      <w:r w:rsidRPr="0070395B">
        <w:rPr>
          <w:rFonts w:ascii="Cambria" w:hAnsi="Cambria"/>
          <w:lang w:val="cs-CZ"/>
        </w:rPr>
        <w:t xml:space="preserve"> pořizovat fotodokumentaci z průběhu celé stavby.</w:t>
      </w:r>
    </w:p>
    <w:p w:rsidR="00207215" w:rsidRPr="0070395B"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 xml:space="preserve">Příkazník je povinen kontrolovat publicitu Integrovaného regionálního operačního programu, a to v rozsahu dle aktuálních </w:t>
      </w:r>
      <w:r w:rsidRPr="0070395B">
        <w:rPr>
          <w:rFonts w:ascii="Cambria" w:hAnsi="Cambria"/>
          <w:lang w:val="cs-CZ"/>
        </w:rPr>
        <w:t>Obecných pravidel pro žadatele a příjemce.</w:t>
      </w:r>
    </w:p>
    <w:p w:rsidR="00207215" w:rsidRDefault="00207215" w:rsidP="00207215">
      <w:pPr>
        <w:numPr>
          <w:ilvl w:val="0"/>
          <w:numId w:val="9"/>
        </w:numPr>
        <w:spacing w:before="60" w:after="0" w:line="240" w:lineRule="auto"/>
        <w:jc w:val="both"/>
        <w:rPr>
          <w:rFonts w:ascii="Cambria" w:hAnsi="Cambria" w:cs="Verdana"/>
          <w:lang w:val="cs-CZ"/>
        </w:rPr>
      </w:pPr>
      <w:r w:rsidRPr="0070395B">
        <w:rPr>
          <w:rFonts w:ascii="Cambria" w:hAnsi="Cambria" w:cs="Verdana"/>
          <w:lang w:val="cs-CZ"/>
        </w:rPr>
        <w:t>Výkon TDI musí být prováděn dle platné legislativy a norem v době zadání - mimo jiné i v souladu s doporučeným obsahem a rozsahem dle přílohy UNIKA.</w:t>
      </w:r>
    </w:p>
    <w:p w:rsidR="00815F7D" w:rsidRDefault="00207215" w:rsidP="00207215">
      <w:pPr>
        <w:numPr>
          <w:ilvl w:val="0"/>
          <w:numId w:val="9"/>
        </w:numPr>
        <w:spacing w:before="60" w:after="0" w:line="240" w:lineRule="auto"/>
        <w:jc w:val="both"/>
        <w:rPr>
          <w:rFonts w:ascii="Cambria" w:hAnsi="Cambria" w:cs="Verdana"/>
          <w:lang w:val="cs-CZ"/>
        </w:rPr>
      </w:pPr>
      <w:r>
        <w:rPr>
          <w:rFonts w:ascii="Cambria" w:hAnsi="Cambria" w:cs="Verdana"/>
          <w:lang w:val="cs-CZ"/>
        </w:rPr>
        <w:t>Příkazník se zavazuje zachovávat mlčenlivost o skutečnostech, o kterých se dozvěděl v souvislosti s výkonem činností dle této Smlouvy a s jeho účastí v</w:t>
      </w:r>
      <w:r w:rsidR="00275437">
        <w:rPr>
          <w:rFonts w:ascii="Cambria" w:hAnsi="Cambria" w:cs="Verdana"/>
          <w:lang w:val="cs-CZ"/>
        </w:rPr>
        <w:t xml:space="preserve"> předmětném</w:t>
      </w:r>
      <w:r>
        <w:rPr>
          <w:rFonts w:ascii="Cambria" w:hAnsi="Cambria" w:cs="Verdana"/>
          <w:lang w:val="cs-CZ"/>
        </w:rPr>
        <w:t xml:space="preserve"> výběrovém řízení. Příkazník se dále zavazuje, že bude předcházet situacím, ve kterých by se mohl ocitnout ve střetu zájmu dle </w:t>
      </w:r>
      <w:r w:rsidRPr="002E2939">
        <w:rPr>
          <w:rFonts w:ascii="Cambria" w:hAnsi="Cambria" w:cs="Verdana"/>
          <w:lang w:val="cs-CZ"/>
        </w:rPr>
        <w:t>§ 44 zákona č. 134/2016 Sb., v účinném znění. Pokud Příkazník zjistí, že se ocitl ve střetu zájmů, bude bez zbytečného odkladu informovat o této situaci Příkazce.</w:t>
      </w:r>
    </w:p>
    <w:p w:rsidR="00207215" w:rsidRPr="0070395B" w:rsidRDefault="00207215" w:rsidP="00207215">
      <w:pPr>
        <w:pStyle w:val="Nadpis1"/>
        <w:spacing w:before="360" w:line="240" w:lineRule="auto"/>
        <w:ind w:left="0"/>
        <w:rPr>
          <w:sz w:val="22"/>
          <w:szCs w:val="22"/>
        </w:rPr>
      </w:pPr>
      <w:r w:rsidRPr="0070395B">
        <w:rPr>
          <w:sz w:val="22"/>
          <w:szCs w:val="22"/>
        </w:rPr>
        <w:t>Plná moc</w:t>
      </w:r>
    </w:p>
    <w:p w:rsidR="00207215" w:rsidRPr="0070395B" w:rsidRDefault="00207215" w:rsidP="004534E1">
      <w:pPr>
        <w:pStyle w:val="Nadpis2"/>
        <w:spacing w:after="0"/>
        <w:ind w:left="426" w:hanging="426"/>
        <w:rPr>
          <w:sz w:val="22"/>
          <w:szCs w:val="22"/>
        </w:rPr>
      </w:pPr>
      <w:r w:rsidRPr="0070395B">
        <w:rPr>
          <w:sz w:val="22"/>
          <w:szCs w:val="22"/>
        </w:rPr>
        <w:t>Příkazce v souladu s § 2439 občanského zákoníku uděluje Příkazníkovi plnou moc ke všem právním jednáním, které je Příkazník povinen provést podle této smlouvy, a Příkazník tuto plnou moc přijímá.</w:t>
      </w:r>
    </w:p>
    <w:p w:rsidR="00207215" w:rsidRPr="0070395B" w:rsidRDefault="00207215" w:rsidP="004534E1">
      <w:pPr>
        <w:pStyle w:val="Nadpis2"/>
        <w:spacing w:after="0"/>
        <w:ind w:left="426" w:hanging="426"/>
        <w:rPr>
          <w:sz w:val="22"/>
          <w:szCs w:val="22"/>
        </w:rPr>
      </w:pPr>
      <w:r w:rsidRPr="0070395B">
        <w:rPr>
          <w:sz w:val="22"/>
          <w:szCs w:val="22"/>
        </w:rPr>
        <w:lastRenderedPageBreak/>
        <w:t>Plná moc je nezbytná k plnění povinností Příkazníka vyplývajících z této Smlouvy. Její odvolání nemá vliv na další práva a povinnosti dle této smlouvy.</w:t>
      </w:r>
    </w:p>
    <w:p w:rsidR="00207215" w:rsidRPr="0070395B" w:rsidRDefault="00207215" w:rsidP="004534E1">
      <w:pPr>
        <w:pStyle w:val="Nadpis2"/>
        <w:spacing w:after="0"/>
        <w:ind w:left="426" w:hanging="426"/>
        <w:rPr>
          <w:sz w:val="22"/>
          <w:szCs w:val="22"/>
        </w:rPr>
      </w:pPr>
      <w:r w:rsidRPr="0070395B">
        <w:rPr>
          <w:sz w:val="22"/>
          <w:szCs w:val="22"/>
        </w:rPr>
        <w:t>Odvolá-li Příkazce plnou moc, je Příkazník oprávněn odstoupit od smlouvy.</w:t>
      </w:r>
    </w:p>
    <w:p w:rsidR="00207215" w:rsidRPr="0070395B" w:rsidRDefault="00207215" w:rsidP="00207215">
      <w:pPr>
        <w:pStyle w:val="Nadpis1"/>
        <w:spacing w:before="360" w:line="240" w:lineRule="auto"/>
        <w:ind w:left="0"/>
        <w:rPr>
          <w:sz w:val="22"/>
          <w:szCs w:val="22"/>
        </w:rPr>
      </w:pPr>
      <w:r w:rsidRPr="0070395B">
        <w:rPr>
          <w:sz w:val="22"/>
          <w:szCs w:val="22"/>
        </w:rPr>
        <w:t>Povinnosti Příkazce</w:t>
      </w:r>
    </w:p>
    <w:p w:rsidR="00207215" w:rsidRPr="0070395B" w:rsidRDefault="00207215" w:rsidP="004534E1">
      <w:pPr>
        <w:pStyle w:val="Nadpis2"/>
        <w:spacing w:after="0"/>
        <w:ind w:left="426" w:hanging="426"/>
        <w:rPr>
          <w:sz w:val="22"/>
          <w:szCs w:val="22"/>
        </w:rPr>
      </w:pPr>
      <w:r w:rsidRPr="0070395B">
        <w:rPr>
          <w:sz w:val="22"/>
          <w:szCs w:val="22"/>
        </w:rPr>
        <w:t>Příkazce je povinen předat Příkazníkovi věci a informace, jež jsou nutné k výkonu činností.</w:t>
      </w:r>
    </w:p>
    <w:p w:rsidR="00207215" w:rsidRPr="0070395B" w:rsidRDefault="00207215" w:rsidP="004534E1">
      <w:pPr>
        <w:pStyle w:val="Nadpis2"/>
        <w:spacing w:after="0"/>
        <w:ind w:left="426" w:hanging="426"/>
        <w:rPr>
          <w:sz w:val="22"/>
          <w:szCs w:val="22"/>
        </w:rPr>
      </w:pPr>
      <w:r w:rsidRPr="0070395B">
        <w:rPr>
          <w:sz w:val="22"/>
          <w:szCs w:val="22"/>
        </w:rPr>
        <w:t>Příkazce je povinen upozornit Příkazníka zejména na veškerá nebezpečí související s výkonem činností, na běh lhůt apod.</w:t>
      </w:r>
      <w:r w:rsidR="00275437">
        <w:rPr>
          <w:sz w:val="22"/>
          <w:szCs w:val="22"/>
        </w:rPr>
        <w:t>, které nelze zjistit z dokumentace dle bodu</w:t>
      </w:r>
      <w:r w:rsidR="00D65AFE">
        <w:rPr>
          <w:sz w:val="22"/>
          <w:szCs w:val="22"/>
        </w:rPr>
        <w:t xml:space="preserve"> III., 1. a).</w:t>
      </w:r>
    </w:p>
    <w:p w:rsidR="00207215" w:rsidRPr="0070395B" w:rsidRDefault="00207215" w:rsidP="004534E1">
      <w:pPr>
        <w:pStyle w:val="Nadpis2"/>
        <w:spacing w:after="0"/>
        <w:ind w:left="426" w:hanging="426"/>
        <w:rPr>
          <w:sz w:val="22"/>
          <w:szCs w:val="22"/>
        </w:rPr>
      </w:pPr>
      <w:r w:rsidRPr="0070395B">
        <w:rPr>
          <w:sz w:val="22"/>
          <w:szCs w:val="22"/>
        </w:rPr>
        <w:t>Příkazce je povinen poskytovat Příkazníkovi nezbytnou součinnost, potřebnou pro řádný výkon činností, která jsou předmětem této smlouvy.</w:t>
      </w:r>
    </w:p>
    <w:p w:rsidR="00207215" w:rsidRPr="0070395B" w:rsidRDefault="00207215" w:rsidP="004534E1">
      <w:pPr>
        <w:pStyle w:val="Nadpis2"/>
        <w:spacing w:after="0" w:line="240" w:lineRule="auto"/>
        <w:ind w:left="426" w:hanging="426"/>
        <w:rPr>
          <w:sz w:val="22"/>
          <w:szCs w:val="22"/>
        </w:rPr>
      </w:pPr>
      <w:r w:rsidRPr="0070395B">
        <w:rPr>
          <w:sz w:val="22"/>
          <w:szCs w:val="22"/>
        </w:rPr>
        <w:t>Příkazce se zavazuje, že se zúčastní jednání, které svolá Příkazník v případě, bude-li ze strany Příkazce třeba odsouhlasit další postup prací ve smyslu této smlouvy. Příkazník je v takovém případě povinen oznámit Příkazci místo a termín jednání nejméně 2 dny předem, nedohodnou-li se smluvní strany jinak.</w:t>
      </w:r>
    </w:p>
    <w:p w:rsidR="00207215" w:rsidRPr="0070395B" w:rsidRDefault="00207215" w:rsidP="00207215">
      <w:pPr>
        <w:pStyle w:val="Nadpis1"/>
        <w:pBdr>
          <w:bottom w:val="single" w:sz="8" w:space="3" w:color="FF0000"/>
        </w:pBdr>
        <w:spacing w:before="360" w:line="240" w:lineRule="auto"/>
        <w:ind w:left="0"/>
        <w:rPr>
          <w:sz w:val="22"/>
          <w:szCs w:val="22"/>
        </w:rPr>
      </w:pPr>
      <w:r w:rsidRPr="0070395B">
        <w:rPr>
          <w:sz w:val="22"/>
          <w:szCs w:val="22"/>
        </w:rPr>
        <w:t>Úplata příkazníka a způsob její úhrady</w:t>
      </w:r>
    </w:p>
    <w:p w:rsidR="00207215" w:rsidRPr="0070395B" w:rsidRDefault="00207215" w:rsidP="004534E1">
      <w:pPr>
        <w:pStyle w:val="Nadpis2"/>
        <w:numPr>
          <w:ilvl w:val="1"/>
          <w:numId w:val="4"/>
        </w:numPr>
        <w:spacing w:after="0" w:line="240" w:lineRule="auto"/>
        <w:ind w:left="426" w:hanging="426"/>
        <w:rPr>
          <w:sz w:val="22"/>
          <w:szCs w:val="22"/>
        </w:rPr>
      </w:pPr>
      <w:r w:rsidRPr="0070395B">
        <w:rPr>
          <w:rFonts w:cs="Verdana"/>
          <w:sz w:val="22"/>
          <w:szCs w:val="22"/>
        </w:rPr>
        <w:t>Za vykonání činností dle této smlouvy se Příkazce zavazuje zaplatit Příkazníkovi úplatu, oboustranně dohodnutou na základě nabídkové ceny Příkazníka, která činí za výkony a činnosti technického dozoru stavebníka v rámci realizace stavby a po dokončení stavby</w:t>
      </w:r>
      <w:r w:rsidRPr="0070395B">
        <w:rPr>
          <w:sz w:val="22"/>
          <w:szCs w:val="22"/>
        </w:rPr>
        <w:t>:</w:t>
      </w:r>
    </w:p>
    <w:p w:rsidR="00CC4A40" w:rsidRDefault="00CC4A40" w:rsidP="00207215">
      <w:pPr>
        <w:pStyle w:val="Odstavecseseznamem"/>
        <w:spacing w:line="240" w:lineRule="auto"/>
        <w:ind w:left="720"/>
        <w:jc w:val="both"/>
        <w:rPr>
          <w:rFonts w:ascii="Cambria" w:hAnsi="Cambria" w:cs="Cambria"/>
          <w:b/>
          <w:bCs/>
          <w:lang w:val="cs-CZ"/>
        </w:rPr>
      </w:pPr>
    </w:p>
    <w:p w:rsidR="00207215" w:rsidRPr="0070395B" w:rsidRDefault="00207215" w:rsidP="00207215">
      <w:pPr>
        <w:pStyle w:val="Odstavecseseznamem"/>
        <w:spacing w:line="240" w:lineRule="auto"/>
        <w:ind w:left="720"/>
        <w:jc w:val="both"/>
        <w:rPr>
          <w:rFonts w:ascii="Cambria" w:hAnsi="Cambria" w:cs="Cambria"/>
          <w:b/>
          <w:bCs/>
          <w:lang w:val="cs-CZ"/>
        </w:rPr>
      </w:pPr>
      <w:r w:rsidRPr="0070395B">
        <w:rPr>
          <w:rFonts w:ascii="Cambria" w:hAnsi="Cambria" w:cs="Cambria"/>
          <w:b/>
          <w:bCs/>
          <w:lang w:val="cs-CZ"/>
        </w:rPr>
        <w:t xml:space="preserve">Cena bez DPH </w:t>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0047407F">
        <w:rPr>
          <w:rFonts w:ascii="Cambria" w:hAnsi="Cambria" w:cs="Cambria"/>
          <w:b/>
          <w:bCs/>
          <w:lang w:val="cs-CZ"/>
        </w:rPr>
        <w:t>450 000</w:t>
      </w:r>
      <w:r w:rsidRPr="0070395B">
        <w:rPr>
          <w:rFonts w:ascii="Cambria" w:hAnsi="Cambria" w:cs="Cambria"/>
          <w:b/>
          <w:bCs/>
          <w:lang w:val="cs-CZ"/>
        </w:rPr>
        <w:t>,- Kč</w:t>
      </w:r>
    </w:p>
    <w:p w:rsidR="00207215" w:rsidRPr="0070395B" w:rsidRDefault="00207215" w:rsidP="00207215">
      <w:pPr>
        <w:pStyle w:val="Odstavecseseznamem"/>
        <w:spacing w:line="240" w:lineRule="auto"/>
        <w:ind w:left="720"/>
        <w:jc w:val="both"/>
        <w:rPr>
          <w:rFonts w:ascii="Cambria" w:hAnsi="Cambria" w:cs="Cambria"/>
          <w:b/>
          <w:bCs/>
          <w:lang w:val="cs-CZ"/>
        </w:rPr>
      </w:pPr>
      <w:r w:rsidRPr="0070395B">
        <w:rPr>
          <w:rFonts w:ascii="Cambria" w:hAnsi="Cambria" w:cs="Cambria"/>
          <w:b/>
          <w:bCs/>
          <w:lang w:val="cs-CZ"/>
        </w:rPr>
        <w:t>Výše DPH</w:t>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0047407F">
        <w:rPr>
          <w:rFonts w:ascii="Cambria" w:hAnsi="Cambria" w:cs="Cambria"/>
          <w:b/>
          <w:bCs/>
          <w:lang w:val="cs-CZ"/>
        </w:rPr>
        <w:t>94 500</w:t>
      </w:r>
      <w:r w:rsidRPr="0070395B">
        <w:rPr>
          <w:rFonts w:ascii="Cambria" w:hAnsi="Cambria" w:cs="Cambria"/>
          <w:b/>
          <w:bCs/>
          <w:lang w:val="cs-CZ"/>
        </w:rPr>
        <w:t>,- Kč</w:t>
      </w:r>
    </w:p>
    <w:p w:rsidR="00207215" w:rsidRPr="0070395B" w:rsidRDefault="00207215" w:rsidP="00207215">
      <w:pPr>
        <w:pStyle w:val="Odstavecseseznamem"/>
        <w:spacing w:line="240" w:lineRule="auto"/>
        <w:ind w:left="720"/>
        <w:jc w:val="both"/>
        <w:rPr>
          <w:rFonts w:ascii="Cambria" w:hAnsi="Cambria" w:cs="Cambria"/>
          <w:b/>
          <w:bCs/>
          <w:lang w:val="cs-CZ"/>
        </w:rPr>
      </w:pPr>
      <w:r w:rsidRPr="0070395B">
        <w:rPr>
          <w:rFonts w:ascii="Cambria" w:hAnsi="Cambria" w:cs="Cambria"/>
          <w:b/>
          <w:bCs/>
          <w:lang w:val="cs-CZ"/>
        </w:rPr>
        <w:t xml:space="preserve">Cena včetně DPH </w:t>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Pr="0070395B">
        <w:rPr>
          <w:rFonts w:ascii="Cambria" w:hAnsi="Cambria" w:cs="Cambria"/>
          <w:b/>
          <w:bCs/>
          <w:lang w:val="cs-CZ"/>
        </w:rPr>
        <w:tab/>
      </w:r>
      <w:r w:rsidR="0047407F">
        <w:rPr>
          <w:rFonts w:ascii="Cambria" w:hAnsi="Cambria" w:cs="Cambria"/>
          <w:b/>
          <w:bCs/>
          <w:lang w:val="cs-CZ"/>
        </w:rPr>
        <w:t>544 500</w:t>
      </w:r>
      <w:r w:rsidRPr="0070395B">
        <w:rPr>
          <w:rFonts w:ascii="Cambria" w:hAnsi="Cambria" w:cs="Cambria"/>
          <w:b/>
          <w:bCs/>
          <w:lang w:val="cs-CZ"/>
        </w:rPr>
        <w:t>,- Kč</w:t>
      </w:r>
    </w:p>
    <w:p w:rsidR="00207215" w:rsidRPr="0070395B" w:rsidRDefault="00207215" w:rsidP="004534E1">
      <w:pPr>
        <w:numPr>
          <w:ilvl w:val="0"/>
          <w:numId w:val="8"/>
        </w:numPr>
        <w:spacing w:after="0" w:line="240" w:lineRule="auto"/>
        <w:jc w:val="both"/>
        <w:rPr>
          <w:rFonts w:ascii="Cambria" w:hAnsi="Cambria" w:cs="Verdana"/>
          <w:lang w:val="cs-CZ"/>
        </w:rPr>
      </w:pPr>
      <w:r w:rsidRPr="0070395B">
        <w:rPr>
          <w:rFonts w:ascii="Cambria" w:hAnsi="Cambria" w:cs="Verdana"/>
          <w:lang w:val="cs-CZ"/>
        </w:rPr>
        <w:t>Daň z přidané hodnoty bude účtována dle předpisů platných v den uskutečnění zdanitelného plnění.</w:t>
      </w:r>
    </w:p>
    <w:p w:rsidR="00207215" w:rsidRPr="0070395B" w:rsidRDefault="00207215" w:rsidP="004534E1">
      <w:pPr>
        <w:numPr>
          <w:ilvl w:val="0"/>
          <w:numId w:val="8"/>
        </w:numPr>
        <w:spacing w:after="0" w:line="240" w:lineRule="auto"/>
        <w:jc w:val="both"/>
        <w:rPr>
          <w:rFonts w:ascii="Cambria" w:hAnsi="Cambria" w:cs="Verdana"/>
          <w:lang w:val="cs-CZ"/>
        </w:rPr>
      </w:pPr>
      <w:r w:rsidRPr="0070395B">
        <w:rPr>
          <w:rFonts w:ascii="Cambria" w:hAnsi="Cambria" w:cs="Verdana"/>
          <w:lang w:val="cs-CZ"/>
        </w:rPr>
        <w:t>Sjednaná úplata je stanovena jako nejvýše přípustná a zahrnuje veškeré náklady Příkazníka vynaložené v souvislosti s výkonem činností dle této smlouvy. Lze ji překročit pouze na základě změny zákonné sazby DPH.</w:t>
      </w:r>
    </w:p>
    <w:p w:rsidR="00A83C15" w:rsidRDefault="00207215" w:rsidP="004534E1">
      <w:pPr>
        <w:numPr>
          <w:ilvl w:val="0"/>
          <w:numId w:val="8"/>
        </w:numPr>
        <w:spacing w:after="0" w:line="240" w:lineRule="auto"/>
        <w:ind w:left="364"/>
        <w:jc w:val="both"/>
        <w:rPr>
          <w:rFonts w:ascii="Cambria" w:hAnsi="Cambria" w:cs="Verdana"/>
          <w:lang w:val="cs-CZ"/>
        </w:rPr>
      </w:pPr>
      <w:r w:rsidRPr="00A83C15">
        <w:rPr>
          <w:rFonts w:ascii="Cambria" w:hAnsi="Cambria" w:cs="Verdana"/>
          <w:lang w:val="cs-CZ"/>
        </w:rPr>
        <w:t xml:space="preserve">Příkazce se zavazuje </w:t>
      </w:r>
      <w:r w:rsidR="004534E1">
        <w:rPr>
          <w:rFonts w:ascii="Cambria" w:hAnsi="Cambria" w:cs="Verdana"/>
          <w:lang w:val="cs-CZ"/>
        </w:rPr>
        <w:t>cenu</w:t>
      </w:r>
      <w:r w:rsidRPr="00A83C15">
        <w:rPr>
          <w:rFonts w:ascii="Cambria" w:hAnsi="Cambria" w:cs="Verdana"/>
          <w:lang w:val="cs-CZ"/>
        </w:rPr>
        <w:t xml:space="preserve"> dle tohoto článku smlouvy hradit Příkazníkovi postupně, a to v pravidelných splátkách </w:t>
      </w:r>
      <w:r w:rsidR="00D65AFE" w:rsidRPr="00A83C15">
        <w:rPr>
          <w:rFonts w:ascii="Cambria" w:hAnsi="Cambria" w:cs="Verdana"/>
          <w:lang w:val="cs-CZ"/>
        </w:rPr>
        <w:t>ve výši 10% ceny</w:t>
      </w:r>
      <w:r w:rsidR="00A83C15">
        <w:rPr>
          <w:rFonts w:ascii="Cambria" w:hAnsi="Cambria" w:cs="Verdana"/>
          <w:lang w:val="cs-CZ"/>
        </w:rPr>
        <w:t xml:space="preserve"> </w:t>
      </w:r>
      <w:r w:rsidR="00D65AFE" w:rsidRPr="00A83C15">
        <w:rPr>
          <w:rFonts w:ascii="Cambria" w:hAnsi="Cambria" w:cs="Verdana"/>
          <w:lang w:val="cs-CZ"/>
        </w:rPr>
        <w:t xml:space="preserve">dle </w:t>
      </w:r>
      <w:proofErr w:type="gramStart"/>
      <w:r w:rsidR="00D65AFE" w:rsidRPr="00A83C15">
        <w:rPr>
          <w:rFonts w:ascii="Cambria" w:hAnsi="Cambria" w:cs="Verdana"/>
          <w:lang w:val="cs-CZ"/>
        </w:rPr>
        <w:t>VII.,1.</w:t>
      </w:r>
      <w:r w:rsidR="00A83C15">
        <w:rPr>
          <w:rFonts w:ascii="Cambria" w:hAnsi="Cambria" w:cs="Verdana"/>
          <w:lang w:val="cs-CZ"/>
        </w:rPr>
        <w:t xml:space="preserve"> měsíčně</w:t>
      </w:r>
      <w:proofErr w:type="gramEnd"/>
      <w:r w:rsidR="00A83C15" w:rsidRPr="00A83C15">
        <w:rPr>
          <w:rFonts w:ascii="Cambria" w:hAnsi="Cambria" w:cs="Verdana"/>
          <w:lang w:val="cs-CZ"/>
        </w:rPr>
        <w:t xml:space="preserve"> </w:t>
      </w:r>
      <w:r w:rsidR="00A83C15">
        <w:rPr>
          <w:rFonts w:ascii="Cambria" w:hAnsi="Cambria" w:cs="Verdana"/>
          <w:lang w:val="cs-CZ"/>
        </w:rPr>
        <w:t>a po skončení a předání a převzetí díla jednorázovým doplatkem do ceny dle VII., 1.</w:t>
      </w:r>
    </w:p>
    <w:p w:rsidR="00207215" w:rsidRPr="00A83C15" w:rsidRDefault="004534E1" w:rsidP="004534E1">
      <w:pPr>
        <w:numPr>
          <w:ilvl w:val="0"/>
          <w:numId w:val="8"/>
        </w:numPr>
        <w:spacing w:after="0" w:line="240" w:lineRule="auto"/>
        <w:ind w:left="364"/>
        <w:jc w:val="both"/>
        <w:rPr>
          <w:rFonts w:ascii="Cambria" w:hAnsi="Cambria" w:cs="Verdana"/>
          <w:lang w:val="cs-CZ"/>
        </w:rPr>
      </w:pPr>
      <w:r>
        <w:rPr>
          <w:rFonts w:ascii="Cambria" w:hAnsi="Cambria" w:cs="Verdana"/>
          <w:lang w:val="cs-CZ"/>
        </w:rPr>
        <w:t>Cena</w:t>
      </w:r>
      <w:r w:rsidR="00A83C15">
        <w:rPr>
          <w:rFonts w:ascii="Cambria" w:hAnsi="Cambria" w:cs="Verdana"/>
          <w:lang w:val="cs-CZ"/>
        </w:rPr>
        <w:t xml:space="preserve"> bude hrazena Příkazcem </w:t>
      </w:r>
      <w:r w:rsidR="00207215" w:rsidRPr="00A83C15">
        <w:rPr>
          <w:rFonts w:ascii="Cambria" w:hAnsi="Cambria" w:cs="Verdana"/>
          <w:lang w:val="cs-CZ"/>
        </w:rPr>
        <w:t xml:space="preserve">na základě faktury – daňového dokladu vystaveného Příkazníkem. Splatnost této faktury je 30 kalendářních dnů ode dne jejího doručení Příkazci. </w:t>
      </w:r>
    </w:p>
    <w:p w:rsidR="00815F7D" w:rsidRDefault="00207215" w:rsidP="004534E1">
      <w:pPr>
        <w:numPr>
          <w:ilvl w:val="0"/>
          <w:numId w:val="8"/>
        </w:numPr>
        <w:spacing w:after="0" w:line="240" w:lineRule="auto"/>
        <w:jc w:val="both"/>
        <w:rPr>
          <w:rFonts w:ascii="Cambria" w:hAnsi="Cambria" w:cs="Verdana"/>
          <w:lang w:val="cs-CZ"/>
        </w:rPr>
      </w:pPr>
      <w:r w:rsidRPr="0070395B">
        <w:rPr>
          <w:rFonts w:ascii="Cambria" w:hAnsi="Cambria" w:cs="Verdana"/>
          <w:lang w:val="cs-CZ"/>
        </w:rPr>
        <w:t>Faktury musí obsahovat údaje účetního dokladu, jakož i všechny náležitosti daňového dokladu dle platných právních předpisů s uvedením čísla této smlouvy.</w:t>
      </w:r>
    </w:p>
    <w:p w:rsidR="00207215" w:rsidRPr="0070395B" w:rsidRDefault="00207215" w:rsidP="00207215">
      <w:pPr>
        <w:pStyle w:val="Nadpis1"/>
        <w:pBdr>
          <w:bottom w:val="single" w:sz="8" w:space="3" w:color="FF0000"/>
        </w:pBdr>
        <w:spacing w:before="360" w:line="240" w:lineRule="auto"/>
        <w:ind w:left="0"/>
        <w:rPr>
          <w:sz w:val="22"/>
          <w:szCs w:val="22"/>
        </w:rPr>
      </w:pPr>
      <w:r w:rsidRPr="0070395B">
        <w:rPr>
          <w:sz w:val="22"/>
          <w:szCs w:val="22"/>
        </w:rPr>
        <w:t>Platnost, účinnost, trvání a ukončení smlouvy</w:t>
      </w:r>
    </w:p>
    <w:p w:rsidR="00207215" w:rsidRPr="0070395B" w:rsidRDefault="00207215" w:rsidP="004534E1">
      <w:pPr>
        <w:pStyle w:val="Nadpis2"/>
        <w:spacing w:after="0"/>
        <w:ind w:left="426" w:hanging="426"/>
        <w:rPr>
          <w:sz w:val="22"/>
          <w:szCs w:val="22"/>
        </w:rPr>
      </w:pPr>
      <w:r w:rsidRPr="0070395B">
        <w:rPr>
          <w:sz w:val="22"/>
          <w:szCs w:val="22"/>
        </w:rPr>
        <w:t xml:space="preserve">Tato smlouva je platná a nabývá účinnosti ode dne jejího podpisu a je v trvání po dobu realizace stavby, do doby předání </w:t>
      </w:r>
      <w:r w:rsidR="00A83C15">
        <w:rPr>
          <w:sz w:val="22"/>
          <w:szCs w:val="22"/>
        </w:rPr>
        <w:t xml:space="preserve">a převzetí </w:t>
      </w:r>
      <w:r w:rsidRPr="0070395B">
        <w:rPr>
          <w:sz w:val="22"/>
          <w:szCs w:val="22"/>
        </w:rPr>
        <w:t xml:space="preserve">díla a </w:t>
      </w:r>
      <w:r w:rsidR="00D65AFE">
        <w:rPr>
          <w:sz w:val="22"/>
          <w:szCs w:val="22"/>
        </w:rPr>
        <w:t>specifikování</w:t>
      </w:r>
      <w:r w:rsidRPr="0070395B">
        <w:rPr>
          <w:sz w:val="22"/>
          <w:szCs w:val="22"/>
        </w:rPr>
        <w:t xml:space="preserve"> všech případných vad a nedodělků zapsaných v předávacím protokolu díla.</w:t>
      </w:r>
    </w:p>
    <w:p w:rsidR="00207215" w:rsidRPr="0070395B" w:rsidRDefault="00207215" w:rsidP="00815F7D">
      <w:pPr>
        <w:pStyle w:val="Nadpis3"/>
        <w:numPr>
          <w:ilvl w:val="1"/>
          <w:numId w:val="2"/>
        </w:numPr>
        <w:spacing w:after="0"/>
        <w:ind w:left="426" w:hanging="426"/>
        <w:rPr>
          <w:sz w:val="22"/>
          <w:szCs w:val="22"/>
        </w:rPr>
      </w:pPr>
      <w:r w:rsidRPr="0070395B">
        <w:rPr>
          <w:sz w:val="22"/>
          <w:szCs w:val="22"/>
        </w:rPr>
        <w:t xml:space="preserve">Doba výkonu činností dle této smlouvy započne po podpisu této Smlouvy </w:t>
      </w:r>
      <w:r w:rsidR="004534E1">
        <w:rPr>
          <w:sz w:val="22"/>
          <w:szCs w:val="22"/>
        </w:rPr>
        <w:t xml:space="preserve">pokynem Příkazce </w:t>
      </w:r>
      <w:r w:rsidRPr="0070395B">
        <w:rPr>
          <w:sz w:val="22"/>
          <w:szCs w:val="22"/>
        </w:rPr>
        <w:t xml:space="preserve">a skončí po splnění všech činností vyplývajících z této smlouvy. Doba realizace stavby v rámci zakázky </w:t>
      </w:r>
      <w:r w:rsidR="00A83C15">
        <w:rPr>
          <w:sz w:val="22"/>
          <w:szCs w:val="22"/>
        </w:rPr>
        <w:t>se předpokládá 210 dnů</w:t>
      </w:r>
      <w:r w:rsidRPr="0070395B">
        <w:rPr>
          <w:sz w:val="22"/>
          <w:szCs w:val="22"/>
        </w:rPr>
        <w:t xml:space="preserve">. </w:t>
      </w:r>
    </w:p>
    <w:p w:rsidR="00207215" w:rsidRPr="0070395B" w:rsidRDefault="00207215" w:rsidP="004534E1">
      <w:pPr>
        <w:pStyle w:val="Nadpis2"/>
        <w:spacing w:after="0"/>
        <w:ind w:left="426" w:hanging="426"/>
        <w:rPr>
          <w:sz w:val="22"/>
          <w:szCs w:val="22"/>
        </w:rPr>
      </w:pPr>
      <w:r w:rsidRPr="0070395B">
        <w:rPr>
          <w:sz w:val="22"/>
          <w:szCs w:val="22"/>
        </w:rPr>
        <w:t>V průběhu realizace stavby může docházet k přerušení stavební činnosti. Po tuto dobu bude omezeno nebo úplně pozastaveno i provádění činností Příkazníkem s tím, že Příkazci vzniká nárok na posun termínu zajištění záležitosti úměrně délce přerušení stavební činnosti.</w:t>
      </w:r>
    </w:p>
    <w:p w:rsidR="00207215" w:rsidRPr="0070395B" w:rsidRDefault="00207215" w:rsidP="004534E1">
      <w:pPr>
        <w:pStyle w:val="Nadpis2"/>
        <w:spacing w:after="0"/>
        <w:ind w:left="426" w:hanging="426"/>
        <w:rPr>
          <w:sz w:val="22"/>
          <w:szCs w:val="22"/>
        </w:rPr>
      </w:pPr>
      <w:r w:rsidRPr="0070395B">
        <w:rPr>
          <w:sz w:val="22"/>
          <w:szCs w:val="22"/>
        </w:rPr>
        <w:lastRenderedPageBreak/>
        <w:t>Při podstatném porušení povinností vyplývajících z této smlouvy, jednou smluvní stranou, je druhá smluvní strana oprávněna tuto smlouvu ukončit písemnou výpovědí, a to s 15denní výpovědní dobou počínající běžet dnem následujícím po dni doručení písemné výpovědi. Příkazník je před uplynutím této lhůty povinen upozornit Příkazce na opatření, která je nutno učinit v souvislosti s činností vykonávanou pro Příkazce dle této smlouvy, zejména na taková opatření, která mají zabránit vzniku škody.</w:t>
      </w:r>
    </w:p>
    <w:p w:rsidR="00207215" w:rsidRPr="0070395B" w:rsidRDefault="00207215" w:rsidP="004534E1">
      <w:pPr>
        <w:pStyle w:val="Nadpis2"/>
        <w:spacing w:after="0"/>
        <w:ind w:left="426" w:hanging="426"/>
        <w:rPr>
          <w:sz w:val="22"/>
          <w:szCs w:val="22"/>
        </w:rPr>
      </w:pPr>
      <w:r w:rsidRPr="0070395B">
        <w:rPr>
          <w:sz w:val="22"/>
          <w:szCs w:val="22"/>
        </w:rPr>
        <w:t>Tato smlouva může být rovněž bez jakýchkoliv sankcí ukončena v případě, že výdaje na plnění dle této smlouvy nebo výdaje na plnění dotčené stavby budou poskytovatelem dotace prohlášeny za nezpůsobilé k podpoře, případně nebude vůbec dotace poskytnuta.</w:t>
      </w:r>
    </w:p>
    <w:p w:rsidR="00207215" w:rsidRPr="0070395B" w:rsidRDefault="00207215" w:rsidP="004534E1">
      <w:pPr>
        <w:pStyle w:val="Nadpis2"/>
        <w:spacing w:after="0" w:line="240" w:lineRule="auto"/>
        <w:ind w:left="426" w:hanging="426"/>
        <w:rPr>
          <w:sz w:val="22"/>
          <w:szCs w:val="22"/>
        </w:rPr>
      </w:pPr>
      <w:r w:rsidRPr="0070395B">
        <w:rPr>
          <w:sz w:val="22"/>
          <w:szCs w:val="22"/>
        </w:rPr>
        <w:t>Do 15 dnů po ukončení právního vztahu založeného touto smlouvou, je Příkazník povinen předat Příkazci veškeré doklady, které od něho obdržel nebo získal od třetích osob v souvislosti s výkonem činností pro Příkazce.</w:t>
      </w:r>
    </w:p>
    <w:p w:rsidR="00207215" w:rsidRPr="0070395B" w:rsidRDefault="00207215" w:rsidP="00207215">
      <w:pPr>
        <w:pStyle w:val="Nadpis1"/>
        <w:spacing w:before="360" w:line="240" w:lineRule="auto"/>
        <w:ind w:left="0"/>
        <w:rPr>
          <w:sz w:val="22"/>
          <w:szCs w:val="22"/>
        </w:rPr>
      </w:pPr>
      <w:r w:rsidRPr="0070395B">
        <w:rPr>
          <w:sz w:val="22"/>
          <w:szCs w:val="22"/>
        </w:rPr>
        <w:t xml:space="preserve">Odpovědnost za škody </w:t>
      </w:r>
    </w:p>
    <w:p w:rsidR="00207215" w:rsidRPr="0070395B" w:rsidRDefault="00207215" w:rsidP="004534E1">
      <w:pPr>
        <w:pStyle w:val="Nadpis2"/>
        <w:numPr>
          <w:ilvl w:val="0"/>
          <w:numId w:val="0"/>
        </w:numPr>
        <w:spacing w:line="240" w:lineRule="auto"/>
        <w:rPr>
          <w:sz w:val="22"/>
          <w:szCs w:val="22"/>
        </w:rPr>
      </w:pPr>
      <w:r w:rsidRPr="0070395B">
        <w:rPr>
          <w:sz w:val="22"/>
          <w:szCs w:val="22"/>
        </w:rPr>
        <w:t>Příkazník je plně odpovědný za škody, které Příkazci vznikly v důsledku porušení povinností vyplývajících pro Příkazníka z této smlouvy</w:t>
      </w:r>
      <w:r w:rsidR="004534E1">
        <w:rPr>
          <w:sz w:val="22"/>
          <w:szCs w:val="22"/>
        </w:rPr>
        <w:t>.</w:t>
      </w:r>
      <w:r w:rsidRPr="0070395B">
        <w:rPr>
          <w:sz w:val="22"/>
          <w:szCs w:val="22"/>
        </w:rPr>
        <w:t xml:space="preserve"> Za škody, které by mohly vzniknout Příkazci v souvislosti s touto smlouvou, je Příkazník odpovědný po dobu 2 let od data skončení činnosti dle této smlouvy.</w:t>
      </w:r>
    </w:p>
    <w:p w:rsidR="00207215" w:rsidRPr="0070395B" w:rsidRDefault="00207215" w:rsidP="00207215">
      <w:pPr>
        <w:pStyle w:val="Nadpis1"/>
        <w:spacing w:before="360" w:line="240" w:lineRule="auto"/>
        <w:ind w:left="0"/>
        <w:rPr>
          <w:sz w:val="22"/>
          <w:szCs w:val="22"/>
        </w:rPr>
      </w:pPr>
      <w:r w:rsidRPr="0070395B">
        <w:rPr>
          <w:sz w:val="22"/>
          <w:szCs w:val="22"/>
        </w:rPr>
        <w:t>Smluvní pokuty, náhrady škod</w:t>
      </w:r>
    </w:p>
    <w:p w:rsidR="00207215" w:rsidRPr="0070395B" w:rsidRDefault="00207215" w:rsidP="00CC4A40">
      <w:pPr>
        <w:pStyle w:val="Nadpis2"/>
        <w:spacing w:after="0"/>
        <w:ind w:left="426" w:hanging="426"/>
        <w:rPr>
          <w:sz w:val="22"/>
          <w:szCs w:val="22"/>
        </w:rPr>
      </w:pPr>
      <w:r w:rsidRPr="0070395B">
        <w:rPr>
          <w:sz w:val="22"/>
          <w:szCs w:val="22"/>
        </w:rPr>
        <w:t xml:space="preserve">Smluvní pokuta za podstatné porušení povinností vyplývajících pro Příkazníka z této smlouvy se stanovuje ve výši 0,05 % z celkové </w:t>
      </w:r>
      <w:r w:rsidR="004534E1">
        <w:rPr>
          <w:sz w:val="22"/>
          <w:szCs w:val="22"/>
        </w:rPr>
        <w:t>ceny s DPH</w:t>
      </w:r>
      <w:r w:rsidRPr="0070395B">
        <w:rPr>
          <w:sz w:val="22"/>
          <w:szCs w:val="22"/>
        </w:rPr>
        <w:t xml:space="preserve"> podle čl. VII. této smlouvy.</w:t>
      </w:r>
    </w:p>
    <w:p w:rsidR="00207215" w:rsidRPr="0070395B" w:rsidRDefault="00207215" w:rsidP="00CC4A40">
      <w:pPr>
        <w:pStyle w:val="Nadpis2"/>
        <w:spacing w:after="0"/>
        <w:ind w:left="426" w:hanging="426"/>
        <w:rPr>
          <w:sz w:val="22"/>
          <w:szCs w:val="22"/>
        </w:rPr>
      </w:pPr>
      <w:r w:rsidRPr="0070395B">
        <w:rPr>
          <w:sz w:val="22"/>
          <w:szCs w:val="22"/>
        </w:rPr>
        <w:t>V případě prodlení Příkazce s úhradou řádně fakturované části odměny za činnost Příkazníka podle této smlouvy se sjednává smluvní pokuta ve výši 0,05 % z dlužné částky za každý den prodlení.</w:t>
      </w:r>
    </w:p>
    <w:p w:rsidR="00207215" w:rsidRPr="0070395B" w:rsidRDefault="00207215" w:rsidP="00CC4A40">
      <w:pPr>
        <w:pStyle w:val="Nadpis2"/>
        <w:spacing w:after="0"/>
        <w:ind w:left="426" w:hanging="426"/>
        <w:rPr>
          <w:sz w:val="22"/>
          <w:szCs w:val="22"/>
        </w:rPr>
      </w:pPr>
      <w:r w:rsidRPr="0070395B">
        <w:rPr>
          <w:sz w:val="22"/>
          <w:szCs w:val="22"/>
        </w:rPr>
        <w:t>Úhradou smluvní pokuty není dotčen nárok na náhradu škody vzniklé poškozené smluvní straně.</w:t>
      </w:r>
    </w:p>
    <w:p w:rsidR="00815F7D" w:rsidRDefault="00207215" w:rsidP="00CC4A40">
      <w:pPr>
        <w:pStyle w:val="Nadpis2"/>
        <w:spacing w:after="0"/>
        <w:ind w:left="426" w:hanging="426"/>
        <w:rPr>
          <w:sz w:val="22"/>
          <w:szCs w:val="22"/>
        </w:rPr>
      </w:pPr>
      <w:r w:rsidRPr="0070395B">
        <w:rPr>
          <w:sz w:val="22"/>
          <w:szCs w:val="22"/>
        </w:rPr>
        <w:t>Smluvní pokuty nebo náhrada škody jsou hrazeny na základě písemného vyúčtování oprávněné smluvní strany doručené povinné smluvní straně se splatností do 30 dnů ode dne doručení povinné smluvní straně.</w:t>
      </w:r>
    </w:p>
    <w:p w:rsidR="00207215" w:rsidRPr="0070395B" w:rsidRDefault="00207215" w:rsidP="00207215">
      <w:pPr>
        <w:pStyle w:val="Nadpis1"/>
        <w:spacing w:before="360" w:line="240" w:lineRule="auto"/>
        <w:ind w:left="0"/>
        <w:rPr>
          <w:sz w:val="22"/>
          <w:szCs w:val="22"/>
        </w:rPr>
      </w:pPr>
      <w:r w:rsidRPr="0070395B">
        <w:rPr>
          <w:sz w:val="22"/>
          <w:szCs w:val="22"/>
        </w:rPr>
        <w:t>Závěrečná ustanovení</w:t>
      </w:r>
    </w:p>
    <w:p w:rsidR="00207215" w:rsidRPr="0070395B" w:rsidRDefault="00207215" w:rsidP="00CC4A40">
      <w:pPr>
        <w:pStyle w:val="Nadpis2"/>
        <w:spacing w:after="0"/>
        <w:ind w:left="426" w:hanging="426"/>
        <w:rPr>
          <w:sz w:val="22"/>
          <w:szCs w:val="22"/>
        </w:rPr>
      </w:pPr>
      <w:r w:rsidRPr="0070395B">
        <w:rPr>
          <w:sz w:val="22"/>
          <w:szCs w:val="22"/>
        </w:rPr>
        <w:t>Smluvní strany nejsou oprávněny postoupit resp. převést práva a povinnosti z této smlouvy na třetí osobu bez písemného souhlasu druhé smluvní strany.</w:t>
      </w:r>
    </w:p>
    <w:p w:rsidR="00207215" w:rsidRPr="0070395B" w:rsidRDefault="00207215" w:rsidP="00CC4A40">
      <w:pPr>
        <w:pStyle w:val="Nadpis2"/>
        <w:spacing w:after="0"/>
        <w:ind w:left="426" w:hanging="426"/>
        <w:rPr>
          <w:sz w:val="22"/>
          <w:szCs w:val="22"/>
        </w:rPr>
      </w:pPr>
      <w:r w:rsidRPr="0070395B">
        <w:rPr>
          <w:sz w:val="22"/>
          <w:szCs w:val="22"/>
        </w:rPr>
        <w:t>Tato smlouva může být měněna nebo doplňována pouze číslovanými dodatky v písemné formě podepsanými oběma smluvními stranami.</w:t>
      </w:r>
    </w:p>
    <w:p w:rsidR="00207215" w:rsidRPr="0070395B" w:rsidRDefault="00207215" w:rsidP="00CC4A40">
      <w:pPr>
        <w:pStyle w:val="Nadpis2"/>
        <w:spacing w:after="0"/>
        <w:ind w:left="426" w:hanging="426"/>
        <w:rPr>
          <w:sz w:val="22"/>
          <w:szCs w:val="22"/>
        </w:rPr>
      </w:pPr>
      <w:r w:rsidRPr="0070395B">
        <w:rPr>
          <w:sz w:val="22"/>
          <w:szCs w:val="22"/>
        </w:rPr>
        <w:t>Veškerá korespondence, oznámení, žádosti, záznamy a jiné dokumenty vzniklé na základě smlouvy mezi smluvními stranami budou vyhotoveny v jazyce českém. Všechna oznámení, žádosti a jiná spojení, jejichž provedení se ve smyslu této smlouvy očekává, musí být druhé smluvní straně doručena písemně v listinné formě osobně nebo doporučeně na adresy uvedené v této smlouvě. Písemnou zprávu je možné doručit i emailem s osvědčením o doručení druhé straně. Jakákoliv písemnost odeslaná ve smyslu ustanovení tohoto odstavce se považuje v pochybnostech za doručenou třetí den po řádném převzetí písemnosti poštou podle tohoto odstavce či oproti potvrzení osobního doručení a pokud je potvrzena odesláním doporučeného dopisu ve lhůtě výše uvedené. Každá smluvní strana je povinna písemně oznámit druhé straně změnu své doručovací adresy, alespoň deset (10) dní předem ve smyslu ustanovení tohoto odstavce.</w:t>
      </w:r>
    </w:p>
    <w:p w:rsidR="00207215" w:rsidRPr="0070395B" w:rsidRDefault="00207215" w:rsidP="00CC4A40">
      <w:pPr>
        <w:pStyle w:val="Nadpis2"/>
        <w:spacing w:after="0"/>
        <w:ind w:left="426" w:hanging="426"/>
        <w:rPr>
          <w:sz w:val="22"/>
          <w:szCs w:val="22"/>
        </w:rPr>
      </w:pPr>
      <w:r w:rsidRPr="0070395B">
        <w:rPr>
          <w:sz w:val="22"/>
          <w:szCs w:val="22"/>
        </w:rPr>
        <w:lastRenderedPageBreak/>
        <w:t>V případě vzniku jakéhokoli sporu vyplývajícího z uzavření, platnosti a provádění této smlouvy jsou smluvní strany povinny jednat o jeho vyřešení a snažit se ho urovnat cestou jednání a na základě dohody. V případě, že se smluvním stranám ani po vynaložení potřebného úsilí nepodaří vyřešit spor podle tohoto článku, bude rozhodnut věcně a místně příslušným soudem.</w:t>
      </w:r>
    </w:p>
    <w:p w:rsidR="00207215" w:rsidRPr="0070395B" w:rsidRDefault="00207215" w:rsidP="00CC4A40">
      <w:pPr>
        <w:pStyle w:val="Nadpis2"/>
        <w:spacing w:after="0"/>
        <w:ind w:left="426" w:hanging="426"/>
        <w:rPr>
          <w:sz w:val="22"/>
          <w:szCs w:val="22"/>
        </w:rPr>
      </w:pPr>
      <w:r w:rsidRPr="0070395B">
        <w:rPr>
          <w:sz w:val="22"/>
          <w:szCs w:val="22"/>
        </w:rPr>
        <w:t>Tato smlouva se řídí a bude vykládána v souladu s právním řádem České republiky.</w:t>
      </w:r>
    </w:p>
    <w:p w:rsidR="00207215" w:rsidRPr="0070395B" w:rsidRDefault="00207215" w:rsidP="00CC4A40">
      <w:pPr>
        <w:pStyle w:val="Nadpis2"/>
        <w:spacing w:after="0" w:line="240" w:lineRule="auto"/>
        <w:ind w:left="426" w:hanging="426"/>
        <w:rPr>
          <w:sz w:val="22"/>
          <w:szCs w:val="22"/>
        </w:rPr>
      </w:pPr>
      <w:r w:rsidRPr="0070395B">
        <w:rPr>
          <w:sz w:val="22"/>
          <w:szCs w:val="22"/>
        </w:rPr>
        <w:t xml:space="preserve">Tato smlouva je vyhotovena ve </w:t>
      </w:r>
      <w:r w:rsidR="004534E1">
        <w:rPr>
          <w:sz w:val="22"/>
          <w:szCs w:val="22"/>
        </w:rPr>
        <w:t>dvou</w:t>
      </w:r>
      <w:r w:rsidRPr="0070395B">
        <w:rPr>
          <w:sz w:val="22"/>
          <w:szCs w:val="22"/>
        </w:rPr>
        <w:t xml:space="preserve"> stejnopisech, z nichž každý má stejnou platnost</w:t>
      </w:r>
      <w:r w:rsidR="004534E1">
        <w:rPr>
          <w:sz w:val="22"/>
          <w:szCs w:val="22"/>
        </w:rPr>
        <w:t>, přičemž k</w:t>
      </w:r>
      <w:r w:rsidRPr="0070395B">
        <w:rPr>
          <w:sz w:val="22"/>
          <w:szCs w:val="22"/>
        </w:rPr>
        <w:t xml:space="preserve">aždá ze smluvních stran obdrží </w:t>
      </w:r>
      <w:r w:rsidR="004534E1">
        <w:rPr>
          <w:sz w:val="22"/>
          <w:szCs w:val="22"/>
        </w:rPr>
        <w:t>jeden</w:t>
      </w:r>
      <w:r w:rsidRPr="0070395B">
        <w:rPr>
          <w:sz w:val="22"/>
          <w:szCs w:val="22"/>
        </w:rPr>
        <w:t xml:space="preserve"> stejnopis.</w:t>
      </w:r>
    </w:p>
    <w:p w:rsidR="00207215" w:rsidRPr="0070395B" w:rsidRDefault="00207215" w:rsidP="00CC4A40">
      <w:pPr>
        <w:pStyle w:val="Nadpis2"/>
        <w:spacing w:after="0" w:line="240" w:lineRule="auto"/>
        <w:ind w:left="426" w:hanging="426"/>
        <w:rPr>
          <w:rFonts w:cs="Arial"/>
          <w:sz w:val="22"/>
          <w:szCs w:val="22"/>
        </w:rPr>
      </w:pPr>
      <w:r w:rsidRPr="0070395B">
        <w:rPr>
          <w:sz w:val="22"/>
          <w:szCs w:val="22"/>
        </w:rPr>
        <w:t xml:space="preserve">Smluvní strany souhlasí s tím, aby výše uvedená smlouva byla uvedena v evidenci smluv, vedené </w:t>
      </w:r>
      <w:r w:rsidR="004534E1">
        <w:rPr>
          <w:sz w:val="22"/>
          <w:szCs w:val="22"/>
        </w:rPr>
        <w:t>Příkazcem</w:t>
      </w:r>
      <w:r w:rsidRPr="0070395B">
        <w:rPr>
          <w:sz w:val="22"/>
          <w:szCs w:val="22"/>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rsidR="00207215" w:rsidRPr="0070395B" w:rsidRDefault="00207215" w:rsidP="00CC4A40">
      <w:pPr>
        <w:pStyle w:val="Nadpis2"/>
        <w:spacing w:after="0" w:line="240" w:lineRule="auto"/>
        <w:ind w:left="426" w:hanging="426"/>
        <w:rPr>
          <w:sz w:val="22"/>
          <w:szCs w:val="22"/>
        </w:rPr>
      </w:pPr>
      <w:r w:rsidRPr="0070395B">
        <w:rPr>
          <w:sz w:val="22"/>
          <w:szCs w:val="22"/>
        </w:rPr>
        <w:t>Nedílnou součást Smlouvy tvoří jako přílohy Smlouvy:</w:t>
      </w:r>
    </w:p>
    <w:p w:rsidR="00CC4A40" w:rsidRDefault="00CC4A40" w:rsidP="00207215">
      <w:pPr>
        <w:spacing w:after="120" w:line="240" w:lineRule="auto"/>
        <w:ind w:left="1410" w:hanging="1410"/>
        <w:jc w:val="both"/>
        <w:rPr>
          <w:rFonts w:ascii="Cambria" w:hAnsi="Cambria" w:cs="Cambria"/>
          <w:lang w:val="cs-CZ"/>
        </w:rPr>
      </w:pPr>
    </w:p>
    <w:p w:rsidR="00207215" w:rsidRPr="0070395B" w:rsidRDefault="00207215" w:rsidP="00207215">
      <w:pPr>
        <w:spacing w:after="120" w:line="240" w:lineRule="auto"/>
        <w:ind w:left="1410" w:hanging="1410"/>
        <w:jc w:val="both"/>
        <w:rPr>
          <w:rFonts w:ascii="Cambria" w:hAnsi="Cambria" w:cs="Cambria"/>
          <w:lang w:val="cs-CZ"/>
        </w:rPr>
      </w:pPr>
      <w:r w:rsidRPr="0070395B">
        <w:rPr>
          <w:rFonts w:ascii="Cambria" w:hAnsi="Cambria" w:cs="Cambria"/>
          <w:lang w:val="cs-CZ"/>
        </w:rPr>
        <w:t>Příloha č. 1:</w:t>
      </w:r>
      <w:r w:rsidRPr="0070395B">
        <w:rPr>
          <w:rFonts w:ascii="Cambria" w:hAnsi="Cambria" w:cs="Cambria"/>
          <w:lang w:val="cs-CZ"/>
        </w:rPr>
        <w:tab/>
        <w:t xml:space="preserve">Nabídka Příkazníka </w:t>
      </w:r>
      <w:r w:rsidR="004534E1">
        <w:rPr>
          <w:rFonts w:ascii="Cambria" w:hAnsi="Cambria" w:cs="Cambria"/>
          <w:lang w:val="cs-CZ"/>
        </w:rPr>
        <w:t xml:space="preserve">podaná Příkazci </w:t>
      </w:r>
      <w:r w:rsidRPr="0070395B">
        <w:rPr>
          <w:rFonts w:ascii="Cambria" w:hAnsi="Cambria" w:cs="Cambria"/>
          <w:lang w:val="cs-CZ"/>
        </w:rPr>
        <w:t xml:space="preserve">v rámci výběrového řízení </w:t>
      </w:r>
    </w:p>
    <w:p w:rsidR="00207215" w:rsidRPr="0070395B" w:rsidRDefault="00207215" w:rsidP="00207215">
      <w:pPr>
        <w:spacing w:line="240" w:lineRule="auto"/>
        <w:jc w:val="both"/>
        <w:rPr>
          <w:rFonts w:ascii="Cambria" w:hAnsi="Cambria" w:cs="Cambria"/>
          <w:lang w:val="cs-CZ"/>
        </w:rPr>
      </w:pPr>
      <w:r w:rsidRPr="0070395B">
        <w:rPr>
          <w:rFonts w:ascii="Cambria" w:hAnsi="Cambria" w:cs="Cambria"/>
          <w:lang w:val="cs-CZ"/>
        </w:rPr>
        <w:t>Příloha č. 2:</w:t>
      </w:r>
      <w:r w:rsidRPr="0070395B">
        <w:rPr>
          <w:rFonts w:ascii="Cambria" w:hAnsi="Cambria" w:cs="Cambria"/>
          <w:lang w:val="cs-CZ"/>
        </w:rPr>
        <w:tab/>
        <w:t xml:space="preserve">Prováděcí projektová dokumentace </w:t>
      </w:r>
    </w:p>
    <w:p w:rsidR="004534E1" w:rsidRDefault="004534E1" w:rsidP="00207215">
      <w:pPr>
        <w:tabs>
          <w:tab w:val="left" w:pos="5387"/>
        </w:tabs>
        <w:spacing w:after="0" w:line="240" w:lineRule="auto"/>
        <w:rPr>
          <w:rFonts w:ascii="Cambria" w:hAnsi="Cambria" w:cs="Cambria"/>
          <w:lang w:val="cs-CZ"/>
        </w:rPr>
      </w:pPr>
    </w:p>
    <w:p w:rsidR="00815F7D" w:rsidRDefault="00815F7D" w:rsidP="00207215">
      <w:pPr>
        <w:tabs>
          <w:tab w:val="left" w:pos="5387"/>
        </w:tabs>
        <w:spacing w:after="0" w:line="240" w:lineRule="auto"/>
        <w:rPr>
          <w:rFonts w:ascii="Cambria" w:hAnsi="Cambria" w:cs="Cambria"/>
          <w:lang w:val="cs-CZ"/>
        </w:rPr>
      </w:pPr>
    </w:p>
    <w:p w:rsidR="00815F7D" w:rsidRDefault="00815F7D" w:rsidP="00207215">
      <w:pPr>
        <w:tabs>
          <w:tab w:val="left" w:pos="5387"/>
        </w:tabs>
        <w:spacing w:after="0" w:line="240" w:lineRule="auto"/>
        <w:rPr>
          <w:rFonts w:ascii="Cambria" w:hAnsi="Cambria" w:cs="Cambria"/>
          <w:lang w:val="cs-CZ"/>
        </w:rPr>
      </w:pPr>
    </w:p>
    <w:p w:rsidR="00207215" w:rsidRPr="0070395B" w:rsidRDefault="00207215" w:rsidP="00207215">
      <w:pPr>
        <w:tabs>
          <w:tab w:val="left" w:pos="5387"/>
        </w:tabs>
        <w:spacing w:after="0" w:line="240" w:lineRule="auto"/>
        <w:rPr>
          <w:rFonts w:ascii="Cambria" w:hAnsi="Cambria" w:cs="Cambria"/>
          <w:lang w:val="cs-CZ"/>
        </w:rPr>
      </w:pPr>
      <w:r w:rsidRPr="0070395B">
        <w:rPr>
          <w:rFonts w:ascii="Cambria" w:hAnsi="Cambria" w:cs="Cambria"/>
          <w:lang w:val="cs-CZ"/>
        </w:rPr>
        <w:t>Příkazce</w:t>
      </w:r>
      <w:r w:rsidRPr="0070395B">
        <w:rPr>
          <w:rFonts w:ascii="Cambria" w:hAnsi="Cambria" w:cs="Cambria"/>
          <w:lang w:val="cs-CZ"/>
        </w:rPr>
        <w:tab/>
        <w:t>Příkazník</w:t>
      </w:r>
    </w:p>
    <w:p w:rsidR="004534E1" w:rsidRDefault="004534E1" w:rsidP="00207215">
      <w:pPr>
        <w:tabs>
          <w:tab w:val="left" w:pos="5387"/>
        </w:tabs>
        <w:jc w:val="both"/>
        <w:rPr>
          <w:rFonts w:ascii="Cambria" w:hAnsi="Cambria" w:cs="Cambria"/>
          <w:lang w:val="cs-CZ"/>
        </w:rPr>
      </w:pPr>
    </w:p>
    <w:p w:rsidR="00207215" w:rsidRPr="004534E1" w:rsidRDefault="00207215" w:rsidP="00207215">
      <w:pPr>
        <w:tabs>
          <w:tab w:val="left" w:pos="5387"/>
        </w:tabs>
        <w:jc w:val="both"/>
        <w:rPr>
          <w:rFonts w:ascii="Cambria" w:hAnsi="Cambria" w:cs="Cambria"/>
          <w:lang w:val="cs-CZ"/>
        </w:rPr>
      </w:pPr>
      <w:r w:rsidRPr="004534E1">
        <w:rPr>
          <w:rFonts w:ascii="Cambria" w:hAnsi="Cambria" w:cs="Cambria"/>
          <w:lang w:val="cs-CZ"/>
        </w:rPr>
        <w:t>V</w:t>
      </w:r>
      <w:r w:rsidR="0047407F">
        <w:rPr>
          <w:rFonts w:ascii="Cambria" w:hAnsi="Cambria" w:cs="Cambria"/>
          <w:lang w:val="cs-CZ"/>
        </w:rPr>
        <w:t xml:space="preserve"> Brně </w:t>
      </w:r>
      <w:r w:rsidRPr="004534E1">
        <w:rPr>
          <w:rFonts w:ascii="Cambria" w:hAnsi="Cambria" w:cs="Cambria"/>
          <w:lang w:val="cs-CZ"/>
        </w:rPr>
        <w:t xml:space="preserve"> dne</w:t>
      </w:r>
      <w:r w:rsidR="0047407F">
        <w:rPr>
          <w:rFonts w:ascii="Cambria" w:hAnsi="Cambria" w:cs="Cambria"/>
          <w:lang w:val="cs-CZ"/>
        </w:rPr>
        <w:t xml:space="preserve"> 13.8.2018</w:t>
      </w:r>
      <w:r w:rsidRPr="004534E1">
        <w:rPr>
          <w:rFonts w:ascii="Cambria" w:hAnsi="Cambria" w:cs="Cambria"/>
          <w:lang w:val="cs-CZ"/>
        </w:rPr>
        <w:tab/>
      </w:r>
      <w:r w:rsidR="004534E1">
        <w:rPr>
          <w:rFonts w:ascii="Cambria" w:hAnsi="Cambria" w:cs="Cambria"/>
          <w:lang w:val="cs-CZ"/>
        </w:rPr>
        <w:t>V</w:t>
      </w:r>
      <w:r w:rsidR="005D39C7">
        <w:rPr>
          <w:rFonts w:ascii="Cambria" w:hAnsi="Cambria" w:cs="Cambria"/>
          <w:lang w:val="cs-CZ"/>
        </w:rPr>
        <w:t xml:space="preserve"> Brně </w:t>
      </w:r>
      <w:r w:rsidR="004534E1">
        <w:rPr>
          <w:rFonts w:ascii="Cambria" w:hAnsi="Cambria" w:cs="Cambria"/>
          <w:lang w:val="cs-CZ"/>
        </w:rPr>
        <w:t xml:space="preserve"> dne………………….</w:t>
      </w:r>
      <w:bookmarkStart w:id="0" w:name="_GoBack"/>
      <w:bookmarkEnd w:id="0"/>
    </w:p>
    <w:p w:rsidR="00207215" w:rsidRPr="004534E1" w:rsidRDefault="00207215" w:rsidP="00207215">
      <w:pPr>
        <w:tabs>
          <w:tab w:val="left" w:pos="5812"/>
        </w:tabs>
        <w:jc w:val="both"/>
        <w:rPr>
          <w:rFonts w:ascii="Cambria" w:hAnsi="Cambria" w:cs="Cambria"/>
          <w:lang w:val="cs-CZ"/>
        </w:rPr>
      </w:pPr>
    </w:p>
    <w:p w:rsidR="00207215" w:rsidRDefault="00207215" w:rsidP="00207215">
      <w:pPr>
        <w:tabs>
          <w:tab w:val="left" w:pos="5812"/>
        </w:tabs>
        <w:jc w:val="both"/>
        <w:rPr>
          <w:rFonts w:ascii="Cambria" w:hAnsi="Cambria" w:cs="Cambria"/>
          <w:lang w:val="cs-CZ"/>
        </w:rPr>
      </w:pPr>
    </w:p>
    <w:p w:rsidR="00CC4A40" w:rsidRPr="004534E1" w:rsidRDefault="00CC4A40" w:rsidP="00207215">
      <w:pPr>
        <w:tabs>
          <w:tab w:val="left" w:pos="5812"/>
        </w:tabs>
        <w:jc w:val="both"/>
        <w:rPr>
          <w:rFonts w:ascii="Cambria" w:hAnsi="Cambria" w:cs="Cambria"/>
          <w:lang w:val="cs-CZ"/>
        </w:rPr>
      </w:pPr>
    </w:p>
    <w:p w:rsidR="00207215" w:rsidRPr="004534E1" w:rsidRDefault="00207215" w:rsidP="00207215">
      <w:pPr>
        <w:tabs>
          <w:tab w:val="left" w:pos="5387"/>
        </w:tabs>
        <w:spacing w:after="0"/>
        <w:jc w:val="both"/>
        <w:rPr>
          <w:rFonts w:ascii="Cambria" w:hAnsi="Cambria" w:cs="Cambria"/>
          <w:lang w:val="cs-CZ"/>
        </w:rPr>
      </w:pPr>
      <w:r w:rsidRPr="004534E1">
        <w:rPr>
          <w:rFonts w:ascii="Cambria" w:hAnsi="Cambria" w:cs="Cambria"/>
          <w:lang w:val="cs-CZ"/>
        </w:rPr>
        <w:t>……………………………………………………</w:t>
      </w:r>
      <w:r w:rsidRPr="004534E1">
        <w:rPr>
          <w:rFonts w:ascii="Cambria" w:hAnsi="Cambria" w:cs="Cambria"/>
          <w:lang w:val="cs-CZ"/>
        </w:rPr>
        <w:tab/>
        <w:t>…………………………………………………….</w:t>
      </w:r>
    </w:p>
    <w:sectPr w:rsidR="00207215" w:rsidRPr="004534E1" w:rsidSect="00815F7D">
      <w:footerReference w:type="default" r:id="rId7"/>
      <w:pgSz w:w="11906" w:h="16838"/>
      <w:pgMar w:top="993" w:right="1417" w:bottom="851" w:left="1417"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14" w:rsidRDefault="004B4514" w:rsidP="00CC4A40">
      <w:pPr>
        <w:spacing w:after="0" w:line="240" w:lineRule="auto"/>
      </w:pPr>
      <w:r>
        <w:separator/>
      </w:r>
    </w:p>
  </w:endnote>
  <w:endnote w:type="continuationSeparator" w:id="0">
    <w:p w:rsidR="004B4514" w:rsidRDefault="004B4514" w:rsidP="00CC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066976"/>
      <w:docPartObj>
        <w:docPartGallery w:val="Page Numbers (Bottom of Page)"/>
        <w:docPartUnique/>
      </w:docPartObj>
    </w:sdtPr>
    <w:sdtEndPr/>
    <w:sdtContent>
      <w:p w:rsidR="00CC4A40" w:rsidRDefault="00CC4A40">
        <w:pPr>
          <w:pStyle w:val="Zpat"/>
          <w:jc w:val="right"/>
        </w:pPr>
        <w:r>
          <w:fldChar w:fldCharType="begin"/>
        </w:r>
        <w:r>
          <w:instrText>PAGE   \* MERGEFORMAT</w:instrText>
        </w:r>
        <w:r>
          <w:fldChar w:fldCharType="separate"/>
        </w:r>
        <w:r w:rsidR="005D39C7" w:rsidRPr="005D39C7">
          <w:rPr>
            <w:noProof/>
            <w:lang w:val="cs-CZ"/>
          </w:rPr>
          <w:t>6</w:t>
        </w:r>
        <w:r>
          <w:fldChar w:fldCharType="end"/>
        </w:r>
      </w:p>
    </w:sdtContent>
  </w:sdt>
  <w:p w:rsidR="00CC4A40" w:rsidRDefault="00CC4A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14" w:rsidRDefault="004B4514" w:rsidP="00CC4A40">
      <w:pPr>
        <w:spacing w:after="0" w:line="240" w:lineRule="auto"/>
      </w:pPr>
      <w:r>
        <w:separator/>
      </w:r>
    </w:p>
  </w:footnote>
  <w:footnote w:type="continuationSeparator" w:id="0">
    <w:p w:rsidR="004B4514" w:rsidRDefault="004B4514" w:rsidP="00CC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BAC"/>
    <w:multiLevelType w:val="hybridMultilevel"/>
    <w:tmpl w:val="8C762686"/>
    <w:lvl w:ilvl="0" w:tplc="4DBE04D2">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7903551"/>
    <w:multiLevelType w:val="hybridMultilevel"/>
    <w:tmpl w:val="46522E2C"/>
    <w:lvl w:ilvl="0" w:tplc="2370CEA6">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674B0"/>
    <w:multiLevelType w:val="multilevel"/>
    <w:tmpl w:val="18500B5E"/>
    <w:lvl w:ilvl="0">
      <w:start w:val="1"/>
      <w:numFmt w:val="upperRoman"/>
      <w:pStyle w:val="Nadpis1"/>
      <w:lvlText w:val="%1."/>
      <w:lvlJc w:val="left"/>
      <w:pPr>
        <w:ind w:left="2978"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3" w15:restartNumberingAfterBreak="0">
    <w:nsid w:val="19395AC2"/>
    <w:multiLevelType w:val="hybridMultilevel"/>
    <w:tmpl w:val="3AD214C8"/>
    <w:lvl w:ilvl="0" w:tplc="C11C0A0A">
      <w:start w:val="1"/>
      <w:numFmt w:val="decimal"/>
      <w:lvlText w:val="%1."/>
      <w:lvlJc w:val="left"/>
      <w:pPr>
        <w:tabs>
          <w:tab w:val="num" w:pos="360"/>
        </w:tabs>
        <w:ind w:left="360" w:hanging="360"/>
      </w:pPr>
      <w:rPr>
        <w:rFonts w:hint="default"/>
        <w:b/>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38297F"/>
    <w:multiLevelType w:val="hybridMultilevel"/>
    <w:tmpl w:val="5C36168E"/>
    <w:lvl w:ilvl="0" w:tplc="466E5170">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17">
      <w:start w:val="1"/>
      <w:numFmt w:val="lowerLetter"/>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6587C"/>
    <w:multiLevelType w:val="hybridMultilevel"/>
    <w:tmpl w:val="8646CB52"/>
    <w:lvl w:ilvl="0" w:tplc="C11C0A0A">
      <w:start w:val="1"/>
      <w:numFmt w:val="decimal"/>
      <w:lvlText w:val="%1."/>
      <w:lvlJc w:val="left"/>
      <w:pPr>
        <w:tabs>
          <w:tab w:val="num" w:pos="360"/>
        </w:tabs>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545269"/>
    <w:multiLevelType w:val="hybridMultilevel"/>
    <w:tmpl w:val="AD8ED50A"/>
    <w:lvl w:ilvl="0" w:tplc="C11C0A0A">
      <w:start w:val="1"/>
      <w:numFmt w:val="decimal"/>
      <w:lvlText w:val="%1."/>
      <w:lvlJc w:val="left"/>
      <w:pPr>
        <w:tabs>
          <w:tab w:val="num" w:pos="360"/>
        </w:tabs>
        <w:ind w:left="360" w:hanging="360"/>
      </w:pPr>
      <w:rPr>
        <w:rFonts w:hint="default"/>
        <w:b/>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5A6AB6"/>
    <w:multiLevelType w:val="multilevel"/>
    <w:tmpl w:val="560A51B4"/>
    <w:lvl w:ilvl="0">
      <w:start w:val="1"/>
      <w:numFmt w:val="decimal"/>
      <w:lvlText w:val="%1."/>
      <w:lvlJc w:val="left"/>
      <w:pPr>
        <w:ind w:left="72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8" w15:restartNumberingAfterBreak="0">
    <w:nsid w:val="61722350"/>
    <w:multiLevelType w:val="hybridMultilevel"/>
    <w:tmpl w:val="F2C4D4E2"/>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1"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336C6"/>
    <w:multiLevelType w:val="hybridMultilevel"/>
    <w:tmpl w:val="08A4FA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0"/>
  </w:num>
  <w:num w:numId="7">
    <w:abstractNumId w:val="8"/>
  </w:num>
  <w:num w:numId="8">
    <w:abstractNumId w:val="11"/>
  </w:num>
  <w:num w:numId="9">
    <w:abstractNumId w:val="5"/>
  </w:num>
  <w:num w:numId="10">
    <w:abstractNumId w:val="1"/>
  </w:num>
  <w:num w:numId="11">
    <w:abstractNumId w:val="4"/>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15"/>
    <w:rsid w:val="00042323"/>
    <w:rsid w:val="001525AC"/>
    <w:rsid w:val="001C2D40"/>
    <w:rsid w:val="00207215"/>
    <w:rsid w:val="00244C42"/>
    <w:rsid w:val="00275437"/>
    <w:rsid w:val="0035637D"/>
    <w:rsid w:val="004534E1"/>
    <w:rsid w:val="0047407F"/>
    <w:rsid w:val="004B4514"/>
    <w:rsid w:val="005D39C7"/>
    <w:rsid w:val="006C5DE3"/>
    <w:rsid w:val="00815F7D"/>
    <w:rsid w:val="00A063B2"/>
    <w:rsid w:val="00A83C15"/>
    <w:rsid w:val="00BE50C9"/>
    <w:rsid w:val="00C11CC2"/>
    <w:rsid w:val="00C75CA7"/>
    <w:rsid w:val="00CC4A40"/>
    <w:rsid w:val="00D65AFE"/>
    <w:rsid w:val="00E15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0C093F-687F-4977-939B-2DAC2971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215"/>
    <w:pPr>
      <w:spacing w:after="200" w:line="276" w:lineRule="auto"/>
    </w:pPr>
    <w:rPr>
      <w:rFonts w:ascii="Calibri" w:eastAsia="Calibri" w:hAnsi="Calibri" w:cs="Calibri"/>
      <w:lang w:val="sk-SK"/>
    </w:rPr>
  </w:style>
  <w:style w:type="paragraph" w:styleId="Nadpis1">
    <w:name w:val="heading 1"/>
    <w:basedOn w:val="Normln"/>
    <w:next w:val="Normln"/>
    <w:link w:val="Nadpis1Char"/>
    <w:uiPriority w:val="9"/>
    <w:qFormat/>
    <w:rsid w:val="00207215"/>
    <w:pPr>
      <w:numPr>
        <w:numId w:val="2"/>
      </w:numPr>
      <w:pBdr>
        <w:bottom w:val="single" w:sz="8" w:space="1" w:color="FF0000"/>
      </w:pBdr>
      <w:jc w:val="center"/>
      <w:outlineLvl w:val="0"/>
    </w:pPr>
    <w:rPr>
      <w:rFonts w:ascii="Cambria" w:hAnsi="Cambria" w:cs="Cambria"/>
      <w:b/>
      <w:bCs/>
      <w:sz w:val="28"/>
      <w:szCs w:val="28"/>
      <w:lang w:val="cs-CZ"/>
    </w:rPr>
  </w:style>
  <w:style w:type="paragraph" w:styleId="Nadpis2">
    <w:name w:val="heading 2"/>
    <w:basedOn w:val="Normln"/>
    <w:next w:val="Normln"/>
    <w:link w:val="Nadpis2Char"/>
    <w:uiPriority w:val="9"/>
    <w:qFormat/>
    <w:rsid w:val="00207215"/>
    <w:pPr>
      <w:numPr>
        <w:ilvl w:val="1"/>
        <w:numId w:val="2"/>
      </w:numPr>
      <w:jc w:val="both"/>
      <w:outlineLvl w:val="1"/>
    </w:pPr>
    <w:rPr>
      <w:rFonts w:ascii="Cambria" w:hAnsi="Cambria" w:cs="Cambria"/>
      <w:sz w:val="24"/>
      <w:szCs w:val="24"/>
      <w:lang w:val="cs-CZ"/>
    </w:rPr>
  </w:style>
  <w:style w:type="paragraph" w:styleId="Nadpis3">
    <w:name w:val="heading 3"/>
    <w:basedOn w:val="Nadpis2"/>
    <w:next w:val="Normln"/>
    <w:link w:val="Nadpis3Char"/>
    <w:uiPriority w:val="9"/>
    <w:qFormat/>
    <w:rsid w:val="00207215"/>
    <w:pPr>
      <w:numPr>
        <w:ilvl w:val="2"/>
      </w:numPr>
      <w:outlineLvl w:val="2"/>
    </w:pPr>
  </w:style>
  <w:style w:type="paragraph" w:styleId="Nadpis4">
    <w:name w:val="heading 4"/>
    <w:basedOn w:val="Nadpis8"/>
    <w:next w:val="Normln"/>
    <w:link w:val="Nadpis4Char"/>
    <w:qFormat/>
    <w:rsid w:val="00207215"/>
    <w:pPr>
      <w:numPr>
        <w:ilvl w:val="3"/>
        <w:numId w:val="1"/>
      </w:numPr>
      <w:tabs>
        <w:tab w:val="num" w:pos="360"/>
      </w:tabs>
      <w:ind w:left="5760"/>
      <w:outlineLvl w:val="3"/>
    </w:pPr>
    <w:rPr>
      <w:color w:val="auto"/>
      <w:sz w:val="24"/>
      <w:szCs w:val="24"/>
      <w:lang w:val="cs-CZ"/>
    </w:rPr>
  </w:style>
  <w:style w:type="paragraph" w:styleId="Nadpis6">
    <w:name w:val="heading 6"/>
    <w:basedOn w:val="Normln"/>
    <w:next w:val="Normln"/>
    <w:link w:val="Nadpis6Char"/>
    <w:uiPriority w:val="9"/>
    <w:qFormat/>
    <w:rsid w:val="00207215"/>
    <w:pPr>
      <w:keepNext/>
      <w:keepLines/>
      <w:numPr>
        <w:ilvl w:val="5"/>
        <w:numId w:val="2"/>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207215"/>
    <w:pPr>
      <w:keepNext/>
      <w:keepLines/>
      <w:numPr>
        <w:ilvl w:val="6"/>
        <w:numId w:val="2"/>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207215"/>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207215"/>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7215"/>
    <w:rPr>
      <w:rFonts w:ascii="Cambria" w:eastAsia="Calibri" w:hAnsi="Cambria" w:cs="Cambria"/>
      <w:b/>
      <w:bCs/>
      <w:sz w:val="28"/>
      <w:szCs w:val="28"/>
    </w:rPr>
  </w:style>
  <w:style w:type="character" w:customStyle="1" w:styleId="Nadpis2Char">
    <w:name w:val="Nadpis 2 Char"/>
    <w:basedOn w:val="Standardnpsmoodstavce"/>
    <w:link w:val="Nadpis2"/>
    <w:uiPriority w:val="9"/>
    <w:rsid w:val="00207215"/>
    <w:rPr>
      <w:rFonts w:ascii="Cambria" w:eastAsia="Calibri" w:hAnsi="Cambria" w:cs="Cambria"/>
      <w:sz w:val="24"/>
      <w:szCs w:val="24"/>
    </w:rPr>
  </w:style>
  <w:style w:type="character" w:customStyle="1" w:styleId="Nadpis3Char">
    <w:name w:val="Nadpis 3 Char"/>
    <w:basedOn w:val="Standardnpsmoodstavce"/>
    <w:link w:val="Nadpis3"/>
    <w:uiPriority w:val="9"/>
    <w:rsid w:val="00207215"/>
    <w:rPr>
      <w:rFonts w:ascii="Cambria" w:eastAsia="Calibri" w:hAnsi="Cambria" w:cs="Cambria"/>
      <w:sz w:val="24"/>
      <w:szCs w:val="24"/>
    </w:rPr>
  </w:style>
  <w:style w:type="character" w:customStyle="1" w:styleId="Nadpis4Char">
    <w:name w:val="Nadpis 4 Char"/>
    <w:basedOn w:val="Standardnpsmoodstavce"/>
    <w:link w:val="Nadpis4"/>
    <w:rsid w:val="00207215"/>
    <w:rPr>
      <w:rFonts w:ascii="Cambria" w:eastAsia="Times New Roman" w:hAnsi="Cambria" w:cs="Cambria"/>
      <w:sz w:val="24"/>
      <w:szCs w:val="24"/>
    </w:rPr>
  </w:style>
  <w:style w:type="character" w:customStyle="1" w:styleId="Nadpis6Char">
    <w:name w:val="Nadpis 6 Char"/>
    <w:basedOn w:val="Standardnpsmoodstavce"/>
    <w:link w:val="Nadpis6"/>
    <w:uiPriority w:val="9"/>
    <w:rsid w:val="00207215"/>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rsid w:val="00207215"/>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rsid w:val="00207215"/>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rsid w:val="00207215"/>
    <w:rPr>
      <w:rFonts w:ascii="Cambria" w:eastAsia="Times New Roman" w:hAnsi="Cambria" w:cs="Cambria"/>
      <w:i/>
      <w:iCs/>
      <w:color w:val="404040"/>
      <w:sz w:val="20"/>
      <w:szCs w:val="20"/>
      <w:lang w:val="sk-SK"/>
    </w:rPr>
  </w:style>
  <w:style w:type="paragraph" w:styleId="Bezmezer">
    <w:name w:val="No Spacing"/>
    <w:basedOn w:val="Normln"/>
    <w:uiPriority w:val="99"/>
    <w:qFormat/>
    <w:rsid w:val="00207215"/>
    <w:pPr>
      <w:jc w:val="both"/>
    </w:pPr>
    <w:rPr>
      <w:rFonts w:ascii="Cambria" w:hAnsi="Cambria" w:cs="Cambria"/>
      <w:sz w:val="24"/>
      <w:szCs w:val="24"/>
      <w:lang w:val="cs-CZ"/>
    </w:rPr>
  </w:style>
  <w:style w:type="paragraph" w:styleId="Odstavecseseznamem">
    <w:name w:val="List Paragraph"/>
    <w:basedOn w:val="Normln"/>
    <w:uiPriority w:val="34"/>
    <w:qFormat/>
    <w:rsid w:val="00207215"/>
    <w:pPr>
      <w:ind w:left="708"/>
    </w:pPr>
  </w:style>
  <w:style w:type="paragraph" w:styleId="Zhlav">
    <w:name w:val="header"/>
    <w:basedOn w:val="Normln"/>
    <w:link w:val="ZhlavChar"/>
    <w:uiPriority w:val="99"/>
    <w:unhideWhenUsed/>
    <w:rsid w:val="00CC4A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A40"/>
    <w:rPr>
      <w:rFonts w:ascii="Calibri" w:eastAsia="Calibri" w:hAnsi="Calibri" w:cs="Calibri"/>
      <w:lang w:val="sk-SK"/>
    </w:rPr>
  </w:style>
  <w:style w:type="paragraph" w:styleId="Zpat">
    <w:name w:val="footer"/>
    <w:basedOn w:val="Normln"/>
    <w:link w:val="ZpatChar"/>
    <w:uiPriority w:val="99"/>
    <w:unhideWhenUsed/>
    <w:rsid w:val="00CC4A4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A40"/>
    <w:rPr>
      <w:rFonts w:ascii="Calibri" w:eastAsia="Calibri" w:hAnsi="Calibri" w:cs="Calibri"/>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2294</Words>
  <Characters>13536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Bustik</dc:creator>
  <cp:keywords/>
  <dc:description/>
  <cp:lastModifiedBy>uzivatel</cp:lastModifiedBy>
  <cp:revision>3</cp:revision>
  <dcterms:created xsi:type="dcterms:W3CDTF">2018-08-13T08:19:00Z</dcterms:created>
  <dcterms:modified xsi:type="dcterms:W3CDTF">2018-08-13T08:29:00Z</dcterms:modified>
</cp:coreProperties>
</file>