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AB9" w:rsidRDefault="00250AB9" w:rsidP="00250AB9">
      <w:pPr>
        <w:jc w:val="center"/>
        <w:rPr>
          <w:rFonts w:ascii="Calibri" w:hAnsi="Calibri" w:cs="Calibri"/>
          <w:sz w:val="24"/>
          <w:lang w:val="en-US"/>
        </w:rPr>
      </w:pPr>
      <w:r>
        <w:rPr>
          <w:rFonts w:ascii="Calibri" w:hAnsi="Calibri" w:cs="Calibri"/>
          <w:noProof/>
          <w:sz w:val="24"/>
        </w:rPr>
        <w:drawing>
          <wp:inline distT="0" distB="0" distL="0" distR="0">
            <wp:extent cx="1592580" cy="1242060"/>
            <wp:effectExtent l="0" t="0" r="762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AB9" w:rsidRDefault="00250AB9" w:rsidP="00250AB9">
      <w:pPr>
        <w:jc w:val="center"/>
        <w:rPr>
          <w:rFonts w:ascii="Calibri" w:hAnsi="Calibri" w:cs="Calibri"/>
        </w:rPr>
      </w:pPr>
    </w:p>
    <w:p w:rsidR="00250AB9" w:rsidRDefault="00250AB9" w:rsidP="00250AB9">
      <w:pPr>
        <w:jc w:val="center"/>
        <w:rPr>
          <w:rFonts w:ascii="Calibri" w:hAnsi="Calibri" w:cs="Calibri"/>
        </w:rPr>
      </w:pPr>
    </w:p>
    <w:p w:rsidR="00250AB9" w:rsidRDefault="00250AB9" w:rsidP="00250AB9">
      <w:pPr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 xml:space="preserve">Centrum </w:t>
      </w:r>
      <w:proofErr w:type="spellStart"/>
      <w:r>
        <w:rPr>
          <w:rFonts w:ascii="Calibri" w:hAnsi="Calibri" w:cs="Calibri"/>
          <w:b/>
          <w:bCs/>
          <w:sz w:val="72"/>
          <w:szCs w:val="72"/>
        </w:rPr>
        <w:t>HiLASE</w:t>
      </w:r>
      <w:proofErr w:type="spellEnd"/>
    </w:p>
    <w:p w:rsidR="00250AB9" w:rsidRDefault="00250AB9" w:rsidP="00250AB9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Fyzikální ústav AV ČR, </w:t>
      </w:r>
      <w:proofErr w:type="spellStart"/>
      <w:proofErr w:type="gramStart"/>
      <w:r>
        <w:rPr>
          <w:rFonts w:ascii="Calibri" w:hAnsi="Calibri" w:cs="Calibri"/>
          <w:sz w:val="32"/>
          <w:szCs w:val="32"/>
        </w:rPr>
        <w:t>v.v.</w:t>
      </w:r>
      <w:proofErr w:type="gramEnd"/>
      <w:r>
        <w:rPr>
          <w:rFonts w:ascii="Calibri" w:hAnsi="Calibri" w:cs="Calibri"/>
          <w:sz w:val="32"/>
          <w:szCs w:val="32"/>
        </w:rPr>
        <w:t>i</w:t>
      </w:r>
      <w:proofErr w:type="spellEnd"/>
      <w:r>
        <w:rPr>
          <w:rFonts w:ascii="Calibri" w:hAnsi="Calibri" w:cs="Calibri"/>
          <w:sz w:val="32"/>
          <w:szCs w:val="32"/>
        </w:rPr>
        <w:t>.</w:t>
      </w:r>
    </w:p>
    <w:p w:rsidR="00250AB9" w:rsidRDefault="00250AB9" w:rsidP="00250AB9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sz w:val="32"/>
          <w:szCs w:val="32"/>
        </w:rPr>
        <w:t>Za Radnicí 828, 252 41 Dolní Břežany</w:t>
      </w:r>
    </w:p>
    <w:p w:rsidR="00250AB9" w:rsidRDefault="00250AB9" w:rsidP="00250AB9">
      <w:pPr>
        <w:jc w:val="center"/>
        <w:rPr>
          <w:rFonts w:ascii="Calibri" w:hAnsi="Calibri" w:cs="Calibri"/>
          <w:sz w:val="16"/>
          <w:szCs w:val="16"/>
        </w:rPr>
      </w:pPr>
    </w:p>
    <w:p w:rsidR="00250AB9" w:rsidRDefault="00250AB9" w:rsidP="00250AB9">
      <w:pPr>
        <w:jc w:val="center"/>
        <w:rPr>
          <w:rFonts w:ascii="Calibri" w:hAnsi="Calibri" w:cs="Calibri"/>
          <w:sz w:val="16"/>
          <w:szCs w:val="16"/>
        </w:rPr>
      </w:pPr>
    </w:p>
    <w:p w:rsidR="00250AB9" w:rsidRDefault="00250AB9" w:rsidP="00250AB9">
      <w:pPr>
        <w:jc w:val="center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699135</wp:posOffset>
            </wp:positionH>
            <wp:positionV relativeFrom="paragraph">
              <wp:posOffset>138430</wp:posOffset>
            </wp:positionV>
            <wp:extent cx="4410710" cy="2124710"/>
            <wp:effectExtent l="0" t="0" r="8890" b="8890"/>
            <wp:wrapNone/>
            <wp:docPr id="21" name="Obrázek 21" descr="Jeden z laserů střediska HILASE v Dolních Břežanech u Prahy.">
              <a:hlinkClick xmlns:a="http://schemas.openxmlformats.org/drawingml/2006/main" r:id="rId6" tooltip="&quot;Jeden z laserů střediska HILASE v Dolních Břežanech u Prahy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eden z laserů střediska HILASE v Dolních Břežanech u Prahy.">
                      <a:hlinkClick r:id="rId6" tooltip="&quot;Jeden z laserů střediska HILASE v Dolních Břežanech u Prahy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710" cy="2124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0AB9" w:rsidRDefault="00250AB9" w:rsidP="00250AB9"/>
    <w:p w:rsidR="00250AB9" w:rsidRDefault="00250AB9" w:rsidP="00250AB9"/>
    <w:p w:rsidR="00250AB9" w:rsidRDefault="00250AB9" w:rsidP="00250AB9">
      <w:pPr>
        <w:ind w:left="851" w:hanging="851"/>
      </w:pPr>
    </w:p>
    <w:p w:rsidR="00250AB9" w:rsidRDefault="00250AB9" w:rsidP="00250AB9">
      <w:pPr>
        <w:ind w:left="851" w:hanging="851"/>
      </w:pPr>
    </w:p>
    <w:p w:rsidR="00250AB9" w:rsidRDefault="00250AB9" w:rsidP="00250AB9">
      <w:pPr>
        <w:ind w:left="851" w:hanging="851"/>
      </w:pPr>
    </w:p>
    <w:p w:rsidR="00250AB9" w:rsidRDefault="00250AB9" w:rsidP="00250AB9">
      <w:pPr>
        <w:ind w:left="851" w:hanging="851"/>
      </w:pPr>
    </w:p>
    <w:p w:rsidR="00250AB9" w:rsidRDefault="00250AB9" w:rsidP="00250AB9">
      <w:pPr>
        <w:ind w:left="851" w:hanging="851"/>
      </w:pPr>
    </w:p>
    <w:p w:rsidR="00250AB9" w:rsidRDefault="00250AB9" w:rsidP="00250AB9">
      <w:pPr>
        <w:ind w:left="851" w:hanging="851"/>
      </w:pPr>
    </w:p>
    <w:p w:rsidR="00250AB9" w:rsidRDefault="00250AB9" w:rsidP="00250AB9">
      <w:pPr>
        <w:ind w:left="851" w:hanging="851"/>
      </w:pPr>
    </w:p>
    <w:p w:rsidR="00250AB9" w:rsidRDefault="00250AB9" w:rsidP="00250AB9">
      <w:pPr>
        <w:ind w:left="851" w:hanging="851"/>
      </w:pPr>
    </w:p>
    <w:p w:rsidR="00250AB9" w:rsidRDefault="00250AB9" w:rsidP="00250AB9">
      <w:pPr>
        <w:ind w:left="851" w:hanging="851"/>
      </w:pPr>
    </w:p>
    <w:p w:rsidR="00250AB9" w:rsidRDefault="00250AB9" w:rsidP="00250AB9">
      <w:pPr>
        <w:ind w:left="851" w:hanging="851"/>
      </w:pPr>
    </w:p>
    <w:p w:rsidR="00250AB9" w:rsidRDefault="00250AB9" w:rsidP="00250AB9">
      <w:pPr>
        <w:ind w:left="851" w:hanging="851"/>
      </w:pPr>
    </w:p>
    <w:p w:rsidR="00250AB9" w:rsidRDefault="00250AB9" w:rsidP="00250AB9">
      <w:pPr>
        <w:jc w:val="center"/>
        <w:rPr>
          <w:rFonts w:ascii="Calibri" w:hAnsi="Calibri" w:cs="Calibri"/>
        </w:rPr>
      </w:pPr>
    </w:p>
    <w:p w:rsidR="00250AB9" w:rsidRDefault="00250AB9" w:rsidP="00250AB9">
      <w:pPr>
        <w:pStyle w:val="Normln1"/>
        <w:ind w:firstLine="851"/>
        <w:rPr>
          <w:sz w:val="16"/>
          <w:szCs w:val="16"/>
        </w:rPr>
      </w:pPr>
    </w:p>
    <w:p w:rsidR="00250AB9" w:rsidRDefault="00250AB9" w:rsidP="00250AB9">
      <w:pPr>
        <w:pStyle w:val="Normln1"/>
        <w:rPr>
          <w:sz w:val="16"/>
          <w:szCs w:val="16"/>
        </w:rPr>
      </w:pPr>
    </w:p>
    <w:p w:rsidR="00250AB9" w:rsidRDefault="00250AB9" w:rsidP="00250AB9">
      <w:pPr>
        <w:pStyle w:val="Normln1"/>
        <w:rPr>
          <w:sz w:val="16"/>
          <w:szCs w:val="16"/>
        </w:rPr>
      </w:pPr>
    </w:p>
    <w:tbl>
      <w:tblPr>
        <w:tblW w:w="9924" w:type="dxa"/>
        <w:tblInd w:w="1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2694"/>
        <w:gridCol w:w="1275"/>
        <w:gridCol w:w="2268"/>
        <w:gridCol w:w="993"/>
      </w:tblGrid>
      <w:tr w:rsidR="00250AB9" w:rsidTr="00250AB9">
        <w:trPr>
          <w:trHeight w:val="582"/>
        </w:trPr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250AB9" w:rsidRDefault="00250AB9">
            <w:pPr>
              <w:pStyle w:val="WW-Prosttext"/>
              <w:spacing w:before="0" w:after="0"/>
              <w:ind w:left="143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Vypracoval:</w:t>
            </w:r>
          </w:p>
        </w:tc>
        <w:tc>
          <w:tcPr>
            <w:tcW w:w="269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FBFBF"/>
            <w:vAlign w:val="center"/>
            <w:hideMark/>
          </w:tcPr>
          <w:p w:rsidR="00250AB9" w:rsidRDefault="00250AB9">
            <w:pPr>
              <w:pStyle w:val="WW-Prosttext"/>
              <w:spacing w:before="0" w:after="0"/>
              <w:ind w:left="157"/>
              <w:jc w:val="left"/>
              <w:rPr>
                <w:rStyle w:val="Standardnpsmoodstavce1"/>
                <w:lang w:eastAsia="ar-SA" w:bidi="ar-SA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HIP:</w:t>
            </w:r>
          </w:p>
        </w:tc>
        <w:tc>
          <w:tcPr>
            <w:tcW w:w="127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250AB9" w:rsidRDefault="00250AB9">
            <w:pPr>
              <w:pStyle w:val="Normln1"/>
              <w:rPr>
                <w:rFonts w:ascii="Renfrew" w:hAnsi="Renfrew"/>
                <w:szCs w:val="22"/>
              </w:rPr>
            </w:pPr>
            <w:r>
              <w:rPr>
                <w:rStyle w:val="Standardnpsmoodstavce1"/>
                <w:rFonts w:ascii="Calibri" w:hAnsi="Calibri" w:cs="Calibri"/>
                <w:lang w:eastAsia="ar-SA" w:bidi="ar-SA"/>
              </w:rPr>
              <w:t xml:space="preserve">  </w:t>
            </w:r>
            <w:r>
              <w:rPr>
                <w:rFonts w:ascii="Calibri" w:hAnsi="Calibri" w:cs="Calibri"/>
                <w:noProof/>
                <w:lang w:bidi="ar-SA"/>
              </w:rPr>
              <w:drawing>
                <wp:inline distT="0" distB="0" distL="0" distR="0">
                  <wp:extent cx="655320" cy="61722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17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Merge w:val="restart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250AB9" w:rsidRDefault="00250AB9">
            <w:pPr>
              <w:pStyle w:val="WW-Prosttext"/>
              <w:spacing w:before="0" w:after="0"/>
              <w:jc w:val="left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Renfrew" w:hAnsi="Renfrew" w:cs="Calibri"/>
                <w:szCs w:val="22"/>
              </w:rPr>
              <w:t>JOBI ENERGO, s.r.o.</w:t>
            </w:r>
          </w:p>
          <w:p w:rsidR="00250AB9" w:rsidRDefault="00250AB9">
            <w:pPr>
              <w:pStyle w:val="Normln1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Modřanská 100</w:t>
            </w:r>
          </w:p>
          <w:p w:rsidR="00250AB9" w:rsidRDefault="00250AB9">
            <w:pPr>
              <w:pStyle w:val="Normln1"/>
              <w:rPr>
                <w:rStyle w:val="Standardnpsmoodstavce1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147 00, Praha 4</w:t>
            </w:r>
          </w:p>
          <w:p w:rsidR="00250AB9" w:rsidRDefault="00250AB9">
            <w:pPr>
              <w:pStyle w:val="Normln1"/>
              <w:rPr>
                <w:rFonts w:ascii="Renfrew" w:hAnsi="Renfrew"/>
              </w:rPr>
            </w:pPr>
            <w:r>
              <w:rPr>
                <w:rStyle w:val="Standardnpsmoodstavce1"/>
                <w:rFonts w:ascii="Calibri" w:hAnsi="Calibri" w:cs="Calibri"/>
                <w:b/>
                <w:sz w:val="22"/>
                <w:szCs w:val="22"/>
              </w:rPr>
              <w:t>www.jobi</w:t>
            </w:r>
            <w:r>
              <w:rPr>
                <w:rStyle w:val="Standardnpsmoodstavce1"/>
                <w:rFonts w:ascii="Calibri" w:hAnsi="Calibri" w:cs="Calibri"/>
                <w:b/>
              </w:rPr>
              <w:t>.cz</w:t>
            </w:r>
          </w:p>
        </w:tc>
        <w:tc>
          <w:tcPr>
            <w:tcW w:w="993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:rsidR="00250AB9" w:rsidRDefault="00250AB9">
            <w:pPr>
              <w:pStyle w:val="WW-Prosttext"/>
              <w:spacing w:before="0" w:after="0"/>
              <w:jc w:val="left"/>
              <w:rPr>
                <w:rFonts w:ascii="Renfrew" w:hAnsi="Renfrew" w:cs="Calibri"/>
                <w:szCs w:val="22"/>
              </w:rPr>
            </w:pPr>
          </w:p>
        </w:tc>
      </w:tr>
      <w:tr w:rsidR="00250AB9" w:rsidTr="00250AB9">
        <w:trPr>
          <w:trHeight w:val="714"/>
        </w:trPr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250AB9" w:rsidRDefault="00250AB9">
            <w:pPr>
              <w:pStyle w:val="WW-Prosttext"/>
              <w:ind w:left="157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Adamík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250AB9" w:rsidRDefault="00250AB9">
            <w:pPr>
              <w:pStyle w:val="WW-Prosttext"/>
              <w:ind w:left="157"/>
              <w:jc w:val="left"/>
            </w:pPr>
            <w:r>
              <w:rPr>
                <w:rFonts w:ascii="Calibri" w:hAnsi="Calibri" w:cs="Calibri"/>
                <w:sz w:val="24"/>
                <w:szCs w:val="24"/>
              </w:rPr>
              <w:t>Adamík</w:t>
            </w:r>
          </w:p>
        </w:tc>
        <w:tc>
          <w:tcPr>
            <w:tcW w:w="127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250AB9" w:rsidRDefault="00250AB9">
            <w:pPr>
              <w:rPr>
                <w:rFonts w:ascii="Renfrew" w:eastAsia="Lucida Sans Unicode" w:hAnsi="Renfrew" w:cs="Tahoma"/>
                <w:kern w:val="2"/>
                <w:sz w:val="24"/>
                <w:szCs w:val="22"/>
                <w:lang w:bidi="cs-CZ"/>
              </w:rPr>
            </w:pPr>
          </w:p>
        </w:tc>
        <w:tc>
          <w:tcPr>
            <w:tcW w:w="2268" w:type="dxa"/>
            <w:vMerge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250AB9" w:rsidRDefault="00250AB9">
            <w:pPr>
              <w:rPr>
                <w:rFonts w:ascii="Renfrew" w:eastAsia="Lucida Sans Unicode" w:hAnsi="Renfrew" w:cs="Tahoma"/>
                <w:kern w:val="2"/>
                <w:sz w:val="24"/>
                <w:szCs w:val="24"/>
                <w:lang w:bidi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250AB9" w:rsidRDefault="00250AB9">
            <w:pPr>
              <w:pStyle w:val="Normln1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50AB9" w:rsidTr="00250AB9">
        <w:trPr>
          <w:trHeight w:val="342"/>
        </w:trPr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250AB9" w:rsidRDefault="00250AB9">
            <w:pPr>
              <w:pStyle w:val="WW-Prosttext"/>
              <w:spacing w:before="0" w:after="0"/>
              <w:ind w:left="143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Místo:</w:t>
            </w:r>
          </w:p>
        </w:tc>
        <w:tc>
          <w:tcPr>
            <w:tcW w:w="6237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50AB9" w:rsidRDefault="00250AB9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Za Radnicí 828, 252 41 Dolní Břežany</w:t>
            </w:r>
          </w:p>
        </w:tc>
        <w:tc>
          <w:tcPr>
            <w:tcW w:w="993" w:type="dxa"/>
            <w:tcBorders>
              <w:top w:val="single" w:sz="18" w:space="0" w:color="000000"/>
              <w:left w:val="nil"/>
              <w:bottom w:val="single" w:sz="8" w:space="0" w:color="000000"/>
              <w:right w:val="single" w:sz="18" w:space="0" w:color="000000"/>
            </w:tcBorders>
          </w:tcPr>
          <w:p w:rsidR="00250AB9" w:rsidRDefault="00250AB9">
            <w:pPr>
              <w:ind w:left="157" w:right="-1" w:firstLine="12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50AB9" w:rsidTr="00250AB9">
        <w:trPr>
          <w:trHeight w:val="342"/>
        </w:trPr>
        <w:tc>
          <w:tcPr>
            <w:tcW w:w="269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250AB9" w:rsidRDefault="00250AB9">
            <w:pPr>
              <w:pStyle w:val="WW-Prosttext"/>
              <w:spacing w:before="0" w:after="0"/>
              <w:ind w:left="143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Investor:</w:t>
            </w:r>
          </w:p>
        </w:tc>
        <w:tc>
          <w:tcPr>
            <w:tcW w:w="62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250AB9" w:rsidRDefault="00250AB9">
            <w:pPr>
              <w:ind w:left="157" w:right="-1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Fyzikální ústav AV ČR, </w:t>
            </w:r>
            <w:proofErr w:type="spellStart"/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v.v.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250AB9" w:rsidRDefault="00250AB9">
            <w:pPr>
              <w:ind w:left="157" w:right="-1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250AB9" w:rsidRDefault="00250AB9" w:rsidP="00250AB9">
      <w:pPr>
        <w:rPr>
          <w:rFonts w:ascii="Calibri" w:hAnsi="Calibri" w:cs="Calibri"/>
          <w:sz w:val="12"/>
          <w:szCs w:val="12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2268"/>
        <w:gridCol w:w="1560"/>
      </w:tblGrid>
      <w:tr w:rsidR="00250AB9" w:rsidTr="00250AB9">
        <w:trPr>
          <w:trHeight w:val="484"/>
        </w:trPr>
        <w:tc>
          <w:tcPr>
            <w:tcW w:w="609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250AB9" w:rsidRDefault="00250AB9">
            <w:pPr>
              <w:pStyle w:val="WW-Prosttext"/>
              <w:spacing w:before="0" w:after="0"/>
              <w:ind w:left="132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Akce: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250AB9" w:rsidRDefault="00250AB9">
            <w:pPr>
              <w:pStyle w:val="WW-Prosttext"/>
              <w:spacing w:before="0" w:after="0"/>
              <w:ind w:left="142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Stupeň: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:rsidR="00250AB9" w:rsidRDefault="00250AB9">
            <w:pPr>
              <w:pStyle w:val="WW-Prosttext"/>
              <w:spacing w:before="0" w:after="0"/>
              <w:ind w:left="12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TP</w:t>
            </w:r>
          </w:p>
        </w:tc>
      </w:tr>
      <w:tr w:rsidR="00250AB9" w:rsidTr="00250AB9">
        <w:trPr>
          <w:trHeight w:val="484"/>
        </w:trPr>
        <w:tc>
          <w:tcPr>
            <w:tcW w:w="6095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  <w:vAlign w:val="center"/>
          </w:tcPr>
          <w:p w:rsidR="00250AB9" w:rsidRDefault="00250AB9">
            <w:pPr>
              <w:pStyle w:val="WW-Prosttext"/>
              <w:spacing w:before="0" w:after="0"/>
              <w:ind w:left="132"/>
              <w:jc w:val="left"/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250AB9" w:rsidRDefault="00250AB9">
            <w:pPr>
              <w:pStyle w:val="WW-Prosttext"/>
              <w:spacing w:before="0" w:after="0"/>
              <w:ind w:left="142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Zakázkové č.: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:rsidR="00250AB9" w:rsidRDefault="00250AB9">
            <w:pPr>
              <w:pStyle w:val="WW-Prosttext"/>
              <w:spacing w:before="0" w:after="0"/>
              <w:ind w:left="121"/>
              <w:jc w:val="left"/>
              <w:rPr>
                <w:rFonts w:ascii="Calibri" w:hAnsi="Calibri" w:cs="Calibri"/>
                <w:b/>
                <w:sz w:val="36"/>
                <w:szCs w:val="36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Z16012</w:t>
            </w:r>
          </w:p>
        </w:tc>
      </w:tr>
      <w:tr w:rsidR="00250AB9" w:rsidTr="00250AB9">
        <w:trPr>
          <w:trHeight w:val="484"/>
        </w:trPr>
        <w:tc>
          <w:tcPr>
            <w:tcW w:w="6095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50AB9" w:rsidRDefault="00250AB9">
            <w:pPr>
              <w:pStyle w:val="WW-Prosttext"/>
              <w:spacing w:before="0" w:after="0"/>
              <w:ind w:left="132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36"/>
                <w:szCs w:val="36"/>
              </w:rPr>
              <w:t>Technický posudek – R2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250AB9" w:rsidRDefault="00250AB9">
            <w:pPr>
              <w:pStyle w:val="WW-Prosttext"/>
              <w:spacing w:before="0" w:after="0"/>
              <w:ind w:left="142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Datum: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:rsidR="00250AB9" w:rsidRDefault="00250AB9">
            <w:pPr>
              <w:pStyle w:val="WW-Prosttext"/>
              <w:spacing w:before="0" w:after="0"/>
              <w:ind w:left="121"/>
              <w:jc w:val="left"/>
              <w:rPr>
                <w:rFonts w:ascii="Calibri" w:hAnsi="Calibri" w:cs="Calibri"/>
                <w:b/>
                <w:sz w:val="32"/>
                <w:szCs w:val="32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10.11.2016</w:t>
            </w:r>
            <w:proofErr w:type="gramEnd"/>
          </w:p>
        </w:tc>
      </w:tr>
      <w:tr w:rsidR="00250AB9" w:rsidTr="00250AB9">
        <w:trPr>
          <w:trHeight w:val="484"/>
        </w:trPr>
        <w:tc>
          <w:tcPr>
            <w:tcW w:w="6095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250AB9" w:rsidRDefault="00250AB9">
            <w:pPr>
              <w:pStyle w:val="WW-Prosttext"/>
              <w:spacing w:before="0" w:after="0"/>
              <w:ind w:left="132"/>
              <w:jc w:val="left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250AB9" w:rsidRDefault="00250AB9">
            <w:pPr>
              <w:pStyle w:val="WW-Prosttext"/>
              <w:spacing w:before="0" w:after="0"/>
              <w:ind w:left="142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Počet stran: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50AB9" w:rsidRDefault="00250AB9">
            <w:pPr>
              <w:pStyle w:val="WW-Prosttext"/>
              <w:spacing w:before="0" w:after="0"/>
              <w:ind w:left="121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250AB9" w:rsidRDefault="00250AB9" w:rsidP="00250AB9">
      <w:pPr>
        <w:jc w:val="center"/>
        <w:rPr>
          <w:rFonts w:ascii="Calibri" w:hAnsi="Calibri" w:cs="Calibri"/>
          <w:sz w:val="12"/>
          <w:szCs w:val="12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3828"/>
      </w:tblGrid>
      <w:tr w:rsidR="00250AB9" w:rsidTr="00250AB9">
        <w:trPr>
          <w:trHeight w:val="488"/>
        </w:trPr>
        <w:tc>
          <w:tcPr>
            <w:tcW w:w="609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250AB9" w:rsidRDefault="00250AB9">
            <w:pPr>
              <w:pStyle w:val="WW-Prosttext"/>
              <w:spacing w:before="0" w:after="0"/>
              <w:ind w:left="132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Název:</w:t>
            </w:r>
          </w:p>
        </w:tc>
        <w:tc>
          <w:tcPr>
            <w:tcW w:w="382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FBFBF"/>
            <w:vAlign w:val="center"/>
            <w:hideMark/>
          </w:tcPr>
          <w:p w:rsidR="00250AB9" w:rsidRDefault="00250AB9">
            <w:pPr>
              <w:pStyle w:val="WW-Prosttext"/>
              <w:spacing w:before="0" w:after="0"/>
              <w:ind w:left="142"/>
              <w:jc w:val="lef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Číslo </w:t>
            </w:r>
            <w:proofErr w:type="gramStart"/>
            <w:r>
              <w:rPr>
                <w:rFonts w:ascii="Calibri" w:hAnsi="Calibri" w:cs="Calibri"/>
                <w:b/>
                <w:sz w:val="24"/>
                <w:szCs w:val="24"/>
              </w:rPr>
              <w:t>dok./revize</w:t>
            </w:r>
            <w:proofErr w:type="gramEnd"/>
            <w:r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</w:tc>
      </w:tr>
      <w:tr w:rsidR="00250AB9" w:rsidTr="00250AB9">
        <w:trPr>
          <w:trHeight w:val="738"/>
        </w:trPr>
        <w:tc>
          <w:tcPr>
            <w:tcW w:w="6095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250AB9" w:rsidRDefault="00250AB9">
            <w:pPr>
              <w:pStyle w:val="WW-Prosttext"/>
              <w:spacing w:before="0" w:after="0"/>
              <w:ind w:left="132"/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lastRenderedPageBreak/>
              <w:t>Posouzení technického stavu chladicí smyčky laserů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250AB9" w:rsidRDefault="00250AB9">
            <w:pPr>
              <w:pStyle w:val="WW-Prosttext"/>
              <w:spacing w:before="0" w:after="0"/>
              <w:ind w:left="142"/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Revize R2</w:t>
            </w:r>
          </w:p>
        </w:tc>
      </w:tr>
    </w:tbl>
    <w:p w:rsidR="00250AB9" w:rsidRDefault="00250AB9" w:rsidP="00250AB9">
      <w:pPr>
        <w:pStyle w:val="Nadpis5"/>
        <w:rPr>
          <w:rFonts w:ascii="Times New Roman" w:hAnsi="Times New Roman"/>
        </w:rPr>
      </w:pPr>
      <w:r>
        <w:rPr>
          <w:rFonts w:ascii="Times New Roman" w:hAnsi="Times New Roman"/>
        </w:rPr>
        <w:t>Obsah:</w:t>
      </w:r>
      <w:r>
        <w:rPr>
          <w:rFonts w:ascii="Times New Roman" w:hAnsi="Times New Roman"/>
        </w:rPr>
        <w:tab/>
        <w:t>1.0</w:t>
      </w:r>
      <w:r>
        <w:rPr>
          <w:rFonts w:ascii="Times New Roman" w:hAnsi="Times New Roman"/>
        </w:rPr>
        <w:tab/>
        <w:t>Úvod</w:t>
      </w:r>
    </w:p>
    <w:p w:rsidR="00250AB9" w:rsidRDefault="00250AB9" w:rsidP="00250AB9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Základní údaje o systému</w:t>
      </w:r>
    </w:p>
    <w:p w:rsidR="00250AB9" w:rsidRDefault="00250AB9" w:rsidP="00250AB9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Stávající technické řešení</w:t>
      </w:r>
    </w:p>
    <w:p w:rsidR="00250AB9" w:rsidRDefault="00250AB9" w:rsidP="00250AB9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 xml:space="preserve">Posouzení stavu </w:t>
      </w:r>
    </w:p>
    <w:p w:rsidR="00250AB9" w:rsidRDefault="00250AB9" w:rsidP="00250AB9">
      <w:pPr>
        <w:ind w:left="2130"/>
        <w:jc w:val="both"/>
        <w:rPr>
          <w:sz w:val="24"/>
        </w:rPr>
      </w:pPr>
    </w:p>
    <w:p w:rsidR="00250AB9" w:rsidRDefault="00250AB9" w:rsidP="00250AB9">
      <w:pPr>
        <w:numPr>
          <w:ilvl w:val="1"/>
          <w:numId w:val="2"/>
        </w:numPr>
        <w:tabs>
          <w:tab w:val="num" w:pos="1985"/>
        </w:tabs>
        <w:ind w:hanging="1078"/>
        <w:jc w:val="both"/>
        <w:rPr>
          <w:b/>
          <w:sz w:val="24"/>
        </w:rPr>
      </w:pPr>
      <w:r>
        <w:rPr>
          <w:b/>
          <w:sz w:val="24"/>
        </w:rPr>
        <w:t xml:space="preserve">  Návrh realizace opatření</w:t>
      </w:r>
    </w:p>
    <w:p w:rsidR="00250AB9" w:rsidRDefault="00250AB9" w:rsidP="00250AB9">
      <w:pPr>
        <w:numPr>
          <w:ilvl w:val="1"/>
          <w:numId w:val="2"/>
        </w:numPr>
        <w:jc w:val="both"/>
        <w:rPr>
          <w:sz w:val="24"/>
        </w:rPr>
      </w:pPr>
      <w:r>
        <w:rPr>
          <w:sz w:val="24"/>
        </w:rPr>
        <w:t xml:space="preserve">     Stanovení variant řešení</w:t>
      </w:r>
    </w:p>
    <w:p w:rsidR="00250AB9" w:rsidRDefault="00250AB9" w:rsidP="00250AB9">
      <w:pPr>
        <w:ind w:left="36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250AB9" w:rsidRDefault="00250AB9" w:rsidP="00250AB9">
      <w:pPr>
        <w:ind w:left="360"/>
        <w:jc w:val="both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b/>
          <w:sz w:val="24"/>
        </w:rPr>
        <w:t>3.0       Závěr</w:t>
      </w:r>
      <w:proofErr w:type="gramEnd"/>
    </w:p>
    <w:p w:rsidR="00250AB9" w:rsidRDefault="00250AB9" w:rsidP="00250AB9">
      <w:pPr>
        <w:ind w:left="360"/>
        <w:jc w:val="both"/>
        <w:rPr>
          <w:b/>
          <w:sz w:val="24"/>
        </w:rPr>
      </w:pPr>
    </w:p>
    <w:p w:rsidR="00250AB9" w:rsidRDefault="00250AB9" w:rsidP="00250AB9">
      <w:pPr>
        <w:pStyle w:val="Nadpis5"/>
        <w:numPr>
          <w:ilvl w:val="0"/>
          <w:numId w:val="3"/>
        </w:numPr>
        <w:tabs>
          <w:tab w:val="num" w:pos="567"/>
        </w:tabs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Úvod</w:t>
      </w:r>
    </w:p>
    <w:p w:rsidR="00250AB9" w:rsidRDefault="00250AB9" w:rsidP="00250AB9"/>
    <w:p w:rsidR="00250AB9" w:rsidRDefault="00250AB9" w:rsidP="00250AB9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Posudek stávajícího stavu systému chlazení laserů je zpracován na základě místního šetření v objektu </w:t>
      </w:r>
      <w:proofErr w:type="spellStart"/>
      <w:r>
        <w:rPr>
          <w:rFonts w:ascii="Times New Roman" w:hAnsi="Times New Roman"/>
        </w:rPr>
        <w:t>HiLASE</w:t>
      </w:r>
      <w:proofErr w:type="spellEnd"/>
      <w:r>
        <w:rPr>
          <w:rFonts w:ascii="Times New Roman" w:hAnsi="Times New Roman"/>
        </w:rPr>
        <w:t xml:space="preserve"> ve spolupráci se společností NUVIA, a.s. </w:t>
      </w:r>
    </w:p>
    <w:p w:rsidR="00250AB9" w:rsidRDefault="00250AB9" w:rsidP="00250AB9">
      <w:pPr>
        <w:pStyle w:val="Zkladntext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Studie má za úkol vyhodnotit stávající stav realizace ve vztahu k požadovaným projektovým parametrům </w:t>
      </w:r>
      <w:proofErr w:type="gramStart"/>
      <w:r>
        <w:rPr>
          <w:rFonts w:ascii="Times New Roman" w:hAnsi="Times New Roman"/>
        </w:rPr>
        <w:t>chladících</w:t>
      </w:r>
      <w:proofErr w:type="gramEnd"/>
      <w:r>
        <w:rPr>
          <w:rFonts w:ascii="Times New Roman" w:hAnsi="Times New Roman"/>
        </w:rPr>
        <w:t xml:space="preserve"> systémů okruhů chlazení jednotlivých laserů a provozním požadavkům obsluhy.</w:t>
      </w:r>
    </w:p>
    <w:p w:rsidR="00250AB9" w:rsidRDefault="00250AB9" w:rsidP="00250AB9">
      <w:pPr>
        <w:pStyle w:val="Zkladntext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Úkolem posudku je nalézt neshody v řešení skutečného provedení a navrhnout jejich odstranění v souvislosti s požadavky provozovatele.</w:t>
      </w:r>
    </w:p>
    <w:p w:rsidR="00250AB9" w:rsidRDefault="00250AB9" w:rsidP="00250AB9">
      <w:pPr>
        <w:pStyle w:val="Zkladntext"/>
        <w:ind w:firstLine="708"/>
        <w:rPr>
          <w:rFonts w:ascii="Times New Roman" w:hAnsi="Times New Roman"/>
          <w:b/>
          <w:i/>
          <w:u w:val="single"/>
        </w:rPr>
      </w:pPr>
    </w:p>
    <w:p w:rsidR="00250AB9" w:rsidRDefault="00250AB9" w:rsidP="00250AB9">
      <w:pPr>
        <w:pStyle w:val="Zkladntext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 xml:space="preserve">Základní rozsah posudku  </w:t>
      </w:r>
    </w:p>
    <w:p w:rsidR="00250AB9" w:rsidRDefault="00250AB9" w:rsidP="00250AB9">
      <w:pPr>
        <w:pStyle w:val="Zkladntext"/>
        <w:numPr>
          <w:ilvl w:val="0"/>
          <w:numId w:val="4"/>
        </w:numPr>
        <w:tabs>
          <w:tab w:val="num" w:pos="709"/>
        </w:tabs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Stanovení odchylek a neshod realizace   </w:t>
      </w:r>
    </w:p>
    <w:p w:rsidR="00250AB9" w:rsidRDefault="00250AB9" w:rsidP="00250AB9">
      <w:pPr>
        <w:pStyle w:val="Zkladntext"/>
        <w:numPr>
          <w:ilvl w:val="0"/>
          <w:numId w:val="4"/>
        </w:numPr>
        <w:tabs>
          <w:tab w:val="num" w:pos="709"/>
        </w:tabs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>Navržení a výběr vhodného řešení pro odstranění nedostatků</w:t>
      </w:r>
    </w:p>
    <w:p w:rsidR="00250AB9" w:rsidRDefault="00250AB9" w:rsidP="00250AB9">
      <w:pPr>
        <w:pStyle w:val="Zkladntext"/>
        <w:numPr>
          <w:ilvl w:val="0"/>
          <w:numId w:val="4"/>
        </w:numPr>
        <w:tabs>
          <w:tab w:val="num" w:pos="709"/>
        </w:tabs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>Doporučení pro další postup pro realizaci opatření</w:t>
      </w:r>
    </w:p>
    <w:p w:rsidR="00250AB9" w:rsidRDefault="00250AB9" w:rsidP="00250AB9">
      <w:pPr>
        <w:rPr>
          <w:b/>
          <w:i/>
          <w:sz w:val="24"/>
          <w:u w:val="single"/>
        </w:rPr>
      </w:pPr>
    </w:p>
    <w:p w:rsidR="00250AB9" w:rsidRDefault="00250AB9" w:rsidP="00250AB9">
      <w:pPr>
        <w:rPr>
          <w:sz w:val="24"/>
        </w:rPr>
      </w:pPr>
      <w:r>
        <w:rPr>
          <w:b/>
          <w:i/>
          <w:sz w:val="24"/>
          <w:u w:val="single"/>
        </w:rPr>
        <w:t>Výchozí podklady pro zpracování studie</w:t>
      </w:r>
      <w:r>
        <w:rPr>
          <w:sz w:val="24"/>
        </w:rPr>
        <w:t>:</w:t>
      </w:r>
    </w:p>
    <w:p w:rsidR="00250AB9" w:rsidRDefault="00250AB9" w:rsidP="00250AB9">
      <w:pPr>
        <w:numPr>
          <w:ilvl w:val="0"/>
          <w:numId w:val="5"/>
        </w:numPr>
        <w:rPr>
          <w:sz w:val="24"/>
        </w:rPr>
      </w:pPr>
      <w:proofErr w:type="spellStart"/>
      <w:r>
        <w:rPr>
          <w:sz w:val="24"/>
        </w:rPr>
        <w:t>Schema</w:t>
      </w:r>
      <w:proofErr w:type="spellEnd"/>
      <w:r>
        <w:rPr>
          <w:sz w:val="24"/>
        </w:rPr>
        <w:t xml:space="preserve"> zapojení rozvodů Chladu a tepla v objektu </w:t>
      </w:r>
      <w:proofErr w:type="spellStart"/>
      <w:r>
        <w:rPr>
          <w:sz w:val="24"/>
        </w:rPr>
        <w:t>HiLASE</w:t>
      </w:r>
      <w:proofErr w:type="spellEnd"/>
    </w:p>
    <w:p w:rsidR="00250AB9" w:rsidRDefault="00250AB9" w:rsidP="00250AB9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Detailní </w:t>
      </w:r>
      <w:proofErr w:type="spellStart"/>
      <w:r>
        <w:rPr>
          <w:sz w:val="24"/>
        </w:rPr>
        <w:t>schema</w:t>
      </w:r>
      <w:proofErr w:type="spellEnd"/>
      <w:r>
        <w:rPr>
          <w:sz w:val="24"/>
        </w:rPr>
        <w:t xml:space="preserve"> zapojení </w:t>
      </w:r>
      <w:proofErr w:type="spellStart"/>
      <w:r>
        <w:rPr>
          <w:sz w:val="24"/>
        </w:rPr>
        <w:t>revezní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osmozy</w:t>
      </w:r>
      <w:proofErr w:type="spellEnd"/>
      <w:r>
        <w:rPr>
          <w:sz w:val="24"/>
        </w:rPr>
        <w:t xml:space="preserve"> do systému úpravy vod </w:t>
      </w:r>
    </w:p>
    <w:p w:rsidR="00250AB9" w:rsidRDefault="00250AB9" w:rsidP="00250AB9">
      <w:pPr>
        <w:numPr>
          <w:ilvl w:val="0"/>
          <w:numId w:val="5"/>
        </w:numPr>
        <w:rPr>
          <w:sz w:val="24"/>
        </w:rPr>
      </w:pPr>
      <w:r>
        <w:rPr>
          <w:sz w:val="24"/>
        </w:rPr>
        <w:t>Technická zpráva Chlazení</w:t>
      </w:r>
    </w:p>
    <w:p w:rsidR="00250AB9" w:rsidRDefault="00250AB9" w:rsidP="00250AB9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Poznatky z místního šetření </w:t>
      </w:r>
    </w:p>
    <w:p w:rsidR="00250AB9" w:rsidRDefault="00250AB9" w:rsidP="00250AB9">
      <w:pPr>
        <w:numPr>
          <w:ilvl w:val="0"/>
          <w:numId w:val="5"/>
        </w:numPr>
        <w:rPr>
          <w:sz w:val="24"/>
        </w:rPr>
      </w:pPr>
      <w:r>
        <w:rPr>
          <w:sz w:val="24"/>
        </w:rPr>
        <w:t>Technická konzultace s pracovníky provozu</w:t>
      </w:r>
    </w:p>
    <w:p w:rsidR="00250AB9" w:rsidRDefault="00250AB9" w:rsidP="00250AB9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Fotodokumentace kvality média a vnitřních povrchů tras chlazení pro lasery </w:t>
      </w:r>
    </w:p>
    <w:p w:rsidR="00250AB9" w:rsidRDefault="00250AB9" w:rsidP="00250AB9">
      <w:pPr>
        <w:rPr>
          <w:sz w:val="24"/>
        </w:rPr>
      </w:pPr>
    </w:p>
    <w:p w:rsidR="00250AB9" w:rsidRDefault="00250AB9" w:rsidP="00250AB9">
      <w:pPr>
        <w:numPr>
          <w:ilvl w:val="1"/>
          <w:numId w:val="3"/>
        </w:numPr>
        <w:tabs>
          <w:tab w:val="num" w:pos="0"/>
          <w:tab w:val="left" w:pos="426"/>
        </w:tabs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  Základní údaje o systému</w:t>
      </w:r>
    </w:p>
    <w:p w:rsidR="00250AB9" w:rsidRDefault="00250AB9" w:rsidP="00250AB9">
      <w:pPr>
        <w:pStyle w:val="Nadpis6"/>
        <w:ind w:left="0" w:firstLine="567"/>
        <w:rPr>
          <w:b w:val="0"/>
        </w:rPr>
      </w:pPr>
      <w:r>
        <w:rPr>
          <w:b w:val="0"/>
        </w:rPr>
        <w:t xml:space="preserve">Strojní část systému zajištění chladící DEMI vody pro lasery je tvořena řadou technologických zařízení, která pracují ve společném uzavřeném systému. Součástí technologie chladícího okruhu je úpravna vody na bázi reverzní </w:t>
      </w:r>
      <w:proofErr w:type="spellStart"/>
      <w:r>
        <w:rPr>
          <w:b w:val="0"/>
        </w:rPr>
        <w:t>osmozy</w:t>
      </w:r>
      <w:proofErr w:type="spellEnd"/>
      <w:r>
        <w:rPr>
          <w:b w:val="0"/>
        </w:rPr>
        <w:t xml:space="preserve">, která je dále doplněna dávkováním inhibitoru koroze, </w:t>
      </w:r>
      <w:proofErr w:type="spellStart"/>
      <w:r>
        <w:rPr>
          <w:b w:val="0"/>
        </w:rPr>
        <w:t>antiskalantu</w:t>
      </w:r>
      <w:proofErr w:type="spellEnd"/>
      <w:r>
        <w:rPr>
          <w:b w:val="0"/>
        </w:rPr>
        <w:t xml:space="preserve"> a biocidu. Zdrojová voda pro výrobu DEMI je změkčená pitná voda. Sytém chlazení sestává z beztlaké zásobní nádrže, chladiče, čerpadel a potrubních tras. </w:t>
      </w:r>
    </w:p>
    <w:p w:rsidR="00250AB9" w:rsidRDefault="00250AB9" w:rsidP="00250AB9">
      <w:pPr>
        <w:jc w:val="both"/>
        <w:rPr>
          <w:sz w:val="24"/>
          <w:szCs w:val="24"/>
        </w:rPr>
      </w:pPr>
    </w:p>
    <w:p w:rsidR="00250AB9" w:rsidRDefault="00250AB9" w:rsidP="00250AB9">
      <w:pPr>
        <w:numPr>
          <w:ilvl w:val="1"/>
          <w:numId w:val="3"/>
        </w:numPr>
        <w:tabs>
          <w:tab w:val="num" w:pos="0"/>
          <w:tab w:val="left" w:pos="426"/>
        </w:tabs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  Stávající technické řešení</w:t>
      </w:r>
    </w:p>
    <w:p w:rsidR="00250AB9" w:rsidRDefault="00250AB9" w:rsidP="00250AB9">
      <w:pPr>
        <w:pStyle w:val="Nadpis6"/>
        <w:ind w:left="0" w:firstLine="567"/>
        <w:rPr>
          <w:b w:val="0"/>
          <w:szCs w:val="24"/>
        </w:rPr>
      </w:pPr>
      <w:r>
        <w:rPr>
          <w:b w:val="0"/>
        </w:rPr>
        <w:t xml:space="preserve">Hlavní rozvody jsou z běžné konstrukční oceli tř. 11.  Navazující trasy k jednotlivým spotřebičům – laserům jsou provedeny z technické pryže, odvodní beztlaká potrubí jsou navržena z PVC. </w:t>
      </w:r>
      <w:r>
        <w:rPr>
          <w:b w:val="0"/>
          <w:szCs w:val="24"/>
        </w:rPr>
        <w:t xml:space="preserve">Čerpadla a výměník chladu jsou nerezové. Potrubí je opatřeno měřením, uzavíracími a regulačními armaturami pro zajištění požadované funkce </w:t>
      </w:r>
    </w:p>
    <w:p w:rsidR="00250AB9" w:rsidRDefault="00250AB9" w:rsidP="00250AB9"/>
    <w:p w:rsidR="00250AB9" w:rsidRDefault="00250AB9" w:rsidP="00250AB9">
      <w:pPr>
        <w:rPr>
          <w:sz w:val="24"/>
          <w:szCs w:val="24"/>
        </w:rPr>
      </w:pPr>
      <w:r>
        <w:rPr>
          <w:sz w:val="24"/>
          <w:szCs w:val="24"/>
        </w:rPr>
        <w:t xml:space="preserve">Veškerá zařízení pracující s chlazenou vodou včetně tras jsou izolována proti rosení speciální lepenou izolací s uzavřenou buňkou.                                                                 </w:t>
      </w:r>
    </w:p>
    <w:p w:rsidR="00250AB9" w:rsidRDefault="00250AB9" w:rsidP="00250AB9">
      <w:pPr>
        <w:pStyle w:val="Nadpis6"/>
        <w:ind w:left="0" w:firstLine="567"/>
        <w:jc w:val="left"/>
        <w:rPr>
          <w:b w:val="0"/>
          <w:szCs w:val="24"/>
        </w:rPr>
      </w:pPr>
      <w:r>
        <w:rPr>
          <w:b w:val="0"/>
          <w:szCs w:val="24"/>
        </w:rPr>
        <w:lastRenderedPageBreak/>
        <w:t>Hlavní cirkulační čerpadla mají výkon 2*20m3/hod při výtlaku 120kPa. Rozvody jsou převážně provedeny v dimenzi DN100, koncové přípoje k laserům jsou ve světlosti DN65 a DN40. Beztlaká nádrž je tvořena opláštěnou betonovou jímkou o užitečném objemu 3,0m3.</w:t>
      </w:r>
    </w:p>
    <w:p w:rsidR="00250AB9" w:rsidRDefault="00250AB9" w:rsidP="00250AB9">
      <w:pPr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Upravenou DEMI-vodu do systému doplňuje reverzní osmóza o výkonu 220 l/hod s dávkováním chemikálií pro </w:t>
      </w:r>
      <w:proofErr w:type="spellStart"/>
      <w:r>
        <w:rPr>
          <w:sz w:val="24"/>
          <w:szCs w:val="24"/>
        </w:rPr>
        <w:t>doúpravu</w:t>
      </w:r>
      <w:proofErr w:type="spellEnd"/>
      <w:r>
        <w:rPr>
          <w:sz w:val="24"/>
          <w:szCs w:val="24"/>
        </w:rPr>
        <w:t xml:space="preserve"> a tlakovou stanicí pro zvyšování tlaku za RO. </w:t>
      </w:r>
    </w:p>
    <w:p w:rsidR="00250AB9" w:rsidRDefault="00250AB9" w:rsidP="00250AB9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Revezní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osmoza</w:t>
      </w:r>
      <w:proofErr w:type="spellEnd"/>
      <w:r>
        <w:rPr>
          <w:sz w:val="24"/>
          <w:szCs w:val="24"/>
        </w:rPr>
        <w:t xml:space="preserve"> je zapojena v systému chlazení tak, že přes ni nelze cirkulovat a přečišťovat médium okruhu laserů. Stanice je schopna doplňovat pouze nové médium. </w:t>
      </w:r>
    </w:p>
    <w:p w:rsidR="00250AB9" w:rsidRDefault="00250AB9" w:rsidP="00250AB9">
      <w:pPr>
        <w:pStyle w:val="Nadpis6"/>
        <w:ind w:left="0" w:firstLine="567"/>
        <w:jc w:val="left"/>
        <w:rPr>
          <w:b w:val="0"/>
          <w:szCs w:val="24"/>
        </w:rPr>
      </w:pPr>
    </w:p>
    <w:p w:rsidR="00250AB9" w:rsidRDefault="00250AB9" w:rsidP="00250AB9">
      <w:pPr>
        <w:pStyle w:val="Nadpis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567"/>
        <w:jc w:val="center"/>
        <w:rPr>
          <w:b w:val="0"/>
          <w:szCs w:val="24"/>
        </w:rPr>
      </w:pPr>
      <w:r>
        <w:rPr>
          <w:b w:val="0"/>
          <w:szCs w:val="24"/>
        </w:rPr>
        <w:t>Současný stav systému potrubí vykazuje značné poškození vnitřních povrchů potrubí korozí, chladící médium nesplňuje požadavky na kvalitu (zákal, produkty koroze) a zřejmě nebude dodržena ani chemická čistota a vodivost.</w:t>
      </w:r>
    </w:p>
    <w:p w:rsidR="00250AB9" w:rsidRDefault="00250AB9" w:rsidP="00250AB9"/>
    <w:p w:rsidR="00250AB9" w:rsidRDefault="00250AB9" w:rsidP="00250AB9">
      <w:r>
        <w:rPr>
          <w:b/>
        </w:rPr>
        <w:t>Příklady poškození vnitřního povrchu potrubí a úsady na zařízení</w:t>
      </w:r>
      <w:r>
        <w:t xml:space="preserve"> </w:t>
      </w:r>
    </w:p>
    <w:p w:rsidR="00250AB9" w:rsidRDefault="00250AB9" w:rsidP="00250AB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539115</wp:posOffset>
            </wp:positionV>
            <wp:extent cx="2362835" cy="1325880"/>
            <wp:effectExtent l="0" t="0" r="0" b="7620"/>
            <wp:wrapNone/>
            <wp:docPr id="20" name="Obrázek 20" descr="IMG_20161011_083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0161011_08383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35" cy="132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3547110</wp:posOffset>
            </wp:positionH>
            <wp:positionV relativeFrom="paragraph">
              <wp:posOffset>62230</wp:posOffset>
            </wp:positionV>
            <wp:extent cx="1145540" cy="1767840"/>
            <wp:effectExtent l="0" t="0" r="0" b="3810"/>
            <wp:wrapNone/>
            <wp:docPr id="19" name="Obrázek 19" descr="IMG_20161011_084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20161011_0847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76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0AB9" w:rsidRDefault="00250AB9" w:rsidP="00250AB9"/>
    <w:p w:rsidR="00250AB9" w:rsidRDefault="00250AB9" w:rsidP="00250AB9"/>
    <w:p w:rsidR="00250AB9" w:rsidRDefault="00250AB9" w:rsidP="00250AB9"/>
    <w:p w:rsidR="00250AB9" w:rsidRDefault="00250AB9" w:rsidP="00250AB9"/>
    <w:p w:rsidR="00250AB9" w:rsidRDefault="00250AB9" w:rsidP="00250AB9"/>
    <w:p w:rsidR="00250AB9" w:rsidRDefault="00250AB9" w:rsidP="00250AB9"/>
    <w:p w:rsidR="00250AB9" w:rsidRDefault="00250AB9" w:rsidP="00250AB9"/>
    <w:p w:rsidR="00250AB9" w:rsidRDefault="00250AB9" w:rsidP="00250AB9"/>
    <w:p w:rsidR="00250AB9" w:rsidRDefault="00250AB9" w:rsidP="00250AB9"/>
    <w:p w:rsidR="00250AB9" w:rsidRDefault="00250AB9" w:rsidP="00250AB9"/>
    <w:p w:rsidR="00250AB9" w:rsidRDefault="00250AB9" w:rsidP="00250AB9"/>
    <w:p w:rsidR="00250AB9" w:rsidRDefault="00250AB9" w:rsidP="00250AB9"/>
    <w:p w:rsidR="00250AB9" w:rsidRDefault="00250AB9" w:rsidP="00250AB9"/>
    <w:p w:rsidR="00250AB9" w:rsidRDefault="00250AB9" w:rsidP="00250AB9">
      <w:pPr>
        <w:numPr>
          <w:ilvl w:val="1"/>
          <w:numId w:val="3"/>
        </w:numPr>
        <w:tabs>
          <w:tab w:val="num" w:pos="0"/>
          <w:tab w:val="left" w:pos="426"/>
        </w:tabs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  Posouzení stavu zařízení</w:t>
      </w:r>
    </w:p>
    <w:p w:rsidR="00250AB9" w:rsidRDefault="00250AB9" w:rsidP="00250AB9">
      <w:pPr>
        <w:pStyle w:val="Nadpis6"/>
        <w:ind w:left="0" w:firstLine="567"/>
        <w:rPr>
          <w:b w:val="0"/>
          <w:szCs w:val="24"/>
        </w:rPr>
      </w:pPr>
      <w:r>
        <w:rPr>
          <w:b w:val="0"/>
          <w:szCs w:val="24"/>
        </w:rPr>
        <w:t xml:space="preserve">S ohledem na výše uvedené informace a vlastní pozorování je patrné, že se při realizaci dostaly do zásadního rozporu požadavky na kvalitu média (neodplyněná </w:t>
      </w:r>
      <w:proofErr w:type="spellStart"/>
      <w:r>
        <w:rPr>
          <w:b w:val="0"/>
          <w:szCs w:val="24"/>
        </w:rPr>
        <w:t>doupravená</w:t>
      </w:r>
      <w:proofErr w:type="spellEnd"/>
      <w:r>
        <w:rPr>
          <w:b w:val="0"/>
          <w:szCs w:val="24"/>
        </w:rPr>
        <w:t xml:space="preserve"> DEMI) a materiálové provedení hlavních tras (ocel tř. 11). Z technické praxe i ze zásad pro projektování je patrné, že byl nevhodně zvolen materiál hlavních tras DN100. Standardní ocelový konstrukční materiál </w:t>
      </w:r>
      <w:proofErr w:type="gramStart"/>
      <w:r>
        <w:rPr>
          <w:b w:val="0"/>
          <w:szCs w:val="24"/>
        </w:rPr>
        <w:t>tř.11</w:t>
      </w:r>
      <w:proofErr w:type="gramEnd"/>
      <w:r>
        <w:rPr>
          <w:b w:val="0"/>
          <w:szCs w:val="24"/>
        </w:rPr>
        <w:t xml:space="preserve"> nelze používat pro požadované chladivo, které vykazuje vysokou </w:t>
      </w:r>
      <w:proofErr w:type="spellStart"/>
      <w:r>
        <w:rPr>
          <w:b w:val="0"/>
          <w:szCs w:val="24"/>
        </w:rPr>
        <w:t>korozivnost</w:t>
      </w:r>
      <w:proofErr w:type="spellEnd"/>
      <w:r>
        <w:rPr>
          <w:b w:val="0"/>
          <w:szCs w:val="24"/>
        </w:rPr>
        <w:t xml:space="preserve"> především svým pH a vysokým obsahem vzdušných plynů (kyslík, CO2). Doplňkové dávkování inhibitoru koroze nemůže nepříznivému stavu pomoci, DEMI by musela být chemicky nebo termicky kvalitně odplyněná a muselo by se upravit pH média. </w:t>
      </w:r>
    </w:p>
    <w:p w:rsidR="00250AB9" w:rsidRDefault="00250AB9" w:rsidP="00250AB9">
      <w:pPr>
        <w:pStyle w:val="Nadpis6"/>
        <w:ind w:left="0" w:firstLine="567"/>
        <w:rPr>
          <w:b w:val="0"/>
          <w:szCs w:val="24"/>
        </w:rPr>
      </w:pPr>
      <w:r>
        <w:rPr>
          <w:b w:val="0"/>
          <w:szCs w:val="24"/>
        </w:rPr>
        <w:t>Vhodnost dávkování chemikálie proti tvrdým úsadám zatím nebylo posuzováno, podobně jako dávkování biocidu, toto by mělo být posouzeno s novým materiálovým řešením.</w:t>
      </w:r>
    </w:p>
    <w:p w:rsidR="00250AB9" w:rsidRDefault="00250AB9" w:rsidP="00250AB9">
      <w:pPr>
        <w:pStyle w:val="Nadpis6"/>
        <w:ind w:left="0" w:firstLine="567"/>
        <w:rPr>
          <w:b w:val="0"/>
          <w:szCs w:val="24"/>
        </w:rPr>
      </w:pPr>
      <w:r>
        <w:rPr>
          <w:b w:val="0"/>
          <w:szCs w:val="24"/>
        </w:rPr>
        <w:t>Odborný názor je ten, že v této kombinaci materiálů a média nelze dodržet vysoké provozní požadavky koncových spotřebičů na kvalitu média.</w:t>
      </w:r>
    </w:p>
    <w:p w:rsidR="00250AB9" w:rsidRDefault="00250AB9" w:rsidP="00250AB9"/>
    <w:p w:rsidR="00250AB9" w:rsidRDefault="00250AB9" w:rsidP="00250AB9">
      <w:pPr>
        <w:pStyle w:val="Nadpis6"/>
        <w:ind w:left="0" w:firstLine="567"/>
        <w:rPr>
          <w:i/>
          <w:szCs w:val="24"/>
          <w:u w:val="single"/>
        </w:rPr>
      </w:pPr>
      <w:r>
        <w:rPr>
          <w:i/>
          <w:szCs w:val="24"/>
          <w:u w:val="single"/>
        </w:rPr>
        <w:t>Zjištěné realizační neshody a provozní nedostatky:</w:t>
      </w:r>
    </w:p>
    <w:p w:rsidR="00250AB9" w:rsidRDefault="00250AB9" w:rsidP="00250AB9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Rozsáhlá koroze ocelových materiálů potrubí</w:t>
      </w:r>
    </w:p>
    <w:p w:rsidR="00250AB9" w:rsidRDefault="00250AB9" w:rsidP="00250AB9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Nedostatečné a nevhodné dávkování chemikálií</w:t>
      </w:r>
    </w:p>
    <w:p w:rsidR="00250AB9" w:rsidRDefault="00250AB9" w:rsidP="00250AB9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Netěsnost systému – ztráta chladícího média</w:t>
      </w:r>
    </w:p>
    <w:p w:rsidR="00250AB9" w:rsidRDefault="00250AB9" w:rsidP="00250AB9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Nedostatečná filtrace pevných částic v systému, zanášení filtrů</w:t>
      </w:r>
    </w:p>
    <w:p w:rsidR="00250AB9" w:rsidRDefault="00250AB9" w:rsidP="00250AB9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Nevyhovující teplota chladící vody </w:t>
      </w:r>
    </w:p>
    <w:p w:rsidR="00250AB9" w:rsidRDefault="00250AB9" w:rsidP="00250AB9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Nedostatečný objemový výkon čerpací techniky pro rozvoj výzkumů</w:t>
      </w:r>
    </w:p>
    <w:p w:rsidR="00250AB9" w:rsidRDefault="00250AB9" w:rsidP="00250AB9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Nedostatečný počet připojovacích míst v laboratořích</w:t>
      </w:r>
    </w:p>
    <w:p w:rsidR="00250AB9" w:rsidRDefault="00250AB9" w:rsidP="00250AB9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Celkově zhoršená kvalita pracovního média v systému</w:t>
      </w:r>
    </w:p>
    <w:p w:rsidR="00250AB9" w:rsidRDefault="00250AB9" w:rsidP="00250AB9"/>
    <w:p w:rsidR="00250AB9" w:rsidRDefault="00250AB9" w:rsidP="00250AB9">
      <w:pPr>
        <w:pStyle w:val="Nadpis6"/>
        <w:ind w:left="0" w:firstLine="567"/>
        <w:rPr>
          <w:b w:val="0"/>
        </w:rPr>
      </w:pPr>
    </w:p>
    <w:p w:rsidR="00250AB9" w:rsidRDefault="00250AB9" w:rsidP="00250AB9">
      <w:pPr>
        <w:pStyle w:val="Nadpis6"/>
        <w:numPr>
          <w:ilvl w:val="0"/>
          <w:numId w:val="3"/>
        </w:numPr>
        <w:tabs>
          <w:tab w:val="num" w:pos="567"/>
        </w:tabs>
        <w:ind w:left="567" w:hanging="567"/>
        <w:rPr>
          <w:sz w:val="28"/>
          <w:u w:val="single"/>
        </w:rPr>
      </w:pPr>
      <w:r>
        <w:rPr>
          <w:sz w:val="28"/>
          <w:u w:val="single"/>
        </w:rPr>
        <w:t>Návrh realizace opatření</w:t>
      </w:r>
    </w:p>
    <w:p w:rsidR="00250AB9" w:rsidRDefault="00250AB9" w:rsidP="00250AB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Na základě zjištěných primárních neshod doporučujeme </w:t>
      </w:r>
      <w:r>
        <w:rPr>
          <w:b/>
          <w:sz w:val="24"/>
          <w:szCs w:val="24"/>
        </w:rPr>
        <w:t>zpracovat technickou studii</w:t>
      </w:r>
      <w:r>
        <w:rPr>
          <w:sz w:val="24"/>
          <w:szCs w:val="24"/>
        </w:rPr>
        <w:t xml:space="preserve"> řešící nepříznivý stav zařízení ve variantách a stanovit nejvhodnější řešení pro odstranění neshody na kvalitu chladícího média a odstranění provozně-technických nedostatků. </w:t>
      </w:r>
    </w:p>
    <w:p w:rsidR="00250AB9" w:rsidRDefault="00250AB9" w:rsidP="00250AB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Varianty studie by se měly zabývat materiálovou náhradou ocelových tras za plast nebo nerez a případně úpravou výroby a </w:t>
      </w:r>
      <w:proofErr w:type="spellStart"/>
      <w:r>
        <w:rPr>
          <w:sz w:val="24"/>
          <w:szCs w:val="24"/>
        </w:rPr>
        <w:t>doúpravy</w:t>
      </w:r>
      <w:proofErr w:type="spellEnd"/>
      <w:r>
        <w:rPr>
          <w:sz w:val="24"/>
          <w:szCs w:val="24"/>
        </w:rPr>
        <w:t xml:space="preserve"> DEMI před doplňováním do okruhu. Též by měla být posouzena vhodnost kontinuálního přečišťování média (boční filtrace). </w:t>
      </w:r>
    </w:p>
    <w:p w:rsidR="00250AB9" w:rsidRDefault="00250AB9" w:rsidP="00250AB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Studie by měla též posoudit vliv otevřené zásobní nádrže DEMI na kvalitu vody, případně stanovit úpravy v řešení zásoby vody např. </w:t>
      </w:r>
      <w:proofErr w:type="spellStart"/>
      <w:r>
        <w:rPr>
          <w:sz w:val="24"/>
          <w:szCs w:val="24"/>
        </w:rPr>
        <w:t>inertizace</w:t>
      </w:r>
      <w:proofErr w:type="spellEnd"/>
      <w:r>
        <w:rPr>
          <w:sz w:val="24"/>
          <w:szCs w:val="24"/>
        </w:rPr>
        <w:t xml:space="preserve"> hladiny. Řešeny budou i technické a provozní nedostatky zjištěné při posudku nebo v průběhu zpracování studie.</w:t>
      </w:r>
    </w:p>
    <w:p w:rsidR="00250AB9" w:rsidRDefault="00250AB9" w:rsidP="00250AB9">
      <w:pPr>
        <w:rPr>
          <w:sz w:val="24"/>
          <w:szCs w:val="24"/>
        </w:rPr>
      </w:pPr>
      <w:r>
        <w:rPr>
          <w:sz w:val="24"/>
          <w:szCs w:val="24"/>
        </w:rPr>
        <w:tab/>
        <w:t>Pro navržené varianty budou stanoveny odborným odhadem realizační náklady a náklady na projekční činnosti.</w:t>
      </w:r>
    </w:p>
    <w:p w:rsidR="00250AB9" w:rsidRDefault="00250AB9" w:rsidP="00250AB9"/>
    <w:p w:rsidR="00250AB9" w:rsidRDefault="00250AB9" w:rsidP="00250AB9"/>
    <w:p w:rsidR="00250AB9" w:rsidRDefault="00250AB9" w:rsidP="00250AB9">
      <w:pPr>
        <w:pStyle w:val="Nadpis6"/>
        <w:numPr>
          <w:ilvl w:val="1"/>
          <w:numId w:val="3"/>
        </w:numPr>
        <w:tabs>
          <w:tab w:val="num" w:pos="567"/>
        </w:tabs>
        <w:ind w:left="0" w:firstLine="1"/>
      </w:pPr>
      <w:r>
        <w:t>Stanovení variant řešení</w:t>
      </w:r>
    </w:p>
    <w:p w:rsidR="00250AB9" w:rsidRDefault="00250AB9" w:rsidP="00250AB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Základní varianty řešení jsou stanoveny dle technických možností na realizaci změny v návaznosti na stávající provedení systému chlazení laserů, dispozičními možnosti v realizovaném objektu. Změny by měly být optimální a základní zařízení systému by mělo zůstat pro další využití a provoz.</w:t>
      </w:r>
    </w:p>
    <w:p w:rsidR="00250AB9" w:rsidRDefault="00250AB9" w:rsidP="00250AB9">
      <w:pPr>
        <w:rPr>
          <w:sz w:val="24"/>
          <w:szCs w:val="24"/>
        </w:rPr>
      </w:pPr>
    </w:p>
    <w:p w:rsidR="00250AB9" w:rsidRDefault="00250AB9" w:rsidP="00250AB9">
      <w:pPr>
        <w:rPr>
          <w:b/>
          <w:sz w:val="24"/>
          <w:szCs w:val="24"/>
        </w:rPr>
      </w:pPr>
      <w:r>
        <w:rPr>
          <w:b/>
          <w:sz w:val="24"/>
          <w:szCs w:val="24"/>
        </w:rPr>
        <w:t>Varianty a úpravy:</w:t>
      </w:r>
    </w:p>
    <w:p w:rsidR="00250AB9" w:rsidRDefault="00250AB9" w:rsidP="00250AB9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Změna materiálu ocelových potrubí za potrubí nerez nebo plast</w:t>
      </w:r>
    </w:p>
    <w:p w:rsidR="00250AB9" w:rsidRDefault="00250AB9" w:rsidP="00250AB9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Úprava výroby DEMI a dávkování chemikálií proti korozi </w:t>
      </w:r>
    </w:p>
    <w:p w:rsidR="00250AB9" w:rsidRDefault="00250AB9" w:rsidP="00250AB9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Likvidace řas a zamezení jejich tvorby</w:t>
      </w:r>
    </w:p>
    <w:p w:rsidR="00250AB9" w:rsidRDefault="00250AB9" w:rsidP="00250AB9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Změna schématu zapojení pro možnost kontinuálního nebo periodického čištění chladícího média okruhu</w:t>
      </w:r>
    </w:p>
    <w:p w:rsidR="00250AB9" w:rsidRDefault="00250AB9" w:rsidP="00250AB9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Změna zapojení, vystrojení, nebo způsobu provozování zásobní nádrže</w:t>
      </w:r>
    </w:p>
    <w:p w:rsidR="00250AB9" w:rsidRDefault="00250AB9" w:rsidP="00250AB9">
      <w:pPr>
        <w:numPr>
          <w:ilvl w:val="0"/>
          <w:numId w:val="7"/>
        </w:numPr>
        <w:autoSpaceDE w:val="0"/>
        <w:autoSpaceDN w:val="0"/>
        <w:adjustRightInd w:val="0"/>
        <w:rPr>
          <w:rFonts w:ascii="MS Shell Dlg 2" w:hAnsi="MS Shell Dlg 2" w:cs="MS Shell Dlg 2"/>
          <w:sz w:val="17"/>
          <w:szCs w:val="17"/>
        </w:rPr>
      </w:pPr>
      <w:r>
        <w:rPr>
          <w:sz w:val="24"/>
          <w:szCs w:val="24"/>
        </w:rPr>
        <w:t>Zvýšení účinnosti filtrace centrálního okruhu na úroveň 10-20</w:t>
      </w:r>
      <w:r>
        <w:rPr>
          <w:rFonts w:ascii="Baskerville Old Face" w:hAnsi="Baskerville Old Face" w:cs="Baskerville Old Face"/>
          <w:sz w:val="26"/>
          <w:szCs w:val="26"/>
        </w:rPr>
        <w:t>µm</w:t>
      </w:r>
    </w:p>
    <w:p w:rsidR="00250AB9" w:rsidRDefault="00250AB9" w:rsidP="00250AB9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Zvýšení kvality tepelných izolací </w:t>
      </w:r>
    </w:p>
    <w:p w:rsidR="00250AB9" w:rsidRDefault="00250AB9" w:rsidP="00250AB9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Doplnění odběrových míst pro laboratoře</w:t>
      </w:r>
    </w:p>
    <w:p w:rsidR="00250AB9" w:rsidRDefault="00250AB9" w:rsidP="00250AB9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Zvýšení výkonu </w:t>
      </w:r>
      <w:proofErr w:type="gramStart"/>
      <w:r>
        <w:rPr>
          <w:sz w:val="24"/>
          <w:szCs w:val="24"/>
        </w:rPr>
        <w:t>chladícího</w:t>
      </w:r>
      <w:proofErr w:type="gramEnd"/>
      <w:r>
        <w:rPr>
          <w:sz w:val="24"/>
          <w:szCs w:val="24"/>
        </w:rPr>
        <w:t xml:space="preserve"> systému na 24 m3/h (400 l/min) </w:t>
      </w:r>
    </w:p>
    <w:p w:rsidR="00250AB9" w:rsidRDefault="00250AB9" w:rsidP="00250AB9">
      <w:pPr>
        <w:rPr>
          <w:sz w:val="24"/>
          <w:szCs w:val="24"/>
        </w:rPr>
      </w:pPr>
    </w:p>
    <w:p w:rsidR="00250AB9" w:rsidRDefault="00250AB9" w:rsidP="00250AB9">
      <w:pPr>
        <w:rPr>
          <w:sz w:val="24"/>
          <w:szCs w:val="24"/>
        </w:rPr>
      </w:pPr>
    </w:p>
    <w:p w:rsidR="00250AB9" w:rsidRDefault="00250AB9" w:rsidP="00250AB9">
      <w:pPr>
        <w:rPr>
          <w:sz w:val="24"/>
          <w:szCs w:val="24"/>
        </w:rPr>
      </w:pPr>
      <w:r>
        <w:rPr>
          <w:sz w:val="24"/>
          <w:szCs w:val="24"/>
        </w:rPr>
        <w:tab/>
        <w:t>V rámci vyhodnocení by byla vybrána nejvhodnější varianta nebo jejich vhodná kombinace s ohledem na tyto ukazatele:</w:t>
      </w:r>
    </w:p>
    <w:p w:rsidR="00250AB9" w:rsidRDefault="00250AB9" w:rsidP="00250AB9">
      <w:pPr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realizovatelnost návrhů z hlediska dispozice a schématu zapojení </w:t>
      </w:r>
    </w:p>
    <w:p w:rsidR="00250AB9" w:rsidRDefault="00250AB9" w:rsidP="00250AB9">
      <w:pPr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časovou náročnost realizace</w:t>
      </w:r>
    </w:p>
    <w:p w:rsidR="00250AB9" w:rsidRDefault="00250AB9" w:rsidP="00250AB9">
      <w:pPr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investiční náklady</w:t>
      </w:r>
    </w:p>
    <w:p w:rsidR="00250AB9" w:rsidRDefault="00250AB9" w:rsidP="00250AB9">
      <w:pPr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splnění kvalitativních a výkonových požadavků na systém a média.  </w:t>
      </w:r>
    </w:p>
    <w:p w:rsidR="00250AB9" w:rsidRDefault="00250AB9" w:rsidP="00250AB9">
      <w:pPr>
        <w:rPr>
          <w:sz w:val="24"/>
          <w:szCs w:val="24"/>
        </w:rPr>
      </w:pPr>
    </w:p>
    <w:p w:rsidR="00250AB9" w:rsidRDefault="00250AB9" w:rsidP="00250AB9">
      <w:pPr>
        <w:rPr>
          <w:sz w:val="24"/>
          <w:szCs w:val="24"/>
        </w:rPr>
      </w:pPr>
    </w:p>
    <w:p w:rsidR="00250AB9" w:rsidRDefault="00250AB9" w:rsidP="00250AB9">
      <w:pPr>
        <w:rPr>
          <w:sz w:val="24"/>
          <w:szCs w:val="24"/>
        </w:rPr>
      </w:pPr>
    </w:p>
    <w:p w:rsidR="00250AB9" w:rsidRDefault="00250AB9" w:rsidP="00250AB9">
      <w:pPr>
        <w:rPr>
          <w:sz w:val="24"/>
          <w:szCs w:val="24"/>
        </w:rPr>
      </w:pPr>
    </w:p>
    <w:p w:rsidR="00250AB9" w:rsidRDefault="00250AB9" w:rsidP="00250AB9">
      <w:pPr>
        <w:rPr>
          <w:sz w:val="24"/>
          <w:szCs w:val="24"/>
        </w:rPr>
      </w:pPr>
    </w:p>
    <w:p w:rsidR="00250AB9" w:rsidRDefault="00250AB9" w:rsidP="00250AB9">
      <w:pPr>
        <w:rPr>
          <w:sz w:val="24"/>
          <w:szCs w:val="24"/>
        </w:rPr>
      </w:pPr>
    </w:p>
    <w:p w:rsidR="00250AB9" w:rsidRDefault="00250AB9" w:rsidP="00250AB9">
      <w:pPr>
        <w:rPr>
          <w:sz w:val="24"/>
          <w:szCs w:val="24"/>
        </w:rPr>
      </w:pPr>
    </w:p>
    <w:p w:rsidR="00250AB9" w:rsidRDefault="00250AB9" w:rsidP="00250AB9">
      <w:pPr>
        <w:rPr>
          <w:sz w:val="24"/>
          <w:szCs w:val="24"/>
        </w:rPr>
      </w:pPr>
    </w:p>
    <w:p w:rsidR="00250AB9" w:rsidRDefault="00250AB9" w:rsidP="00250AB9">
      <w:pPr>
        <w:jc w:val="both"/>
        <w:rPr>
          <w:rFonts w:ascii="Arial" w:hAnsi="Arial"/>
          <w:b/>
          <w:sz w:val="24"/>
        </w:rPr>
      </w:pPr>
    </w:p>
    <w:p w:rsidR="00250AB9" w:rsidRDefault="00250AB9" w:rsidP="00250AB9">
      <w:pPr>
        <w:numPr>
          <w:ilvl w:val="0"/>
          <w:numId w:val="3"/>
        </w:numPr>
        <w:jc w:val="both"/>
        <w:rPr>
          <w:b/>
          <w:sz w:val="28"/>
        </w:rPr>
      </w:pPr>
      <w:r>
        <w:rPr>
          <w:b/>
          <w:sz w:val="28"/>
        </w:rPr>
        <w:lastRenderedPageBreak/>
        <w:t>Závěr</w:t>
      </w:r>
    </w:p>
    <w:p w:rsidR="00250AB9" w:rsidRDefault="00250AB9" w:rsidP="00250AB9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Vzhledem k zjištěným skutečnostem nelze systém chlazení laserů bez úprav dále používat, aniž by docházelo k provozním poruchám a/nebo postupnému poškozování koncových zařízení pokusného </w:t>
      </w:r>
      <w:proofErr w:type="spellStart"/>
      <w:r>
        <w:rPr>
          <w:bCs/>
          <w:sz w:val="24"/>
        </w:rPr>
        <w:t>stendu</w:t>
      </w:r>
      <w:proofErr w:type="spellEnd"/>
      <w:r>
        <w:rPr>
          <w:bCs/>
          <w:sz w:val="24"/>
        </w:rPr>
        <w:t xml:space="preserve">. </w:t>
      </w:r>
    </w:p>
    <w:p w:rsidR="00250AB9" w:rsidRDefault="00250AB9" w:rsidP="00250AB9">
      <w:pPr>
        <w:jc w:val="both"/>
        <w:rPr>
          <w:bCs/>
          <w:sz w:val="24"/>
        </w:rPr>
      </w:pPr>
      <w:r>
        <w:rPr>
          <w:bCs/>
          <w:sz w:val="24"/>
        </w:rPr>
        <w:tab/>
      </w:r>
    </w:p>
    <w:p w:rsidR="00250AB9" w:rsidRDefault="00250AB9" w:rsidP="00250AB9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Takto provozované zařízení je zdrojem potenciální havárie nebo významného poškození zařízení (nedostatek chlazení, porušení integrity systému apod.), která může přinést vysoké materiální škody a případně hrozí riziko pracovního úrazu obsluhujícího personálu.</w:t>
      </w:r>
    </w:p>
    <w:p w:rsidR="00250AB9" w:rsidRDefault="00250AB9" w:rsidP="00250AB9">
      <w:pPr>
        <w:jc w:val="both"/>
        <w:rPr>
          <w:bCs/>
          <w:sz w:val="24"/>
        </w:rPr>
      </w:pPr>
    </w:p>
    <w:p w:rsidR="00250AB9" w:rsidRDefault="00250AB9" w:rsidP="00250AB9">
      <w:pPr>
        <w:jc w:val="both"/>
        <w:rPr>
          <w:bCs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5057775</wp:posOffset>
            </wp:positionH>
            <wp:positionV relativeFrom="paragraph">
              <wp:posOffset>8101330</wp:posOffset>
            </wp:positionV>
            <wp:extent cx="1924050" cy="381000"/>
            <wp:effectExtent l="0" t="0" r="0" b="0"/>
            <wp:wrapNone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8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5048250</wp:posOffset>
            </wp:positionH>
            <wp:positionV relativeFrom="paragraph">
              <wp:posOffset>7934325</wp:posOffset>
            </wp:positionV>
            <wp:extent cx="1924050" cy="381000"/>
            <wp:effectExtent l="0" t="0" r="0" b="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8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5048250</wp:posOffset>
            </wp:positionH>
            <wp:positionV relativeFrom="paragraph">
              <wp:posOffset>7934325</wp:posOffset>
            </wp:positionV>
            <wp:extent cx="1924050" cy="381000"/>
            <wp:effectExtent l="0" t="0" r="0" b="0"/>
            <wp:wrapNone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8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5048250</wp:posOffset>
            </wp:positionH>
            <wp:positionV relativeFrom="paragraph">
              <wp:posOffset>7934325</wp:posOffset>
            </wp:positionV>
            <wp:extent cx="1924050" cy="381000"/>
            <wp:effectExtent l="0" t="0" r="0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8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5048250</wp:posOffset>
            </wp:positionH>
            <wp:positionV relativeFrom="paragraph">
              <wp:posOffset>7934325</wp:posOffset>
            </wp:positionV>
            <wp:extent cx="1924050" cy="381000"/>
            <wp:effectExtent l="0" t="0" r="0" b="0"/>
            <wp:wrapNone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8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360680</wp:posOffset>
            </wp:positionV>
            <wp:extent cx="2600325" cy="447675"/>
            <wp:effectExtent l="0" t="0" r="9525" b="9525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0AB9" w:rsidRDefault="00250AB9" w:rsidP="00250AB9">
      <w:pPr>
        <w:jc w:val="both"/>
        <w:rPr>
          <w:b/>
          <w:sz w:val="28"/>
        </w:rPr>
      </w:pPr>
    </w:p>
    <w:p w:rsidR="00250AB9" w:rsidRDefault="00250AB9" w:rsidP="00250AB9">
      <w:pPr>
        <w:pStyle w:val="Zkladntext"/>
        <w:rPr>
          <w:rFonts w:ascii="Times New Roman" w:hAnsi="Times New Roman"/>
          <w:bCs/>
        </w:rPr>
      </w:pPr>
      <w:proofErr w:type="gramStart"/>
      <w:r>
        <w:rPr>
          <w:rFonts w:ascii="Times New Roman" w:hAnsi="Times New Roman"/>
          <w:bCs/>
        </w:rPr>
        <w:t xml:space="preserve">Vypracoval : </w:t>
      </w:r>
      <w:r>
        <w:rPr>
          <w:rFonts w:ascii="Times New Roman" w:hAnsi="Times New Roman"/>
          <w:bCs/>
        </w:rPr>
        <w:tab/>
        <w:t>Adamík</w:t>
      </w:r>
      <w:proofErr w:type="gramEnd"/>
      <w:r>
        <w:rPr>
          <w:rFonts w:ascii="Times New Roman" w:hAnsi="Times New Roman"/>
          <w:bCs/>
        </w:rPr>
        <w:t xml:space="preserve"> M.</w:t>
      </w:r>
      <w:r>
        <w:rPr>
          <w:rFonts w:ascii="Times New Roman" w:hAnsi="Times New Roman"/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5057775</wp:posOffset>
            </wp:positionH>
            <wp:positionV relativeFrom="paragraph">
              <wp:posOffset>7933690</wp:posOffset>
            </wp:positionV>
            <wp:extent cx="1924050" cy="381000"/>
            <wp:effectExtent l="0" t="0" r="0" b="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8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5156835</wp:posOffset>
            </wp:positionH>
            <wp:positionV relativeFrom="paragraph">
              <wp:posOffset>7933690</wp:posOffset>
            </wp:positionV>
            <wp:extent cx="1924050" cy="381000"/>
            <wp:effectExtent l="0" t="0" r="0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8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5156835</wp:posOffset>
            </wp:positionH>
            <wp:positionV relativeFrom="paragraph">
              <wp:posOffset>7933690</wp:posOffset>
            </wp:positionV>
            <wp:extent cx="1924050" cy="381000"/>
            <wp:effectExtent l="0" t="0" r="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8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5156835</wp:posOffset>
            </wp:positionH>
            <wp:positionV relativeFrom="paragraph">
              <wp:posOffset>7933690</wp:posOffset>
            </wp:positionV>
            <wp:extent cx="1924050" cy="381000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8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5156835</wp:posOffset>
            </wp:positionH>
            <wp:positionV relativeFrom="paragraph">
              <wp:posOffset>7933690</wp:posOffset>
            </wp:positionV>
            <wp:extent cx="1924050" cy="381000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8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0AB9" w:rsidRDefault="00250AB9" w:rsidP="00250AB9">
      <w:pPr>
        <w:pStyle w:val="Zkladntext"/>
        <w:rPr>
          <w:rFonts w:ascii="Times New Roman" w:hAnsi="Times New Roman"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3309620</wp:posOffset>
            </wp:positionH>
            <wp:positionV relativeFrom="paragraph">
              <wp:posOffset>334645</wp:posOffset>
            </wp:positionV>
            <wp:extent cx="1466850" cy="1466850"/>
            <wp:effectExtent l="0" t="0" r="0" b="0"/>
            <wp:wrapNone/>
            <wp:docPr id="7" name="Obrázek 7" descr="Ad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da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proofErr w:type="gramStart"/>
      <w:r>
        <w:rPr>
          <w:rFonts w:ascii="Times New Roman" w:hAnsi="Times New Roman"/>
          <w:bCs/>
        </w:rPr>
        <w:t>11.11.2016</w:t>
      </w:r>
      <w:proofErr w:type="gramEnd"/>
      <w:r>
        <w:rPr>
          <w:rFonts w:ascii="Times New Roman" w:hAnsi="Times New Roman"/>
          <w:bCs/>
        </w:rPr>
        <w:t xml:space="preserve">                                          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5156835</wp:posOffset>
            </wp:positionH>
            <wp:positionV relativeFrom="paragraph">
              <wp:posOffset>7933690</wp:posOffset>
            </wp:positionV>
            <wp:extent cx="1924050" cy="38100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8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5156835</wp:posOffset>
            </wp:positionH>
            <wp:positionV relativeFrom="paragraph">
              <wp:posOffset>7933690</wp:posOffset>
            </wp:positionV>
            <wp:extent cx="1924050" cy="38100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8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5156835</wp:posOffset>
            </wp:positionH>
            <wp:positionV relativeFrom="paragraph">
              <wp:posOffset>7933690</wp:posOffset>
            </wp:positionV>
            <wp:extent cx="1924050" cy="3810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8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5048250</wp:posOffset>
            </wp:positionH>
            <wp:positionV relativeFrom="paragraph">
              <wp:posOffset>7934325</wp:posOffset>
            </wp:positionV>
            <wp:extent cx="1924050" cy="3810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8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4BE9" w:rsidRDefault="00B04BE9">
      <w:bookmarkStart w:id="0" w:name="_GoBack"/>
      <w:bookmarkEnd w:id="0"/>
    </w:p>
    <w:sectPr w:rsidR="00B04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nfrew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748F6"/>
    <w:multiLevelType w:val="hybridMultilevel"/>
    <w:tmpl w:val="B7665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47110"/>
    <w:multiLevelType w:val="hybridMultilevel"/>
    <w:tmpl w:val="7C94DC82"/>
    <w:lvl w:ilvl="0" w:tplc="0405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A8865F4"/>
    <w:multiLevelType w:val="multilevel"/>
    <w:tmpl w:val="670EDD3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%1.%2"/>
      <w:lvlJc w:val="left"/>
      <w:pPr>
        <w:tabs>
          <w:tab w:val="num" w:pos="2487"/>
        </w:tabs>
        <w:ind w:left="2487" w:hanging="360"/>
      </w:pPr>
    </w:lvl>
    <w:lvl w:ilvl="2">
      <w:start w:val="1"/>
      <w:numFmt w:val="decimal"/>
      <w:lvlText w:val="%1.%2.%3"/>
      <w:lvlJc w:val="left"/>
      <w:pPr>
        <w:tabs>
          <w:tab w:val="num" w:pos="4992"/>
        </w:tabs>
        <w:ind w:left="4992" w:hanging="720"/>
      </w:pPr>
    </w:lvl>
    <w:lvl w:ilvl="3">
      <w:start w:val="1"/>
      <w:numFmt w:val="decimal"/>
      <w:lvlText w:val="%1.%2.%3.%4"/>
      <w:lvlJc w:val="left"/>
      <w:pPr>
        <w:tabs>
          <w:tab w:val="num" w:pos="7488"/>
        </w:tabs>
        <w:ind w:left="7488" w:hanging="1080"/>
      </w:pPr>
    </w:lvl>
    <w:lvl w:ilvl="4">
      <w:start w:val="1"/>
      <w:numFmt w:val="decimal"/>
      <w:lvlText w:val="%1.%2.%3.%4.%5"/>
      <w:lvlJc w:val="left"/>
      <w:pPr>
        <w:tabs>
          <w:tab w:val="num" w:pos="9624"/>
        </w:tabs>
        <w:ind w:left="9624" w:hanging="1080"/>
      </w:pPr>
    </w:lvl>
    <w:lvl w:ilvl="5">
      <w:start w:val="1"/>
      <w:numFmt w:val="decimal"/>
      <w:lvlText w:val="%1.%2.%3.%4.%5.%6"/>
      <w:lvlJc w:val="left"/>
      <w:pPr>
        <w:tabs>
          <w:tab w:val="num" w:pos="12120"/>
        </w:tabs>
        <w:ind w:left="1212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256"/>
        </w:tabs>
        <w:ind w:left="1425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6752"/>
        </w:tabs>
        <w:ind w:left="16752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888"/>
        </w:tabs>
        <w:ind w:left="18888" w:hanging="1800"/>
      </w:pPr>
    </w:lvl>
  </w:abstractNum>
  <w:abstractNum w:abstractNumId="3" w15:restartNumberingAfterBreak="0">
    <w:nsid w:val="31570E01"/>
    <w:multiLevelType w:val="multilevel"/>
    <w:tmpl w:val="EC702868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"/>
      <w:lvlJc w:val="left"/>
      <w:pPr>
        <w:tabs>
          <w:tab w:val="num" w:pos="2535"/>
        </w:tabs>
        <w:ind w:left="2535" w:hanging="405"/>
      </w:pPr>
    </w:lvl>
    <w:lvl w:ilvl="2">
      <w:start w:val="1"/>
      <w:numFmt w:val="decimal"/>
      <w:lvlText w:val="%1.%2.%3"/>
      <w:lvlJc w:val="left"/>
      <w:pPr>
        <w:tabs>
          <w:tab w:val="num" w:pos="4980"/>
        </w:tabs>
        <w:ind w:left="4980" w:hanging="720"/>
      </w:pPr>
    </w:lvl>
    <w:lvl w:ilvl="3">
      <w:start w:val="1"/>
      <w:numFmt w:val="decimal"/>
      <w:lvlText w:val="%1.%2.%3.%4"/>
      <w:lvlJc w:val="left"/>
      <w:pPr>
        <w:tabs>
          <w:tab w:val="num" w:pos="7470"/>
        </w:tabs>
        <w:ind w:left="7470" w:hanging="1080"/>
      </w:pPr>
    </w:lvl>
    <w:lvl w:ilvl="4">
      <w:start w:val="1"/>
      <w:numFmt w:val="decimal"/>
      <w:lvlText w:val="%1.%2.%3.%4.%5"/>
      <w:lvlJc w:val="left"/>
      <w:pPr>
        <w:tabs>
          <w:tab w:val="num" w:pos="9600"/>
        </w:tabs>
        <w:ind w:left="9600" w:hanging="1080"/>
      </w:pPr>
    </w:lvl>
    <w:lvl w:ilvl="5">
      <w:start w:val="1"/>
      <w:numFmt w:val="decimal"/>
      <w:lvlText w:val="%1.%2.%3.%4.%5.%6"/>
      <w:lvlJc w:val="left"/>
      <w:pPr>
        <w:tabs>
          <w:tab w:val="num" w:pos="12090"/>
        </w:tabs>
        <w:ind w:left="1209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220"/>
        </w:tabs>
        <w:ind w:left="142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6710"/>
        </w:tabs>
        <w:ind w:left="1671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840"/>
        </w:tabs>
        <w:ind w:left="18840" w:hanging="1800"/>
      </w:pPr>
    </w:lvl>
  </w:abstractNum>
  <w:abstractNum w:abstractNumId="4" w15:restartNumberingAfterBreak="0">
    <w:nsid w:val="3C7B7F6D"/>
    <w:multiLevelType w:val="hybridMultilevel"/>
    <w:tmpl w:val="83584956"/>
    <w:lvl w:ilvl="0" w:tplc="C41C1FA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B612B"/>
    <w:multiLevelType w:val="hybridMultilevel"/>
    <w:tmpl w:val="7D5A5426"/>
    <w:lvl w:ilvl="0" w:tplc="C41C1FA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A4014"/>
    <w:multiLevelType w:val="multilevel"/>
    <w:tmpl w:val="EE18C42C"/>
    <w:lvl w:ilvl="0">
      <w:start w:val="1"/>
      <w:numFmt w:val="decimal"/>
      <w:lvlText w:val="%1.0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"/>
      <w:lvlJc w:val="left"/>
      <w:pPr>
        <w:tabs>
          <w:tab w:val="num" w:pos="1416"/>
        </w:tabs>
        <w:ind w:left="1416" w:hanging="708"/>
      </w:pPr>
      <w:rPr>
        <w:b/>
        <w:i w:val="0"/>
        <w:color w:val="auto"/>
        <w:sz w:val="24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</w:lvl>
  </w:abstractNum>
  <w:abstractNum w:abstractNumId="7" w15:restartNumberingAfterBreak="0">
    <w:nsid w:val="7ECF2003"/>
    <w:multiLevelType w:val="hybridMultilevel"/>
    <w:tmpl w:val="8264B64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AB9"/>
    <w:rsid w:val="00250AB9"/>
    <w:rsid w:val="00B0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5:chartTrackingRefBased/>
  <w15:docId w15:val="{DD96CB36-F4DC-4476-B6E9-11816C3D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0A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50AB9"/>
    <w:pPr>
      <w:keepNext/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250AB9"/>
    <w:pPr>
      <w:keepNext/>
      <w:ind w:left="567"/>
      <w:jc w:val="both"/>
      <w:outlineLvl w:val="5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250AB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250AB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50AB9"/>
    <w:pPr>
      <w:jc w:val="both"/>
    </w:pPr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250AB9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ln1">
    <w:name w:val="Normální1"/>
    <w:rsid w:val="00250AB9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cs-CZ" w:bidi="cs-CZ"/>
    </w:rPr>
  </w:style>
  <w:style w:type="paragraph" w:customStyle="1" w:styleId="WW-Prosttext">
    <w:name w:val="WW-Prostý text"/>
    <w:basedOn w:val="Normln"/>
    <w:rsid w:val="00250AB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before="120" w:after="60" w:line="100" w:lineRule="atLeast"/>
      <w:jc w:val="both"/>
    </w:pPr>
    <w:rPr>
      <w:rFonts w:ascii="Arial" w:hAnsi="Arial"/>
      <w:kern w:val="2"/>
      <w:sz w:val="22"/>
      <w:lang w:bidi="cs-CZ"/>
    </w:rPr>
  </w:style>
  <w:style w:type="character" w:customStyle="1" w:styleId="Standardnpsmoodstavce1">
    <w:name w:val="Standardní písmo odstavce1"/>
    <w:rsid w:val="00250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6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yden.cz/obrazek/201510/5614e79d369a8/crop-882781-p201408090150301.jpeg" TargetMode="External"/><Relationship Id="rId11" Type="http://schemas.openxmlformats.org/officeDocument/2006/relationships/image" Target="media/image6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1112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Kavanová</dc:creator>
  <cp:keywords/>
  <dc:description/>
  <cp:lastModifiedBy>Jarmila Kavanová</cp:lastModifiedBy>
  <cp:revision>1</cp:revision>
  <dcterms:created xsi:type="dcterms:W3CDTF">2016-11-14T14:35:00Z</dcterms:created>
  <dcterms:modified xsi:type="dcterms:W3CDTF">2016-11-14T14:35:00Z</dcterms:modified>
</cp:coreProperties>
</file>