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329A7" w14:textId="77777777" w:rsidR="0028448A" w:rsidRPr="003D436B" w:rsidRDefault="0028448A">
      <w:pPr>
        <w:pStyle w:val="Title"/>
      </w:pPr>
      <w:r w:rsidRPr="003D436B">
        <w:t>Smlouva o kartách euroShell Card</w:t>
      </w:r>
    </w:p>
    <w:p w14:paraId="4FD1B087" w14:textId="77777777" w:rsidR="0028448A" w:rsidRPr="003D436B" w:rsidRDefault="0028448A">
      <w:pPr>
        <w:jc w:val="center"/>
        <w:rPr>
          <w:b/>
          <w:bCs/>
          <w:sz w:val="32"/>
          <w:lang w:val="cs-CZ"/>
        </w:rPr>
      </w:pPr>
    </w:p>
    <w:p w14:paraId="3A6E021C" w14:textId="77777777" w:rsidR="0028448A" w:rsidRPr="003D436B" w:rsidRDefault="0028448A">
      <w:pPr>
        <w:jc w:val="center"/>
        <w:rPr>
          <w:b/>
          <w:bCs/>
          <w:sz w:val="32"/>
          <w:lang w:val="cs-CZ"/>
        </w:rPr>
      </w:pPr>
    </w:p>
    <w:p w14:paraId="2953C88F" w14:textId="77777777" w:rsidR="0028448A" w:rsidRPr="003D436B" w:rsidRDefault="0028448A">
      <w:pPr>
        <w:jc w:val="both"/>
        <w:rPr>
          <w:lang w:val="cs-CZ"/>
        </w:rPr>
      </w:pPr>
    </w:p>
    <w:p w14:paraId="0E41EE5E" w14:textId="77777777" w:rsidR="0028448A" w:rsidRPr="003D436B" w:rsidRDefault="0028448A" w:rsidP="000E59D3">
      <w:pPr>
        <w:ind w:left="360"/>
        <w:rPr>
          <w:b/>
          <w:bCs/>
          <w:sz w:val="22"/>
          <w:szCs w:val="22"/>
          <w:lang w:val="cs-CZ"/>
        </w:rPr>
      </w:pPr>
      <w:r w:rsidRPr="003D436B">
        <w:rPr>
          <w:b/>
          <w:bCs/>
          <w:sz w:val="22"/>
          <w:szCs w:val="22"/>
          <w:lang w:val="cs-CZ"/>
        </w:rPr>
        <w:t>Shell Czech Republic a.s.</w:t>
      </w:r>
    </w:p>
    <w:p w14:paraId="12624C84" w14:textId="77777777" w:rsidR="0028448A" w:rsidRPr="003D436B" w:rsidRDefault="0028448A" w:rsidP="000E59D3">
      <w:pPr>
        <w:ind w:left="360"/>
        <w:rPr>
          <w:bCs/>
          <w:sz w:val="22"/>
          <w:szCs w:val="22"/>
          <w:lang w:val="cs-CZ"/>
        </w:rPr>
      </w:pPr>
      <w:r w:rsidRPr="003D436B">
        <w:rPr>
          <w:bCs/>
          <w:sz w:val="22"/>
          <w:szCs w:val="22"/>
          <w:lang w:val="cs-CZ"/>
        </w:rPr>
        <w:t>se sídlem Antala Staška</w:t>
      </w:r>
      <w:r w:rsidR="007509EC" w:rsidRPr="003D436B">
        <w:rPr>
          <w:bCs/>
          <w:sz w:val="22"/>
          <w:szCs w:val="22"/>
          <w:lang w:val="cs-CZ"/>
        </w:rPr>
        <w:t xml:space="preserve"> 2027/77</w:t>
      </w:r>
      <w:r w:rsidRPr="003D436B">
        <w:rPr>
          <w:bCs/>
          <w:sz w:val="22"/>
          <w:szCs w:val="22"/>
          <w:lang w:val="cs-CZ"/>
        </w:rPr>
        <w:t xml:space="preserve">, </w:t>
      </w:r>
      <w:r w:rsidR="007509EC" w:rsidRPr="003D436B">
        <w:rPr>
          <w:bCs/>
          <w:sz w:val="22"/>
          <w:szCs w:val="22"/>
          <w:lang w:val="cs-CZ"/>
        </w:rPr>
        <w:t xml:space="preserve">Krč, </w:t>
      </w:r>
      <w:r w:rsidRPr="003D436B">
        <w:rPr>
          <w:bCs/>
          <w:sz w:val="22"/>
          <w:szCs w:val="22"/>
          <w:lang w:val="cs-CZ"/>
        </w:rPr>
        <w:t>140 00 Praha 4</w:t>
      </w:r>
    </w:p>
    <w:p w14:paraId="601E188D" w14:textId="2622C9A5" w:rsidR="0028448A" w:rsidRPr="003D436B" w:rsidRDefault="0028448A" w:rsidP="000E59D3">
      <w:pPr>
        <w:ind w:left="360"/>
        <w:rPr>
          <w:bCs/>
          <w:sz w:val="22"/>
          <w:szCs w:val="22"/>
          <w:lang w:val="cs-CZ"/>
        </w:rPr>
      </w:pPr>
      <w:r w:rsidRPr="003D436B">
        <w:rPr>
          <w:bCs/>
          <w:sz w:val="22"/>
          <w:szCs w:val="22"/>
          <w:lang w:val="cs-CZ"/>
        </w:rPr>
        <w:t>IČ</w:t>
      </w:r>
      <w:r w:rsidR="0067666A">
        <w:rPr>
          <w:bCs/>
          <w:sz w:val="22"/>
          <w:szCs w:val="22"/>
          <w:lang w:val="cs-CZ"/>
        </w:rPr>
        <w:t>O</w:t>
      </w:r>
      <w:r w:rsidRPr="003D436B">
        <w:rPr>
          <w:bCs/>
          <w:sz w:val="22"/>
          <w:szCs w:val="22"/>
          <w:lang w:val="cs-CZ"/>
        </w:rPr>
        <w:t>:</w:t>
      </w:r>
      <w:r w:rsidR="0067666A">
        <w:rPr>
          <w:bCs/>
          <w:sz w:val="22"/>
          <w:szCs w:val="22"/>
          <w:lang w:val="cs-CZ"/>
        </w:rPr>
        <w:t xml:space="preserve"> </w:t>
      </w:r>
      <w:r w:rsidRPr="003D436B">
        <w:rPr>
          <w:bCs/>
          <w:sz w:val="22"/>
          <w:szCs w:val="22"/>
          <w:lang w:val="cs-CZ"/>
        </w:rPr>
        <w:t>15890554</w:t>
      </w:r>
    </w:p>
    <w:p w14:paraId="7DA0C6B0" w14:textId="77777777" w:rsidR="0028448A" w:rsidRPr="003D436B" w:rsidRDefault="0028448A" w:rsidP="000E59D3">
      <w:pPr>
        <w:ind w:left="360"/>
        <w:rPr>
          <w:bCs/>
          <w:sz w:val="22"/>
          <w:szCs w:val="22"/>
          <w:lang w:val="cs-CZ"/>
        </w:rPr>
      </w:pPr>
      <w:r w:rsidRPr="003D436B">
        <w:rPr>
          <w:bCs/>
          <w:sz w:val="22"/>
          <w:szCs w:val="22"/>
          <w:lang w:val="cs-CZ"/>
        </w:rPr>
        <w:t>DIČ: CZ15890554</w:t>
      </w:r>
    </w:p>
    <w:p w14:paraId="623453CA" w14:textId="3B42DF77" w:rsidR="0028448A" w:rsidRPr="003D436B" w:rsidRDefault="0028448A" w:rsidP="000E59D3">
      <w:pPr>
        <w:ind w:left="360"/>
        <w:rPr>
          <w:bCs/>
          <w:sz w:val="22"/>
          <w:szCs w:val="22"/>
          <w:lang w:val="cs-CZ"/>
        </w:rPr>
      </w:pPr>
      <w:r w:rsidRPr="003D436B">
        <w:rPr>
          <w:bCs/>
          <w:sz w:val="22"/>
          <w:szCs w:val="22"/>
          <w:lang w:val="cs-CZ"/>
        </w:rPr>
        <w:t>zapsána v obchodním rejstříku vedeném u Městského soudu v Praze, oddíl B, vložka 690</w:t>
      </w:r>
    </w:p>
    <w:p w14:paraId="0C7F500A" w14:textId="77777777" w:rsidR="000E59D3" w:rsidRPr="003D436B" w:rsidRDefault="000E59D3" w:rsidP="000E59D3">
      <w:pPr>
        <w:ind w:left="360"/>
        <w:rPr>
          <w:bCs/>
          <w:sz w:val="22"/>
          <w:szCs w:val="22"/>
          <w:lang w:val="cs-CZ"/>
        </w:rPr>
      </w:pPr>
      <w:r w:rsidRPr="003D436B">
        <w:rPr>
          <w:bCs/>
          <w:sz w:val="22"/>
          <w:szCs w:val="22"/>
          <w:lang w:val="cs-CZ"/>
        </w:rPr>
        <w:t xml:space="preserve">zastoupená </w:t>
      </w:r>
      <w:r w:rsidR="00002C9A" w:rsidRPr="003D436B">
        <w:rPr>
          <w:bCs/>
          <w:sz w:val="22"/>
          <w:szCs w:val="22"/>
          <w:lang w:val="cs-CZ"/>
        </w:rPr>
        <w:fldChar w:fldCharType="begin">
          <w:ffData>
            <w:name w:val="Text98"/>
            <w:enabled/>
            <w:calcOnExit w:val="0"/>
            <w:textInput/>
          </w:ffData>
        </w:fldChar>
      </w:r>
      <w:bookmarkStart w:id="0" w:name="Text98"/>
      <w:r w:rsidRPr="003D436B">
        <w:rPr>
          <w:bCs/>
          <w:sz w:val="22"/>
          <w:szCs w:val="22"/>
          <w:lang w:val="cs-CZ"/>
        </w:rPr>
        <w:instrText xml:space="preserve"> FORMTEXT </w:instrText>
      </w:r>
      <w:r w:rsidR="00002C9A" w:rsidRPr="003D436B">
        <w:rPr>
          <w:bCs/>
          <w:sz w:val="22"/>
          <w:szCs w:val="22"/>
          <w:lang w:val="cs-CZ"/>
        </w:rPr>
      </w:r>
      <w:r w:rsidR="00002C9A" w:rsidRPr="003D436B">
        <w:rPr>
          <w:bCs/>
          <w:sz w:val="22"/>
          <w:szCs w:val="22"/>
          <w:lang w:val="cs-CZ"/>
        </w:rPr>
        <w:fldChar w:fldCharType="separate"/>
      </w:r>
      <w:r w:rsidRPr="003D436B">
        <w:rPr>
          <w:bCs/>
          <w:sz w:val="22"/>
          <w:szCs w:val="22"/>
          <w:lang w:val="cs-CZ"/>
        </w:rPr>
        <w:t>Milanem Pudichem - Sales Managerem Czech &amp; Slovakia na základě pověření ze dne 21.12.2011</w:t>
      </w:r>
      <w:r w:rsidR="00002C9A" w:rsidRPr="003D436B">
        <w:rPr>
          <w:bCs/>
          <w:sz w:val="22"/>
          <w:szCs w:val="22"/>
          <w:lang w:val="cs-CZ"/>
        </w:rPr>
        <w:fldChar w:fldCharType="end"/>
      </w:r>
      <w:bookmarkEnd w:id="0"/>
    </w:p>
    <w:p w14:paraId="0B2E5971" w14:textId="77777777" w:rsidR="0028448A" w:rsidRPr="003D436B" w:rsidRDefault="0028448A" w:rsidP="000E59D3">
      <w:pPr>
        <w:ind w:left="360"/>
        <w:rPr>
          <w:bCs/>
          <w:sz w:val="22"/>
          <w:szCs w:val="22"/>
          <w:lang w:val="cs-CZ"/>
        </w:rPr>
      </w:pPr>
      <w:r w:rsidRPr="003D436B">
        <w:rPr>
          <w:bCs/>
          <w:sz w:val="22"/>
          <w:szCs w:val="22"/>
          <w:lang w:val="cs-CZ"/>
        </w:rPr>
        <w:t>(dále jen „Společnost Shell“)</w:t>
      </w:r>
    </w:p>
    <w:p w14:paraId="0C29F44F" w14:textId="77777777" w:rsidR="0028448A" w:rsidRPr="003D436B" w:rsidRDefault="0028448A">
      <w:pPr>
        <w:ind w:firstLine="360"/>
        <w:rPr>
          <w:sz w:val="22"/>
          <w:szCs w:val="22"/>
          <w:lang w:val="cs-CZ"/>
        </w:rPr>
      </w:pPr>
    </w:p>
    <w:p w14:paraId="408E2D47" w14:textId="77777777" w:rsidR="0028448A" w:rsidRPr="003D436B" w:rsidRDefault="0028448A">
      <w:pPr>
        <w:ind w:firstLine="360"/>
        <w:rPr>
          <w:bCs/>
          <w:sz w:val="22"/>
          <w:szCs w:val="22"/>
          <w:lang w:val="cs-CZ"/>
        </w:rPr>
      </w:pPr>
      <w:r w:rsidRPr="003D436B">
        <w:rPr>
          <w:bCs/>
          <w:sz w:val="22"/>
          <w:szCs w:val="22"/>
          <w:lang w:val="cs-CZ"/>
        </w:rPr>
        <w:t>a</w:t>
      </w:r>
    </w:p>
    <w:p w14:paraId="296BC793" w14:textId="77777777" w:rsidR="0028448A" w:rsidRPr="003D436B" w:rsidRDefault="0028448A">
      <w:pPr>
        <w:ind w:firstLine="360"/>
        <w:rPr>
          <w:b/>
          <w:bCs/>
          <w:sz w:val="22"/>
          <w:szCs w:val="22"/>
          <w:lang w:val="cs-CZ"/>
        </w:rPr>
      </w:pPr>
    </w:p>
    <w:p w14:paraId="26D41085" w14:textId="404D60A0" w:rsidR="0067666A" w:rsidRDefault="00E84396">
      <w:pPr>
        <w:ind w:left="360"/>
        <w:rPr>
          <w:sz w:val="22"/>
          <w:szCs w:val="22"/>
          <w:lang w:val="cs-CZ"/>
        </w:rPr>
      </w:pPr>
      <w:r w:rsidRPr="003D436B">
        <w:rPr>
          <w:b/>
          <w:bCs/>
          <w:sz w:val="22"/>
          <w:szCs w:val="22"/>
          <w:lang w:val="cs-CZ"/>
        </w:rPr>
        <w:t>Statutární město Pardubice</w:t>
      </w:r>
      <w:r w:rsidR="0028448A" w:rsidRPr="003D436B">
        <w:rPr>
          <w:b/>
          <w:sz w:val="22"/>
          <w:szCs w:val="22"/>
          <w:lang w:val="cs-CZ"/>
        </w:rPr>
        <w:br/>
      </w:r>
      <w:r w:rsidR="0028448A" w:rsidRPr="003D436B">
        <w:rPr>
          <w:sz w:val="22"/>
          <w:szCs w:val="22"/>
          <w:lang w:val="cs-CZ"/>
        </w:rPr>
        <w:t xml:space="preserve">se sídlem </w:t>
      </w:r>
      <w:r w:rsidRPr="003D436B">
        <w:rPr>
          <w:sz w:val="22"/>
          <w:szCs w:val="22"/>
          <w:lang w:val="cs-CZ"/>
        </w:rPr>
        <w:t>Pernštýnské náměstí 1,</w:t>
      </w:r>
      <w:r w:rsidR="001D47CF">
        <w:rPr>
          <w:sz w:val="22"/>
          <w:szCs w:val="22"/>
          <w:lang w:val="cs-CZ"/>
        </w:rPr>
        <w:t xml:space="preserve"> </w:t>
      </w:r>
      <w:r w:rsidRPr="003D436B">
        <w:rPr>
          <w:sz w:val="22"/>
          <w:szCs w:val="22"/>
          <w:lang w:val="cs-CZ"/>
        </w:rPr>
        <w:t>530 21 Pardubice</w:t>
      </w:r>
      <w:r w:rsidR="001D47CF">
        <w:rPr>
          <w:sz w:val="22"/>
          <w:szCs w:val="22"/>
          <w:lang w:val="cs-CZ"/>
        </w:rPr>
        <w:t xml:space="preserve"> I – Staré Město</w:t>
      </w:r>
      <w:r w:rsidR="0028448A" w:rsidRPr="003D436B">
        <w:rPr>
          <w:sz w:val="22"/>
          <w:szCs w:val="22"/>
          <w:lang w:val="cs-CZ"/>
        </w:rPr>
        <w:br/>
        <w:t>IČ</w:t>
      </w:r>
      <w:r w:rsidR="0067666A">
        <w:rPr>
          <w:sz w:val="22"/>
          <w:szCs w:val="22"/>
          <w:lang w:val="cs-CZ"/>
        </w:rPr>
        <w:t>O</w:t>
      </w:r>
      <w:r w:rsidR="0028448A" w:rsidRPr="003D436B">
        <w:rPr>
          <w:sz w:val="22"/>
          <w:szCs w:val="22"/>
          <w:lang w:val="cs-CZ"/>
        </w:rPr>
        <w:t xml:space="preserve">: </w:t>
      </w:r>
      <w:r w:rsidRPr="003D436B">
        <w:rPr>
          <w:sz w:val="22"/>
          <w:szCs w:val="22"/>
          <w:lang w:val="cs-CZ"/>
        </w:rPr>
        <w:t>00274046</w:t>
      </w:r>
      <w:r w:rsidR="0028448A" w:rsidRPr="003D436B">
        <w:rPr>
          <w:sz w:val="22"/>
          <w:szCs w:val="22"/>
          <w:lang w:val="cs-CZ"/>
        </w:rPr>
        <w:br/>
        <w:t xml:space="preserve">DIČ: </w:t>
      </w:r>
      <w:r w:rsidRPr="003D436B">
        <w:rPr>
          <w:sz w:val="22"/>
          <w:szCs w:val="22"/>
          <w:lang w:val="cs-CZ"/>
        </w:rPr>
        <w:t>CZ00274046</w:t>
      </w:r>
      <w:r w:rsidR="0028448A" w:rsidRPr="003D436B">
        <w:rPr>
          <w:sz w:val="22"/>
          <w:szCs w:val="22"/>
          <w:lang w:val="cs-CZ"/>
        </w:rPr>
        <w:br/>
      </w:r>
      <w:r w:rsidRPr="003D436B">
        <w:rPr>
          <w:sz w:val="22"/>
          <w:szCs w:val="22"/>
          <w:lang w:val="cs-CZ"/>
        </w:rPr>
        <w:t xml:space="preserve">zastoupená </w:t>
      </w:r>
      <w:r w:rsidR="0067666A">
        <w:rPr>
          <w:sz w:val="22"/>
          <w:szCs w:val="22"/>
          <w:lang w:val="cs-CZ"/>
        </w:rPr>
        <w:t xml:space="preserve">Ing. Martinem Charvátem, primátorem </w:t>
      </w:r>
    </w:p>
    <w:p w14:paraId="308A880C" w14:textId="77777777" w:rsidR="0028448A" w:rsidRPr="003D436B" w:rsidRDefault="0028448A">
      <w:pPr>
        <w:ind w:left="360"/>
        <w:rPr>
          <w:sz w:val="22"/>
          <w:szCs w:val="22"/>
          <w:lang w:val="cs-CZ"/>
        </w:rPr>
      </w:pPr>
      <w:r w:rsidRPr="003D436B">
        <w:rPr>
          <w:sz w:val="22"/>
          <w:szCs w:val="22"/>
          <w:lang w:val="cs-CZ"/>
        </w:rPr>
        <w:t>(dále jen „Hlavní držitel karty“)</w:t>
      </w:r>
      <w:r w:rsidRPr="003D436B">
        <w:rPr>
          <w:sz w:val="22"/>
          <w:szCs w:val="22"/>
          <w:lang w:val="cs-CZ"/>
        </w:rPr>
        <w:br/>
      </w:r>
    </w:p>
    <w:p w14:paraId="4D920402" w14:textId="77777777" w:rsidR="0028448A" w:rsidRPr="003D436B" w:rsidRDefault="0028448A">
      <w:pPr>
        <w:ind w:firstLine="360"/>
        <w:rPr>
          <w:sz w:val="22"/>
          <w:lang w:val="cs-CZ"/>
        </w:rPr>
      </w:pPr>
    </w:p>
    <w:p w14:paraId="75B09DC9" w14:textId="77777777" w:rsidR="0028448A" w:rsidRPr="003D436B" w:rsidRDefault="0028448A">
      <w:pPr>
        <w:ind w:firstLine="360"/>
        <w:rPr>
          <w:sz w:val="22"/>
          <w:lang w:val="cs-CZ"/>
        </w:rPr>
      </w:pPr>
    </w:p>
    <w:p w14:paraId="13A218CA" w14:textId="77777777" w:rsidR="0028448A" w:rsidRPr="003D436B" w:rsidRDefault="0028448A">
      <w:pPr>
        <w:ind w:firstLine="360"/>
        <w:rPr>
          <w:sz w:val="22"/>
          <w:lang w:val="cs-CZ"/>
        </w:rPr>
      </w:pPr>
    </w:p>
    <w:p w14:paraId="4C9DBF18" w14:textId="7380AB58" w:rsidR="0028448A" w:rsidRPr="003D436B" w:rsidRDefault="0028448A">
      <w:pPr>
        <w:ind w:firstLine="360"/>
        <w:rPr>
          <w:sz w:val="22"/>
          <w:lang w:val="cs-CZ"/>
        </w:rPr>
      </w:pPr>
      <w:r w:rsidRPr="003D436B">
        <w:rPr>
          <w:sz w:val="22"/>
          <w:lang w:val="cs-CZ"/>
        </w:rPr>
        <w:t>uzavřel</w:t>
      </w:r>
      <w:r w:rsidR="0067666A">
        <w:rPr>
          <w:sz w:val="22"/>
          <w:lang w:val="cs-CZ"/>
        </w:rPr>
        <w:t>y</w:t>
      </w:r>
      <w:r w:rsidRPr="003D436B">
        <w:rPr>
          <w:sz w:val="22"/>
          <w:lang w:val="cs-CZ"/>
        </w:rPr>
        <w:t xml:space="preserve"> níže uvedeného dne, měsíce a roku tuto </w:t>
      </w:r>
    </w:p>
    <w:p w14:paraId="5AB8E105" w14:textId="77777777" w:rsidR="0028448A" w:rsidRPr="003D436B" w:rsidRDefault="0028448A">
      <w:pPr>
        <w:rPr>
          <w:sz w:val="26"/>
          <w:lang w:val="cs-CZ"/>
        </w:rPr>
      </w:pPr>
    </w:p>
    <w:p w14:paraId="019D6CD7" w14:textId="77777777" w:rsidR="0028448A" w:rsidRPr="003D436B" w:rsidRDefault="0028448A">
      <w:pPr>
        <w:rPr>
          <w:sz w:val="26"/>
          <w:lang w:val="cs-CZ"/>
        </w:rPr>
      </w:pPr>
    </w:p>
    <w:p w14:paraId="0F65166D" w14:textId="77777777" w:rsidR="0028448A" w:rsidRPr="003D436B" w:rsidRDefault="0028448A">
      <w:pPr>
        <w:jc w:val="center"/>
        <w:rPr>
          <w:b/>
          <w:bCs/>
          <w:sz w:val="28"/>
          <w:lang w:val="cs-CZ"/>
        </w:rPr>
      </w:pPr>
      <w:r w:rsidRPr="003D436B">
        <w:rPr>
          <w:b/>
          <w:bCs/>
          <w:sz w:val="26"/>
          <w:lang w:val="cs-CZ"/>
        </w:rPr>
        <w:t>s m l o u v u    o    k a r t á c h    e u r o S h e l l   C a r d</w:t>
      </w:r>
    </w:p>
    <w:p w14:paraId="341A0E6B" w14:textId="77777777" w:rsidR="0028448A" w:rsidRPr="003D436B" w:rsidRDefault="0028448A">
      <w:pPr>
        <w:jc w:val="center"/>
        <w:rPr>
          <w:b/>
          <w:bCs/>
          <w:lang w:val="cs-CZ"/>
        </w:rPr>
      </w:pPr>
    </w:p>
    <w:p w14:paraId="66A7F466" w14:textId="77777777" w:rsidR="0028448A" w:rsidRPr="003D436B" w:rsidRDefault="0028448A">
      <w:pPr>
        <w:jc w:val="center"/>
        <w:rPr>
          <w:b/>
          <w:bCs/>
          <w:lang w:val="cs-CZ"/>
        </w:rPr>
      </w:pPr>
    </w:p>
    <w:p w14:paraId="5457E739" w14:textId="77777777" w:rsidR="0028448A" w:rsidRPr="003D436B" w:rsidRDefault="0028448A">
      <w:pPr>
        <w:pStyle w:val="Heading4"/>
        <w:rPr>
          <w:sz w:val="22"/>
        </w:rPr>
      </w:pPr>
      <w:r w:rsidRPr="003D436B">
        <w:rPr>
          <w:sz w:val="22"/>
        </w:rPr>
        <w:t>Čl. I</w:t>
      </w:r>
    </w:p>
    <w:p w14:paraId="4B4E6919" w14:textId="77777777" w:rsidR="0028448A" w:rsidRPr="003D436B" w:rsidRDefault="0028448A">
      <w:pPr>
        <w:pStyle w:val="Heading4"/>
        <w:rPr>
          <w:sz w:val="22"/>
        </w:rPr>
      </w:pPr>
      <w:r w:rsidRPr="003D436B">
        <w:rPr>
          <w:sz w:val="22"/>
        </w:rPr>
        <w:t>Předmět smlouvy</w:t>
      </w:r>
    </w:p>
    <w:p w14:paraId="1A22B36F" w14:textId="77777777" w:rsidR="0028448A" w:rsidRPr="003D436B" w:rsidRDefault="0028448A">
      <w:pPr>
        <w:pStyle w:val="BodyTextIndent2"/>
      </w:pPr>
    </w:p>
    <w:p w14:paraId="404A6A83" w14:textId="77777777" w:rsidR="0028448A" w:rsidRPr="003D436B" w:rsidRDefault="0028448A">
      <w:pPr>
        <w:pStyle w:val="BodyTextIndent2"/>
      </w:pPr>
      <w:r w:rsidRPr="003D436B">
        <w:t>Společnost Shell se zavazuje zabezpečit vydání Karty/Karet Hlavnímu držiteli karty a vykonávat takové činnosti, aby Hlavnímu držiteli karty bylo umožněno nakupovat Dodávky na prodejních místech Účastníka programu karet euroShell prostřednictvím Karty a Hlavní držitel karty se zavazuje platit řádně a včas Poplatky za kartu a manipulační poplatky, jakož i cenu Dodávky.</w:t>
      </w:r>
    </w:p>
    <w:p w14:paraId="01E4FE7B" w14:textId="77777777" w:rsidR="0028448A" w:rsidRPr="003D436B" w:rsidRDefault="0028448A">
      <w:pPr>
        <w:rPr>
          <w:sz w:val="22"/>
          <w:lang w:val="cs-CZ"/>
        </w:rPr>
      </w:pPr>
    </w:p>
    <w:p w14:paraId="490374D2" w14:textId="77777777" w:rsidR="0028448A" w:rsidRPr="003D436B" w:rsidRDefault="0028448A">
      <w:pPr>
        <w:rPr>
          <w:sz w:val="22"/>
          <w:lang w:val="cs-CZ"/>
        </w:rPr>
      </w:pPr>
    </w:p>
    <w:p w14:paraId="24A588B7" w14:textId="77777777" w:rsidR="0028448A" w:rsidRPr="003D436B" w:rsidRDefault="0028448A">
      <w:pPr>
        <w:pStyle w:val="Heading3"/>
        <w:rPr>
          <w:sz w:val="22"/>
        </w:rPr>
      </w:pPr>
      <w:r w:rsidRPr="003D436B">
        <w:rPr>
          <w:sz w:val="22"/>
        </w:rPr>
        <w:t>Čl. II</w:t>
      </w:r>
    </w:p>
    <w:p w14:paraId="7D7A9896" w14:textId="77777777" w:rsidR="0028448A" w:rsidRPr="003D436B" w:rsidRDefault="0028448A">
      <w:pPr>
        <w:ind w:left="360"/>
        <w:jc w:val="center"/>
        <w:rPr>
          <w:b/>
          <w:bCs/>
          <w:sz w:val="22"/>
          <w:lang w:val="cs-CZ"/>
        </w:rPr>
      </w:pPr>
      <w:r w:rsidRPr="003D436B">
        <w:rPr>
          <w:b/>
          <w:bCs/>
          <w:sz w:val="22"/>
          <w:lang w:val="cs-CZ"/>
        </w:rPr>
        <w:t>Cena Dodávky a způsob jejího vyúčtování</w:t>
      </w:r>
    </w:p>
    <w:p w14:paraId="633CB6F7" w14:textId="77777777" w:rsidR="0028448A" w:rsidRPr="003D436B" w:rsidRDefault="0028448A">
      <w:pPr>
        <w:ind w:left="360"/>
        <w:jc w:val="center"/>
        <w:rPr>
          <w:b/>
          <w:bCs/>
          <w:sz w:val="22"/>
          <w:lang w:val="cs-CZ"/>
        </w:rPr>
      </w:pPr>
    </w:p>
    <w:p w14:paraId="2B4400F7" w14:textId="2A3A4B47" w:rsidR="0028448A" w:rsidRPr="003D436B" w:rsidRDefault="0028448A">
      <w:pPr>
        <w:pStyle w:val="BodyTextIndent"/>
        <w:numPr>
          <w:ilvl w:val="0"/>
          <w:numId w:val="1"/>
        </w:numPr>
        <w:rPr>
          <w:sz w:val="22"/>
        </w:rPr>
      </w:pPr>
      <w:r w:rsidRPr="003D436B">
        <w:rPr>
          <w:sz w:val="22"/>
        </w:rPr>
        <w:t xml:space="preserve">Pro vyúčtování ceny Dodávky je rozhodná cena Dodávky platná v okamžiku její realizace na prodejním místě Účastníka programu karet euroShell, pokud v příloze, která je nedílnou součástí této Smlouvy a připojuje se k ní jako Příloha č.2, není uvedeno jinak. </w:t>
      </w:r>
    </w:p>
    <w:p w14:paraId="6AE5D866" w14:textId="77777777" w:rsidR="0028448A" w:rsidRPr="003D436B" w:rsidRDefault="0028448A">
      <w:pPr>
        <w:pStyle w:val="BodyTextIndent"/>
        <w:numPr>
          <w:ilvl w:val="0"/>
          <w:numId w:val="1"/>
        </w:numPr>
        <w:rPr>
          <w:sz w:val="22"/>
        </w:rPr>
      </w:pPr>
      <w:r w:rsidRPr="003D436B">
        <w:rPr>
          <w:sz w:val="22"/>
        </w:rPr>
        <w:t>Zúčtovací interval pro fakturaci (čl.</w:t>
      </w:r>
      <w:r w:rsidR="00C733E0">
        <w:rPr>
          <w:sz w:val="22"/>
        </w:rPr>
        <w:t xml:space="preserve"> </w:t>
      </w:r>
      <w:r w:rsidRPr="003D436B">
        <w:rPr>
          <w:sz w:val="22"/>
        </w:rPr>
        <w:t>6.1. Podmínek) je uveden v Příloze č.2 Smlouvy.</w:t>
      </w:r>
    </w:p>
    <w:p w14:paraId="0EABA4A3" w14:textId="77777777" w:rsidR="0028448A" w:rsidRPr="003D436B" w:rsidRDefault="0028448A">
      <w:pPr>
        <w:pStyle w:val="BodyTextIndent"/>
        <w:rPr>
          <w:sz w:val="22"/>
        </w:rPr>
      </w:pPr>
    </w:p>
    <w:p w14:paraId="69D7C420" w14:textId="77777777" w:rsidR="0028448A" w:rsidRPr="003D436B" w:rsidRDefault="0028448A">
      <w:pPr>
        <w:pStyle w:val="BodyTextIndent"/>
        <w:rPr>
          <w:sz w:val="22"/>
        </w:rPr>
      </w:pPr>
    </w:p>
    <w:p w14:paraId="158BE156" w14:textId="77777777" w:rsidR="0028448A" w:rsidRPr="003D436B" w:rsidRDefault="0028448A">
      <w:pPr>
        <w:pStyle w:val="BodyTextIndent"/>
        <w:rPr>
          <w:sz w:val="22"/>
        </w:rPr>
      </w:pPr>
    </w:p>
    <w:p w14:paraId="32504E53" w14:textId="77777777" w:rsidR="0028448A" w:rsidRPr="003D436B" w:rsidRDefault="0028448A">
      <w:pPr>
        <w:pStyle w:val="BodyTextIndent"/>
        <w:rPr>
          <w:sz w:val="22"/>
        </w:rPr>
      </w:pPr>
    </w:p>
    <w:p w14:paraId="4DD994D4" w14:textId="77777777" w:rsidR="0028448A" w:rsidRPr="003D436B" w:rsidRDefault="0028448A">
      <w:pPr>
        <w:pStyle w:val="BodyTextIndent"/>
        <w:rPr>
          <w:sz w:val="22"/>
        </w:rPr>
      </w:pPr>
    </w:p>
    <w:p w14:paraId="2F2F5837" w14:textId="77777777" w:rsidR="0028448A" w:rsidRPr="003D436B" w:rsidRDefault="0028448A">
      <w:pPr>
        <w:pStyle w:val="BodyTextIndent"/>
        <w:rPr>
          <w:sz w:val="22"/>
        </w:rPr>
      </w:pPr>
    </w:p>
    <w:p w14:paraId="46580F98" w14:textId="77777777" w:rsidR="0028448A" w:rsidRPr="003D436B" w:rsidRDefault="0028448A">
      <w:pPr>
        <w:pStyle w:val="BodyTextIndent"/>
        <w:rPr>
          <w:sz w:val="22"/>
        </w:rPr>
      </w:pPr>
    </w:p>
    <w:p w14:paraId="3B5B1D59" w14:textId="77777777" w:rsidR="0028448A" w:rsidRPr="003D436B" w:rsidRDefault="0028448A">
      <w:pPr>
        <w:pStyle w:val="BodyTextIndent"/>
        <w:ind w:left="0"/>
        <w:jc w:val="center"/>
        <w:rPr>
          <w:b/>
          <w:bCs/>
          <w:sz w:val="22"/>
        </w:rPr>
      </w:pPr>
      <w:r w:rsidRPr="003D436B">
        <w:rPr>
          <w:b/>
          <w:bCs/>
          <w:sz w:val="22"/>
        </w:rPr>
        <w:lastRenderedPageBreak/>
        <w:t>Čl. III</w:t>
      </w:r>
    </w:p>
    <w:p w14:paraId="3181C516" w14:textId="77777777" w:rsidR="0028448A" w:rsidRPr="003D436B" w:rsidRDefault="0028448A">
      <w:pPr>
        <w:pStyle w:val="BodyTextIndent"/>
        <w:jc w:val="center"/>
        <w:rPr>
          <w:b/>
          <w:bCs/>
          <w:sz w:val="22"/>
        </w:rPr>
      </w:pPr>
      <w:r w:rsidRPr="003D436B">
        <w:rPr>
          <w:b/>
          <w:bCs/>
          <w:sz w:val="22"/>
        </w:rPr>
        <w:t>Poplatky za kartu a manipulační poplatky</w:t>
      </w:r>
    </w:p>
    <w:p w14:paraId="5A72AA18" w14:textId="77777777" w:rsidR="0028448A" w:rsidRPr="003D436B" w:rsidRDefault="0028448A">
      <w:pPr>
        <w:pStyle w:val="BodyTextIndent"/>
        <w:jc w:val="center"/>
        <w:rPr>
          <w:b/>
          <w:bCs/>
          <w:sz w:val="22"/>
        </w:rPr>
      </w:pPr>
    </w:p>
    <w:p w14:paraId="7BF43108" w14:textId="77777777" w:rsidR="0028448A" w:rsidRPr="003D436B" w:rsidRDefault="0028448A">
      <w:pPr>
        <w:pStyle w:val="BodyTextIndent"/>
        <w:rPr>
          <w:sz w:val="22"/>
        </w:rPr>
      </w:pPr>
      <w:r w:rsidRPr="003D436B">
        <w:rPr>
          <w:sz w:val="22"/>
        </w:rPr>
        <w:t>Výše Poplatků za kartu a manipulačních poplatků a způsob jejich vyúčtování jsou uvedeny v příloze, která je nedílnou součástí Smlouvy a připojuje se k ní jako Příloha č.3.</w:t>
      </w:r>
    </w:p>
    <w:p w14:paraId="620A09B3" w14:textId="77777777" w:rsidR="0028448A" w:rsidRPr="003D436B" w:rsidRDefault="0028448A">
      <w:pPr>
        <w:pStyle w:val="BodyTextIndent"/>
        <w:rPr>
          <w:sz w:val="22"/>
        </w:rPr>
      </w:pPr>
    </w:p>
    <w:p w14:paraId="3622F35E" w14:textId="77777777" w:rsidR="0028448A" w:rsidRPr="003D436B" w:rsidRDefault="0028448A">
      <w:pPr>
        <w:pStyle w:val="BodyTextIndent"/>
        <w:rPr>
          <w:sz w:val="22"/>
        </w:rPr>
      </w:pPr>
    </w:p>
    <w:p w14:paraId="75DF20BB" w14:textId="77777777" w:rsidR="0028448A" w:rsidRPr="003D436B" w:rsidRDefault="0028448A">
      <w:pPr>
        <w:pStyle w:val="BodyTextIndent"/>
        <w:jc w:val="center"/>
        <w:rPr>
          <w:b/>
          <w:bCs/>
          <w:sz w:val="22"/>
        </w:rPr>
      </w:pPr>
      <w:r w:rsidRPr="003D436B">
        <w:rPr>
          <w:b/>
          <w:bCs/>
          <w:sz w:val="22"/>
        </w:rPr>
        <w:t>Čl. IV</w:t>
      </w:r>
      <w:r w:rsidRPr="003D436B">
        <w:rPr>
          <w:b/>
          <w:bCs/>
          <w:sz w:val="22"/>
        </w:rPr>
        <w:br/>
        <w:t>Všeobecné obchodní podmínky pro vydávání a používání karty euroShell Card</w:t>
      </w:r>
    </w:p>
    <w:p w14:paraId="0BF79FFF" w14:textId="77777777" w:rsidR="0028448A" w:rsidRPr="003D436B" w:rsidRDefault="0028448A">
      <w:pPr>
        <w:pStyle w:val="BodyTextIndent"/>
        <w:rPr>
          <w:sz w:val="22"/>
        </w:rPr>
      </w:pPr>
    </w:p>
    <w:p w14:paraId="35C1A911" w14:textId="1966A375" w:rsidR="0028448A" w:rsidRDefault="0028448A" w:rsidP="00B844D7">
      <w:pPr>
        <w:pStyle w:val="BodyTextIndent"/>
        <w:numPr>
          <w:ilvl w:val="0"/>
          <w:numId w:val="20"/>
        </w:numPr>
        <w:rPr>
          <w:sz w:val="22"/>
        </w:rPr>
      </w:pPr>
      <w:r w:rsidRPr="003D436B">
        <w:rPr>
          <w:sz w:val="22"/>
        </w:rPr>
        <w:t>Pokud není ve Smlouvě a jejích Přílohách č.</w:t>
      </w:r>
      <w:r w:rsidR="000463EB">
        <w:rPr>
          <w:sz w:val="22"/>
        </w:rPr>
        <w:t xml:space="preserve"> </w:t>
      </w:r>
      <w:r w:rsidRPr="003D436B">
        <w:rPr>
          <w:sz w:val="22"/>
        </w:rPr>
        <w:t xml:space="preserve">2 až 3 výslovně uvedeno jinak, řídí se vydávání a používání Karet a další právní vztahy ze Smlouvy vyplývající a se Smlouvou související </w:t>
      </w:r>
      <w:r w:rsidR="00CC6266">
        <w:rPr>
          <w:sz w:val="22"/>
        </w:rPr>
        <w:t>Všeobecnými obchodními podmínkami (dále jen „</w:t>
      </w:r>
      <w:r w:rsidRPr="003D436B">
        <w:rPr>
          <w:sz w:val="22"/>
        </w:rPr>
        <w:t>Podmínk</w:t>
      </w:r>
      <w:r w:rsidR="00CC6266">
        <w:rPr>
          <w:sz w:val="22"/>
        </w:rPr>
        <w:t>y“)</w:t>
      </w:r>
      <w:r w:rsidRPr="003D436B">
        <w:rPr>
          <w:sz w:val="22"/>
        </w:rPr>
        <w:t>, které jsou uvedeny v příloze, jež je nedílnou součástí Smlouvy a připojuje se k ní jako Příloha č. 1.</w:t>
      </w:r>
    </w:p>
    <w:p w14:paraId="1DF427A6" w14:textId="77777777" w:rsidR="0028448A" w:rsidRPr="003D436B" w:rsidRDefault="0028448A">
      <w:pPr>
        <w:pStyle w:val="BodyTextIndent"/>
        <w:ind w:left="0"/>
        <w:rPr>
          <w:sz w:val="22"/>
        </w:rPr>
      </w:pPr>
    </w:p>
    <w:p w14:paraId="3AA1CBAB" w14:textId="77777777" w:rsidR="0028448A" w:rsidRPr="003D436B" w:rsidRDefault="0028448A">
      <w:pPr>
        <w:pStyle w:val="BodyTextIndent"/>
        <w:ind w:left="0"/>
        <w:rPr>
          <w:sz w:val="22"/>
        </w:rPr>
      </w:pPr>
    </w:p>
    <w:p w14:paraId="6C0F3A15" w14:textId="77777777" w:rsidR="0028448A" w:rsidRPr="003D436B" w:rsidRDefault="0028448A">
      <w:pPr>
        <w:pStyle w:val="BodyTextIndent"/>
        <w:ind w:left="0"/>
        <w:jc w:val="center"/>
        <w:rPr>
          <w:b/>
          <w:bCs/>
          <w:sz w:val="22"/>
        </w:rPr>
      </w:pPr>
      <w:r w:rsidRPr="003D436B">
        <w:rPr>
          <w:b/>
          <w:bCs/>
          <w:sz w:val="22"/>
        </w:rPr>
        <w:t>Čl. V</w:t>
      </w:r>
    </w:p>
    <w:p w14:paraId="1F34251A" w14:textId="77777777" w:rsidR="0028448A" w:rsidRPr="003D436B" w:rsidRDefault="0028448A">
      <w:pPr>
        <w:pStyle w:val="BodyTextIndent"/>
        <w:jc w:val="center"/>
        <w:rPr>
          <w:b/>
          <w:bCs/>
          <w:sz w:val="22"/>
        </w:rPr>
      </w:pPr>
      <w:r w:rsidRPr="003D436B">
        <w:rPr>
          <w:b/>
          <w:bCs/>
          <w:sz w:val="22"/>
        </w:rPr>
        <w:t>Platnost a účinnost Smlouvy</w:t>
      </w:r>
    </w:p>
    <w:p w14:paraId="2E801875" w14:textId="77777777" w:rsidR="0028448A" w:rsidRPr="003D436B" w:rsidRDefault="0028448A">
      <w:pPr>
        <w:pStyle w:val="BodyTextIndent"/>
        <w:jc w:val="center"/>
        <w:rPr>
          <w:b/>
          <w:bCs/>
          <w:sz w:val="22"/>
        </w:rPr>
      </w:pPr>
    </w:p>
    <w:p w14:paraId="03371B52" w14:textId="224C7286" w:rsidR="0028448A" w:rsidRDefault="0028448A">
      <w:pPr>
        <w:pStyle w:val="BodyTextIndent"/>
        <w:numPr>
          <w:ilvl w:val="0"/>
          <w:numId w:val="2"/>
        </w:numPr>
        <w:rPr>
          <w:sz w:val="22"/>
        </w:rPr>
      </w:pPr>
      <w:r w:rsidRPr="003D436B">
        <w:rPr>
          <w:sz w:val="22"/>
        </w:rPr>
        <w:t xml:space="preserve">Smlouva se uzavírá na dobu </w:t>
      </w:r>
      <w:r w:rsidR="00236152" w:rsidRPr="003D436B">
        <w:rPr>
          <w:sz w:val="22"/>
        </w:rPr>
        <w:t xml:space="preserve">určitou, a to </w:t>
      </w:r>
      <w:r w:rsidR="0048371D">
        <w:rPr>
          <w:sz w:val="22"/>
        </w:rPr>
        <w:t>na dobu 4</w:t>
      </w:r>
      <w:r w:rsidR="00627F10">
        <w:rPr>
          <w:sz w:val="22"/>
        </w:rPr>
        <w:t xml:space="preserve"> let od uzavření Smlouvy</w:t>
      </w:r>
      <w:r w:rsidRPr="003D436B">
        <w:rPr>
          <w:sz w:val="22"/>
        </w:rPr>
        <w:t>.</w:t>
      </w:r>
    </w:p>
    <w:p w14:paraId="741FD1F5" w14:textId="77777777" w:rsidR="00627F10" w:rsidRDefault="00627F10" w:rsidP="00627F10">
      <w:pPr>
        <w:pStyle w:val="BodyTextIndent"/>
        <w:numPr>
          <w:ilvl w:val="0"/>
          <w:numId w:val="2"/>
        </w:numPr>
        <w:rPr>
          <w:sz w:val="22"/>
        </w:rPr>
      </w:pPr>
      <w:r>
        <w:rPr>
          <w:sz w:val="22"/>
        </w:rPr>
        <w:t>Smlouva je uzavřena dnem jejího podpisu oběma smluvními stranami.</w:t>
      </w:r>
    </w:p>
    <w:p w14:paraId="03C6948D" w14:textId="77777777" w:rsidR="00627F10" w:rsidRPr="00F0230D" w:rsidRDefault="00627F10">
      <w:pPr>
        <w:pStyle w:val="BodyTextIndent"/>
        <w:numPr>
          <w:ilvl w:val="0"/>
          <w:numId w:val="2"/>
        </w:numPr>
        <w:rPr>
          <w:sz w:val="22"/>
        </w:rPr>
      </w:pPr>
      <w:r w:rsidRPr="00F0230D">
        <w:rPr>
          <w:sz w:val="22"/>
        </w:rPr>
        <w:t>Smlouva nabývá účinnosti dnem jejího uveřejnění v Registru smluv.</w:t>
      </w:r>
    </w:p>
    <w:p w14:paraId="7C8A8081" w14:textId="77777777" w:rsidR="0028448A" w:rsidRPr="00F0230D" w:rsidRDefault="0028448A">
      <w:pPr>
        <w:pStyle w:val="BodyTextIndent"/>
        <w:numPr>
          <w:ilvl w:val="0"/>
          <w:numId w:val="2"/>
        </w:numPr>
        <w:rPr>
          <w:sz w:val="22"/>
        </w:rPr>
      </w:pPr>
      <w:r w:rsidRPr="00F0230D">
        <w:rPr>
          <w:sz w:val="22"/>
        </w:rPr>
        <w:t>Pokud tato Smlouva nahrazuje dřívější smluvní ujednání a Hlavní držitel karty již obdržel Kartu/Karty a poskytl Společnosti Shell účinné zajištění, je tato Smlouva účinná dnem jejího podpisu oběma smluvními stranami.</w:t>
      </w:r>
    </w:p>
    <w:p w14:paraId="6870C494" w14:textId="2D0CE02B" w:rsidR="0028448A" w:rsidRDefault="0028448A">
      <w:pPr>
        <w:pStyle w:val="BodyTextIndent"/>
        <w:numPr>
          <w:ilvl w:val="0"/>
          <w:numId w:val="2"/>
        </w:numPr>
        <w:rPr>
          <w:sz w:val="22"/>
        </w:rPr>
      </w:pPr>
      <w:r w:rsidRPr="00F0230D">
        <w:rPr>
          <w:sz w:val="22"/>
        </w:rPr>
        <w:t>Pokud tato Smlouva nahrazuje dřívější smluvní ujednání</w:t>
      </w:r>
      <w:r w:rsidRPr="003D436B">
        <w:rPr>
          <w:sz w:val="22"/>
        </w:rPr>
        <w:t xml:space="preserve"> a Hlavní držitel karty již obdržel Kartu/Karty, avšak neposkytl Společnosti Shell doposud účinné zajištění, je tato Smlouva účinná dnem účinnosti takového zajištění. Neposkytne-li Hlavní držitel karty účinné zajištění do </w:t>
      </w:r>
      <w:proofErr w:type="gramStart"/>
      <w:r w:rsidR="00236152" w:rsidRPr="003D436B">
        <w:rPr>
          <w:sz w:val="22"/>
        </w:rPr>
        <w:t>15ti</w:t>
      </w:r>
      <w:proofErr w:type="gramEnd"/>
      <w:r w:rsidRPr="003D436B">
        <w:rPr>
          <w:sz w:val="22"/>
        </w:rPr>
        <w:t xml:space="preserve"> dnů od podpisu této </w:t>
      </w:r>
      <w:r w:rsidR="00C733E0">
        <w:rPr>
          <w:sz w:val="22"/>
        </w:rPr>
        <w:t>S</w:t>
      </w:r>
      <w:r w:rsidRPr="003D436B">
        <w:rPr>
          <w:sz w:val="22"/>
        </w:rPr>
        <w:t xml:space="preserve">mlouvy zaniká automaticky tato </w:t>
      </w:r>
      <w:r w:rsidR="00C733E0">
        <w:rPr>
          <w:sz w:val="22"/>
        </w:rPr>
        <w:t>S</w:t>
      </w:r>
      <w:r w:rsidRPr="003D436B">
        <w:rPr>
          <w:sz w:val="22"/>
        </w:rPr>
        <w:t xml:space="preserve">mlouva marným uplynutím této </w:t>
      </w:r>
      <w:r w:rsidR="00236152" w:rsidRPr="003D436B">
        <w:rPr>
          <w:sz w:val="22"/>
        </w:rPr>
        <w:t xml:space="preserve">patnáctidenní </w:t>
      </w:r>
      <w:r w:rsidRPr="003D436B">
        <w:rPr>
          <w:sz w:val="22"/>
        </w:rPr>
        <w:t>lhůty.</w:t>
      </w:r>
    </w:p>
    <w:p w14:paraId="49325B60" w14:textId="6200AE88" w:rsidR="00C94BE7" w:rsidRDefault="00C94BE7" w:rsidP="00627F10">
      <w:pPr>
        <w:pStyle w:val="ListParagraph"/>
        <w:numPr>
          <w:ilvl w:val="0"/>
          <w:numId w:val="2"/>
        </w:numPr>
        <w:rPr>
          <w:sz w:val="22"/>
          <w:lang w:val="cs-CZ"/>
        </w:rPr>
      </w:pPr>
      <w:r>
        <w:rPr>
          <w:sz w:val="22"/>
          <w:lang w:val="cs-CZ"/>
        </w:rPr>
        <w:t xml:space="preserve">Smluvní strany prohlašují, že plnění předmětu této Smlouvy </w:t>
      </w:r>
      <w:r w:rsidR="00932896">
        <w:rPr>
          <w:sz w:val="22"/>
          <w:lang w:val="cs-CZ"/>
        </w:rPr>
        <w:t xml:space="preserve">od uzavření </w:t>
      </w:r>
      <w:r w:rsidR="00C94588">
        <w:rPr>
          <w:sz w:val="22"/>
          <w:lang w:val="cs-CZ"/>
        </w:rPr>
        <w:t xml:space="preserve">této </w:t>
      </w:r>
      <w:r w:rsidR="00932896">
        <w:rPr>
          <w:sz w:val="22"/>
          <w:lang w:val="cs-CZ"/>
        </w:rPr>
        <w:t xml:space="preserve">Smlouvy </w:t>
      </w:r>
      <w:r w:rsidR="00C94588">
        <w:rPr>
          <w:sz w:val="22"/>
          <w:lang w:val="cs-CZ"/>
        </w:rPr>
        <w:t>do nabytí účinnosti</w:t>
      </w:r>
      <w:r>
        <w:rPr>
          <w:sz w:val="22"/>
          <w:lang w:val="cs-CZ"/>
        </w:rPr>
        <w:t xml:space="preserve"> této Smlouvy se považuje za plnění podle této Smlouvy a práva a povinnosti z něj vzniklé se řídí touto Smlouvou.</w:t>
      </w:r>
    </w:p>
    <w:p w14:paraId="2BE84426" w14:textId="77777777" w:rsidR="00627F10" w:rsidRPr="00627F10" w:rsidRDefault="00627F10" w:rsidP="00627F10">
      <w:pPr>
        <w:pStyle w:val="ListParagraph"/>
        <w:numPr>
          <w:ilvl w:val="0"/>
          <w:numId w:val="2"/>
        </w:numPr>
        <w:rPr>
          <w:sz w:val="22"/>
          <w:lang w:val="cs-CZ"/>
        </w:rPr>
      </w:pPr>
      <w:r w:rsidRPr="00627F10">
        <w:rPr>
          <w:sz w:val="22"/>
          <w:lang w:val="cs-CZ"/>
        </w:rPr>
        <w:t>Tato Smlouva je od počátku zrušena v případě, že nebyla uveřejněna prostřednictvím Registru smluv do 3 měsíců ode dne jejího uzavření.</w:t>
      </w:r>
    </w:p>
    <w:p w14:paraId="088B2A38" w14:textId="77777777" w:rsidR="00627F10" w:rsidRPr="003D436B" w:rsidRDefault="00627F10" w:rsidP="00D81655">
      <w:pPr>
        <w:pStyle w:val="BodyTextIndent"/>
        <w:ind w:left="0"/>
        <w:rPr>
          <w:sz w:val="22"/>
        </w:rPr>
      </w:pPr>
    </w:p>
    <w:p w14:paraId="5DDF5399" w14:textId="77777777" w:rsidR="0028448A" w:rsidRPr="003D436B" w:rsidRDefault="0028448A">
      <w:pPr>
        <w:pStyle w:val="BodyTextIndent"/>
        <w:rPr>
          <w:sz w:val="22"/>
        </w:rPr>
      </w:pPr>
    </w:p>
    <w:p w14:paraId="5B9709B2" w14:textId="77777777" w:rsidR="0028448A" w:rsidRPr="003D436B" w:rsidRDefault="0028448A">
      <w:pPr>
        <w:pStyle w:val="BodyTextIndent"/>
        <w:rPr>
          <w:sz w:val="22"/>
        </w:rPr>
      </w:pPr>
    </w:p>
    <w:p w14:paraId="4C5BC7D5" w14:textId="77777777" w:rsidR="0028448A" w:rsidRPr="003D436B" w:rsidRDefault="0028448A">
      <w:pPr>
        <w:pStyle w:val="Heading4"/>
        <w:rPr>
          <w:sz w:val="22"/>
        </w:rPr>
      </w:pPr>
      <w:r w:rsidRPr="003D436B">
        <w:rPr>
          <w:sz w:val="22"/>
        </w:rPr>
        <w:t>Čl. VI</w:t>
      </w:r>
    </w:p>
    <w:p w14:paraId="780E0BDE" w14:textId="77777777" w:rsidR="0028448A" w:rsidRPr="003D436B" w:rsidRDefault="0028448A">
      <w:pPr>
        <w:jc w:val="center"/>
        <w:rPr>
          <w:b/>
          <w:bCs/>
          <w:sz w:val="22"/>
          <w:lang w:val="cs-CZ"/>
        </w:rPr>
      </w:pPr>
      <w:r w:rsidRPr="003D436B">
        <w:rPr>
          <w:b/>
          <w:bCs/>
          <w:sz w:val="22"/>
          <w:lang w:val="cs-CZ"/>
        </w:rPr>
        <w:t>Ustanovení společná a závěrečná</w:t>
      </w:r>
    </w:p>
    <w:p w14:paraId="4DEA4D84" w14:textId="77777777" w:rsidR="0028448A" w:rsidRPr="003D436B" w:rsidRDefault="0028448A">
      <w:pPr>
        <w:jc w:val="center"/>
        <w:rPr>
          <w:b/>
          <w:bCs/>
          <w:sz w:val="22"/>
          <w:lang w:val="cs-CZ"/>
        </w:rPr>
      </w:pPr>
    </w:p>
    <w:p w14:paraId="30ACA32F" w14:textId="440CF0CA" w:rsidR="0028448A" w:rsidRPr="003D436B" w:rsidRDefault="0028448A">
      <w:pPr>
        <w:numPr>
          <w:ilvl w:val="0"/>
          <w:numId w:val="3"/>
        </w:numPr>
        <w:rPr>
          <w:sz w:val="22"/>
          <w:lang w:val="cs-CZ"/>
        </w:rPr>
      </w:pPr>
      <w:r w:rsidRPr="003D436B">
        <w:rPr>
          <w:sz w:val="22"/>
          <w:lang w:val="cs-CZ"/>
        </w:rPr>
        <w:t>Společnost Shell zašle Hlavnímu držiteli karty Kartu/</w:t>
      </w:r>
      <w:r w:rsidR="00326621">
        <w:rPr>
          <w:sz w:val="22"/>
          <w:lang w:val="cs-CZ"/>
        </w:rPr>
        <w:t>Karty bez zbytečného odkladu po</w:t>
      </w:r>
      <w:r w:rsidRPr="003D436B">
        <w:rPr>
          <w:sz w:val="22"/>
          <w:lang w:val="cs-CZ"/>
        </w:rPr>
        <w:t xml:space="preserve">té, kdy nastanou účinky zajištění, které Hlavní držitel karty dohodl se </w:t>
      </w:r>
      <w:r w:rsidRPr="000F0A9C">
        <w:rPr>
          <w:sz w:val="22"/>
          <w:lang w:val="cs-CZ"/>
        </w:rPr>
        <w:t>Společností Shell. Výše a forma zajištění jsou uvedeny v Příloze č.2</w:t>
      </w:r>
      <w:r w:rsidR="003D436B" w:rsidRPr="000F0A9C">
        <w:rPr>
          <w:sz w:val="22"/>
          <w:lang w:val="cs-CZ"/>
        </w:rPr>
        <w:t xml:space="preserve"> </w:t>
      </w:r>
      <w:r w:rsidRPr="000F0A9C">
        <w:rPr>
          <w:sz w:val="22"/>
          <w:lang w:val="cs-CZ"/>
        </w:rPr>
        <w:t>Smlouvy. Ustanovení čl.</w:t>
      </w:r>
      <w:r w:rsidR="00CC6266" w:rsidRPr="000F0A9C">
        <w:rPr>
          <w:sz w:val="22"/>
          <w:lang w:val="cs-CZ"/>
        </w:rPr>
        <w:t xml:space="preserve"> </w:t>
      </w:r>
      <w:r w:rsidRPr="000F0A9C">
        <w:rPr>
          <w:sz w:val="22"/>
          <w:lang w:val="cs-CZ"/>
        </w:rPr>
        <w:t>V odst.</w:t>
      </w:r>
      <w:r w:rsidR="00CC6266" w:rsidRPr="000F0A9C">
        <w:rPr>
          <w:sz w:val="22"/>
          <w:lang w:val="cs-CZ"/>
        </w:rPr>
        <w:t xml:space="preserve"> 4</w:t>
      </w:r>
      <w:r w:rsidRPr="000F0A9C">
        <w:rPr>
          <w:sz w:val="22"/>
          <w:lang w:val="cs-CZ"/>
        </w:rPr>
        <w:t xml:space="preserve">) a </w:t>
      </w:r>
      <w:r w:rsidR="00CC6266" w:rsidRPr="000F0A9C">
        <w:rPr>
          <w:sz w:val="22"/>
          <w:lang w:val="cs-CZ"/>
        </w:rPr>
        <w:t>5</w:t>
      </w:r>
      <w:r w:rsidRPr="000F0A9C">
        <w:rPr>
          <w:sz w:val="22"/>
          <w:lang w:val="cs-CZ"/>
        </w:rPr>
        <w:t>) Smlouvy</w:t>
      </w:r>
      <w:r w:rsidRPr="003D436B">
        <w:rPr>
          <w:sz w:val="22"/>
          <w:lang w:val="cs-CZ"/>
        </w:rPr>
        <w:t xml:space="preserve"> tím není dotčeno</w:t>
      </w:r>
      <w:r w:rsidR="00C733E0">
        <w:rPr>
          <w:sz w:val="22"/>
          <w:lang w:val="cs-CZ"/>
        </w:rPr>
        <w:t>.</w:t>
      </w:r>
    </w:p>
    <w:p w14:paraId="2EE54904" w14:textId="1BD46D1B" w:rsidR="0028448A" w:rsidRPr="003D436B" w:rsidRDefault="0028448A">
      <w:pPr>
        <w:numPr>
          <w:ilvl w:val="0"/>
          <w:numId w:val="3"/>
        </w:numPr>
        <w:rPr>
          <w:sz w:val="22"/>
          <w:lang w:val="cs-CZ"/>
        </w:rPr>
      </w:pPr>
      <w:r w:rsidRPr="003D436B">
        <w:rPr>
          <w:sz w:val="22"/>
          <w:lang w:val="cs-CZ"/>
        </w:rPr>
        <w:t xml:space="preserve">Veškerá slova, pojmy, výrazy uvedená v této </w:t>
      </w:r>
      <w:r w:rsidR="00C733E0">
        <w:rPr>
          <w:sz w:val="22"/>
          <w:lang w:val="cs-CZ"/>
        </w:rPr>
        <w:t>S</w:t>
      </w:r>
      <w:r w:rsidRPr="003D436B">
        <w:rPr>
          <w:sz w:val="22"/>
          <w:lang w:val="cs-CZ"/>
        </w:rPr>
        <w:t>mlouvě mající význam definic, mají význam uvedený v čl.1 Podmínek.</w:t>
      </w:r>
    </w:p>
    <w:p w14:paraId="2D2EF047" w14:textId="6E08F758" w:rsidR="00236152" w:rsidRPr="003D436B" w:rsidRDefault="00236152" w:rsidP="00236152">
      <w:pPr>
        <w:numPr>
          <w:ilvl w:val="0"/>
          <w:numId w:val="3"/>
        </w:numPr>
        <w:rPr>
          <w:sz w:val="22"/>
          <w:lang w:val="cs-CZ"/>
        </w:rPr>
      </w:pPr>
      <w:r w:rsidRPr="003D436B">
        <w:rPr>
          <w:sz w:val="22"/>
          <w:lang w:val="cs-CZ"/>
        </w:rPr>
        <w:t xml:space="preserve">Hlavní držitel karty, jakožto obec ve smyslu zákona č. 128/2000 Sb., zákon o obcích, tímto prohlašuje, že je oprávněn tuto </w:t>
      </w:r>
      <w:r w:rsidR="00627F10">
        <w:rPr>
          <w:sz w:val="22"/>
          <w:lang w:val="cs-CZ"/>
        </w:rPr>
        <w:t>S</w:t>
      </w:r>
      <w:r w:rsidRPr="003D436B">
        <w:rPr>
          <w:sz w:val="22"/>
          <w:lang w:val="cs-CZ"/>
        </w:rPr>
        <w:t>mlouvu uzavřít, k uzavření Smlouvy obdržel veškeré souhlasy, které jsou dle veřejného práva, zejména zákona č 128/2000 Sb., zákona obcích</w:t>
      </w:r>
      <w:r w:rsidR="00627F10">
        <w:rPr>
          <w:sz w:val="22"/>
          <w:lang w:val="cs-CZ"/>
        </w:rPr>
        <w:t>,</w:t>
      </w:r>
      <w:r w:rsidRPr="003D436B">
        <w:rPr>
          <w:sz w:val="22"/>
          <w:lang w:val="cs-CZ"/>
        </w:rPr>
        <w:t xml:space="preserve"> k uzavření této Smlouvy nezbytné a osoba pod</w:t>
      </w:r>
      <w:r w:rsidR="00CC6266">
        <w:rPr>
          <w:sz w:val="22"/>
          <w:lang w:val="cs-CZ"/>
        </w:rPr>
        <w:t>e</w:t>
      </w:r>
      <w:r w:rsidRPr="003D436B">
        <w:rPr>
          <w:sz w:val="22"/>
          <w:lang w:val="cs-CZ"/>
        </w:rPr>
        <w:t xml:space="preserve">pisující tuto Smlouvu je oprávněna za Hlavního držitele karty jednat. </w:t>
      </w:r>
    </w:p>
    <w:p w14:paraId="7CC494C1" w14:textId="77777777" w:rsidR="0028448A" w:rsidRPr="003D436B" w:rsidRDefault="0028448A">
      <w:pPr>
        <w:numPr>
          <w:ilvl w:val="0"/>
          <w:numId w:val="3"/>
        </w:numPr>
        <w:rPr>
          <w:sz w:val="22"/>
          <w:lang w:val="cs-CZ"/>
        </w:rPr>
      </w:pPr>
      <w:r w:rsidRPr="003D436B">
        <w:rPr>
          <w:sz w:val="22"/>
          <w:lang w:val="cs-CZ"/>
        </w:rPr>
        <w:t xml:space="preserve">Práva a povinnosti, které nejsou výslovně upraveny ve Smlouvě nebo v Podmínkách, řídí se příslušnými ustanoveními </w:t>
      </w:r>
      <w:r w:rsidR="002437F9" w:rsidRPr="003D436B">
        <w:rPr>
          <w:sz w:val="22"/>
          <w:lang w:val="cs-CZ"/>
        </w:rPr>
        <w:t>zákona č. 89/2012 Sb., občanského zákoníku</w:t>
      </w:r>
      <w:r w:rsidR="00627F10">
        <w:rPr>
          <w:sz w:val="22"/>
          <w:lang w:val="cs-CZ"/>
        </w:rPr>
        <w:t>,</w:t>
      </w:r>
      <w:r w:rsidR="002437F9" w:rsidRPr="003D436B">
        <w:rPr>
          <w:sz w:val="22"/>
          <w:lang w:val="cs-CZ"/>
        </w:rPr>
        <w:t xml:space="preserve"> v platném znění</w:t>
      </w:r>
      <w:r w:rsidRPr="003D436B">
        <w:rPr>
          <w:sz w:val="22"/>
          <w:lang w:val="cs-CZ"/>
        </w:rPr>
        <w:t>, jakož i dalšími předpisy platného českého práva.</w:t>
      </w:r>
    </w:p>
    <w:p w14:paraId="1C8B9C76" w14:textId="20F3E190" w:rsidR="0030543D" w:rsidRPr="003D436B" w:rsidRDefault="0030543D">
      <w:pPr>
        <w:numPr>
          <w:ilvl w:val="0"/>
          <w:numId w:val="3"/>
        </w:numPr>
        <w:rPr>
          <w:sz w:val="22"/>
          <w:lang w:val="cs-CZ"/>
        </w:rPr>
      </w:pPr>
      <w:r w:rsidRPr="003D436B">
        <w:rPr>
          <w:sz w:val="22"/>
          <w:lang w:val="cs-CZ"/>
        </w:rPr>
        <w:lastRenderedPageBreak/>
        <w:t xml:space="preserve">Smluvní strany se dohodly, že pro účely této </w:t>
      </w:r>
      <w:r w:rsidR="00627F10">
        <w:rPr>
          <w:sz w:val="22"/>
          <w:lang w:val="cs-CZ"/>
        </w:rPr>
        <w:t>S</w:t>
      </w:r>
      <w:r w:rsidRPr="003D436B">
        <w:rPr>
          <w:sz w:val="22"/>
          <w:lang w:val="cs-CZ"/>
        </w:rPr>
        <w:t>mlouvy vylučují ustanovení § 558 odst. 2, § 1751 odst. 2</w:t>
      </w:r>
      <w:r w:rsidR="00F11C89" w:rsidRPr="003D436B">
        <w:rPr>
          <w:sz w:val="22"/>
          <w:lang w:val="cs-CZ"/>
        </w:rPr>
        <w:t xml:space="preserve"> a § 1740 odst. 3 zákona č. 89/2012 Sb., občanského zákoníku.</w:t>
      </w:r>
    </w:p>
    <w:p w14:paraId="32FE2785" w14:textId="47212349" w:rsidR="00F11C89" w:rsidRPr="003D436B" w:rsidRDefault="00F11C89">
      <w:pPr>
        <w:numPr>
          <w:ilvl w:val="0"/>
          <w:numId w:val="3"/>
        </w:numPr>
        <w:rPr>
          <w:sz w:val="22"/>
          <w:lang w:val="cs-CZ"/>
        </w:rPr>
      </w:pPr>
      <w:r w:rsidRPr="003D436B">
        <w:rPr>
          <w:sz w:val="22"/>
          <w:lang w:val="cs-CZ"/>
        </w:rPr>
        <w:t>Hlavní držitel karty na sebe přebírá nebezpečí změny okolností v souladu s ustanovením § 1765 odst. 2 zákona č. 89/2012 Sb., občanského zákoníku.</w:t>
      </w:r>
    </w:p>
    <w:p w14:paraId="5B3EEC30" w14:textId="77777777" w:rsidR="0028448A" w:rsidRPr="003D436B" w:rsidRDefault="0028448A">
      <w:pPr>
        <w:numPr>
          <w:ilvl w:val="0"/>
          <w:numId w:val="3"/>
        </w:numPr>
        <w:rPr>
          <w:sz w:val="22"/>
          <w:lang w:val="cs-CZ"/>
        </w:rPr>
      </w:pPr>
      <w:r w:rsidRPr="003D436B">
        <w:rPr>
          <w:sz w:val="22"/>
          <w:lang w:val="cs-CZ"/>
        </w:rPr>
        <w:t>Smluvní strany se zavazují řešit všechny vzájemné spory, které by mezi nimi vznikly v souvislosti se Smlouvou vzájemným jednáním. Pokud takové spory nebudou jednáním řešitelné, aplikují se příslušná ustanovení Podmínek</w:t>
      </w:r>
      <w:r w:rsidR="0022453A">
        <w:rPr>
          <w:sz w:val="22"/>
          <w:lang w:val="cs-CZ"/>
        </w:rPr>
        <w:t>.</w:t>
      </w:r>
    </w:p>
    <w:p w14:paraId="17F7C33C" w14:textId="77777777" w:rsidR="004F73A6" w:rsidRPr="003D436B" w:rsidRDefault="0028448A" w:rsidP="004F73A6">
      <w:pPr>
        <w:numPr>
          <w:ilvl w:val="0"/>
          <w:numId w:val="3"/>
        </w:numPr>
        <w:rPr>
          <w:sz w:val="22"/>
          <w:lang w:val="cs-CZ"/>
        </w:rPr>
      </w:pPr>
      <w:r w:rsidRPr="003D436B">
        <w:rPr>
          <w:sz w:val="22"/>
          <w:lang w:val="cs-CZ"/>
        </w:rPr>
        <w:t xml:space="preserve">Tato Smlouva nahrazuje ode dne její účinnosti všechny předcházející smlouvy a dohody, které upravovaly vydávání, používání a další technické a právní otázky týkající se Karet. </w:t>
      </w:r>
    </w:p>
    <w:p w14:paraId="17098774" w14:textId="00CA41B0" w:rsidR="00627F10" w:rsidRDefault="00627F10" w:rsidP="00627F10">
      <w:pPr>
        <w:numPr>
          <w:ilvl w:val="0"/>
          <w:numId w:val="3"/>
        </w:numPr>
        <w:rPr>
          <w:sz w:val="22"/>
          <w:lang w:val="cs-CZ"/>
        </w:rPr>
      </w:pPr>
      <w:r>
        <w:rPr>
          <w:sz w:val="22"/>
          <w:lang w:val="cs-CZ"/>
        </w:rPr>
        <w:t>Smluvní strany tímto potvrzují, že ujednání obsažená v </w:t>
      </w:r>
      <w:bookmarkStart w:id="1" w:name="_Hlk513044292"/>
      <w:r>
        <w:rPr>
          <w:sz w:val="22"/>
          <w:lang w:val="cs-CZ"/>
        </w:rPr>
        <w:t>čl. II odst. 1) Smlouvy,</w:t>
      </w:r>
      <w:r w:rsidR="00E4429E">
        <w:rPr>
          <w:sz w:val="22"/>
          <w:lang w:val="cs-CZ"/>
        </w:rPr>
        <w:t xml:space="preserve"> odstavci 1</w:t>
      </w:r>
      <w:r>
        <w:rPr>
          <w:sz w:val="22"/>
          <w:lang w:val="cs-CZ"/>
        </w:rPr>
        <w:t xml:space="preserve"> Přílohy č. 2 a v Příloze č. 3 (včetně Adendu A) </w:t>
      </w:r>
      <w:bookmarkEnd w:id="1"/>
      <w:r>
        <w:rPr>
          <w:sz w:val="22"/>
          <w:lang w:val="cs-CZ"/>
        </w:rPr>
        <w:t xml:space="preserve">mají povahu obchodního tajemství. </w:t>
      </w:r>
    </w:p>
    <w:p w14:paraId="639E1886" w14:textId="77777777" w:rsidR="00627F10" w:rsidRPr="000D39B7" w:rsidRDefault="00627F10" w:rsidP="00627F10">
      <w:pPr>
        <w:numPr>
          <w:ilvl w:val="0"/>
          <w:numId w:val="3"/>
        </w:numPr>
        <w:rPr>
          <w:sz w:val="22"/>
          <w:lang w:val="cs-CZ"/>
        </w:rPr>
      </w:pPr>
      <w:r w:rsidRPr="000D39B7">
        <w:rPr>
          <w:sz w:val="22"/>
          <w:lang w:val="cs-CZ"/>
        </w:rPr>
        <w:t>Smluvní strany se dohodly na tom, že Hlavní držitel karty je povinen uveřejn</w:t>
      </w:r>
      <w:r>
        <w:rPr>
          <w:sz w:val="22"/>
          <w:lang w:val="cs-CZ"/>
        </w:rPr>
        <w:t>it tuto Smlouvu prostřednictvím</w:t>
      </w:r>
      <w:r w:rsidRPr="000D39B7">
        <w:rPr>
          <w:sz w:val="22"/>
          <w:lang w:val="cs-CZ"/>
        </w:rPr>
        <w:t xml:space="preserve"> Registru smluv, a to v souladu s platnými právními předpisy. Tuto povinnost je Hlavní držitel karty povinen s</w:t>
      </w:r>
      <w:r>
        <w:rPr>
          <w:sz w:val="22"/>
          <w:lang w:val="cs-CZ"/>
        </w:rPr>
        <w:t>plnit bez zbytečného odkladu po</w:t>
      </w:r>
      <w:r w:rsidRPr="000D39B7">
        <w:rPr>
          <w:sz w:val="22"/>
          <w:lang w:val="cs-CZ"/>
        </w:rPr>
        <w:t xml:space="preserve"> uzavření této Smlouvy, nejpozději však do 30 dnů ode dne jejího uzavření. Splnění této povinnosti je Hlavní držitel karty povinen prokázat Spol</w:t>
      </w:r>
      <w:r>
        <w:rPr>
          <w:sz w:val="22"/>
          <w:lang w:val="cs-CZ"/>
        </w:rPr>
        <w:t>ečnosti Shell, a to předložením</w:t>
      </w:r>
      <w:r w:rsidRPr="000D39B7">
        <w:rPr>
          <w:sz w:val="22"/>
          <w:lang w:val="cs-CZ"/>
        </w:rPr>
        <w:t xml:space="preserve"> potvrzení správce Registru smluv o uveřejnění této Smlouvy v Registru smluv. </w:t>
      </w:r>
    </w:p>
    <w:p w14:paraId="431FAD0A" w14:textId="77777777" w:rsidR="00627F10" w:rsidRPr="00627F10" w:rsidRDefault="00627F10">
      <w:pPr>
        <w:numPr>
          <w:ilvl w:val="0"/>
          <w:numId w:val="3"/>
        </w:numPr>
        <w:rPr>
          <w:sz w:val="22"/>
          <w:lang w:val="cs-CZ"/>
        </w:rPr>
      </w:pPr>
      <w:r w:rsidRPr="000D39B7">
        <w:rPr>
          <w:sz w:val="22"/>
          <w:lang w:val="cs-CZ"/>
        </w:rPr>
        <w:t>Shora uvedené ustanovení čl. VI o</w:t>
      </w:r>
      <w:r>
        <w:rPr>
          <w:sz w:val="22"/>
          <w:lang w:val="cs-CZ"/>
        </w:rPr>
        <w:t>dst. 10) Smlouvy se vztahuje i na veškeré</w:t>
      </w:r>
      <w:r w:rsidRPr="000D39B7">
        <w:rPr>
          <w:sz w:val="22"/>
          <w:lang w:val="cs-CZ"/>
        </w:rPr>
        <w:t xml:space="preserve"> dohody vztahující se k této Smlouvě, které jí doplňují, mění, nahrazují ne</w:t>
      </w:r>
      <w:r>
        <w:rPr>
          <w:sz w:val="22"/>
          <w:lang w:val="cs-CZ"/>
        </w:rPr>
        <w:t>bo ruší (zejména dodatky apod.).</w:t>
      </w:r>
    </w:p>
    <w:p w14:paraId="313E22BD" w14:textId="77777777" w:rsidR="0028448A" w:rsidRPr="003D436B" w:rsidRDefault="00236152" w:rsidP="004F73A6">
      <w:pPr>
        <w:numPr>
          <w:ilvl w:val="0"/>
          <w:numId w:val="3"/>
        </w:numPr>
        <w:rPr>
          <w:sz w:val="22"/>
          <w:lang w:val="cs-CZ"/>
        </w:rPr>
      </w:pPr>
      <w:r w:rsidRPr="003D436B">
        <w:rPr>
          <w:sz w:val="22"/>
          <w:lang w:val="cs-CZ"/>
        </w:rPr>
        <w:t xml:space="preserve">Tato Smlouva je vyhotovena v pěti </w:t>
      </w:r>
      <w:r w:rsidR="0028448A" w:rsidRPr="003D436B">
        <w:rPr>
          <w:sz w:val="22"/>
          <w:lang w:val="cs-CZ"/>
        </w:rPr>
        <w:t>výtiscích</w:t>
      </w:r>
      <w:r w:rsidR="007509EC" w:rsidRPr="003D436B">
        <w:rPr>
          <w:sz w:val="22"/>
          <w:lang w:val="cs-CZ"/>
        </w:rPr>
        <w:t>,</w:t>
      </w:r>
      <w:r w:rsidR="0028448A" w:rsidRPr="003D436B">
        <w:rPr>
          <w:sz w:val="22"/>
          <w:lang w:val="cs-CZ"/>
        </w:rPr>
        <w:t xml:space="preserve"> z nichž každý má povahu originálu. Hlavní držitel karty obdrží </w:t>
      </w:r>
      <w:r w:rsidRPr="003D436B">
        <w:rPr>
          <w:sz w:val="22"/>
          <w:lang w:val="cs-CZ"/>
        </w:rPr>
        <w:t>dva</w:t>
      </w:r>
      <w:r w:rsidR="0028448A" w:rsidRPr="003D436B">
        <w:rPr>
          <w:sz w:val="22"/>
          <w:lang w:val="cs-CZ"/>
        </w:rPr>
        <w:t xml:space="preserve"> výtisk</w:t>
      </w:r>
      <w:r w:rsidRPr="003D436B">
        <w:rPr>
          <w:sz w:val="22"/>
          <w:lang w:val="cs-CZ"/>
        </w:rPr>
        <w:t>y</w:t>
      </w:r>
      <w:r w:rsidR="0028448A" w:rsidRPr="003D436B">
        <w:rPr>
          <w:sz w:val="22"/>
          <w:lang w:val="cs-CZ"/>
        </w:rPr>
        <w:t xml:space="preserve"> </w:t>
      </w:r>
      <w:r w:rsidR="00CC6266">
        <w:rPr>
          <w:sz w:val="22"/>
          <w:lang w:val="cs-CZ"/>
        </w:rPr>
        <w:t xml:space="preserve">a </w:t>
      </w:r>
      <w:r w:rsidR="0028448A" w:rsidRPr="003D436B">
        <w:rPr>
          <w:sz w:val="22"/>
          <w:lang w:val="cs-CZ"/>
        </w:rPr>
        <w:t xml:space="preserve">Společnost Shell </w:t>
      </w:r>
      <w:r w:rsidR="00B82302" w:rsidRPr="003D436B">
        <w:rPr>
          <w:sz w:val="22"/>
          <w:lang w:val="cs-CZ"/>
        </w:rPr>
        <w:t>tři</w:t>
      </w:r>
      <w:r w:rsidR="0028448A" w:rsidRPr="003D436B">
        <w:rPr>
          <w:sz w:val="22"/>
          <w:lang w:val="cs-CZ"/>
        </w:rPr>
        <w:t xml:space="preserve"> výtisky.</w:t>
      </w:r>
    </w:p>
    <w:p w14:paraId="37C778CA" w14:textId="65F2CAF9" w:rsidR="0028448A" w:rsidRPr="003D436B" w:rsidRDefault="0028448A">
      <w:pPr>
        <w:numPr>
          <w:ilvl w:val="0"/>
          <w:numId w:val="3"/>
        </w:numPr>
        <w:rPr>
          <w:sz w:val="22"/>
          <w:lang w:val="cs-CZ"/>
        </w:rPr>
      </w:pPr>
      <w:r w:rsidRPr="003D436B">
        <w:rPr>
          <w:sz w:val="22"/>
          <w:lang w:val="cs-CZ"/>
        </w:rPr>
        <w:t>Smlouva má tyto přílohy:</w:t>
      </w:r>
      <w:r w:rsidRPr="003D436B">
        <w:rPr>
          <w:sz w:val="22"/>
          <w:lang w:val="cs-CZ"/>
        </w:rPr>
        <w:br/>
        <w:t>Příloha č.1 - Všeobecné obchodní podmínky pro vydávání a používání karty</w:t>
      </w:r>
      <w:r w:rsidR="00CC6266">
        <w:rPr>
          <w:sz w:val="22"/>
          <w:lang w:val="cs-CZ"/>
        </w:rPr>
        <w:t xml:space="preserve"> </w:t>
      </w:r>
      <w:r w:rsidRPr="003D436B">
        <w:rPr>
          <w:sz w:val="22"/>
          <w:lang w:val="cs-CZ"/>
        </w:rPr>
        <w:t>euroShell Card</w:t>
      </w:r>
      <w:r w:rsidR="00CC6266">
        <w:rPr>
          <w:sz w:val="22"/>
          <w:lang w:val="cs-CZ"/>
        </w:rPr>
        <w:t>;</w:t>
      </w:r>
      <w:r w:rsidRPr="003D436B">
        <w:rPr>
          <w:sz w:val="22"/>
          <w:lang w:val="cs-CZ"/>
        </w:rPr>
        <w:br/>
        <w:t>Příloha č.2 – Zvláštní ujednání</w:t>
      </w:r>
      <w:r w:rsidR="00CC6266">
        <w:rPr>
          <w:sz w:val="22"/>
          <w:lang w:val="cs-CZ"/>
        </w:rPr>
        <w:t>; a</w:t>
      </w:r>
      <w:r w:rsidRPr="003D436B">
        <w:rPr>
          <w:sz w:val="22"/>
          <w:lang w:val="cs-CZ"/>
        </w:rPr>
        <w:br/>
        <w:t>Příloha č.3 – Ceník placených služeb</w:t>
      </w:r>
      <w:r w:rsidR="00CC6266">
        <w:rPr>
          <w:sz w:val="22"/>
          <w:lang w:val="cs-CZ"/>
        </w:rPr>
        <w:t>.</w:t>
      </w:r>
    </w:p>
    <w:p w14:paraId="7A71A5D6" w14:textId="77777777" w:rsidR="0028448A" w:rsidRPr="003D436B" w:rsidRDefault="0028448A">
      <w:pPr>
        <w:numPr>
          <w:ilvl w:val="0"/>
          <w:numId w:val="3"/>
        </w:numPr>
        <w:rPr>
          <w:sz w:val="22"/>
          <w:lang w:val="cs-CZ"/>
        </w:rPr>
      </w:pPr>
      <w:r w:rsidRPr="003D436B">
        <w:rPr>
          <w:sz w:val="22"/>
          <w:lang w:val="cs-CZ"/>
        </w:rPr>
        <w:t>Zástupci obou stran této Smlouvy výslovně prohlašují, že (i) Smlouva vyjadřuje jejich pravou, vážnou a svobodnou vůli, (ii) Smlouva nebyla ujednána v tísni ani za nápadně nevýhodných podmínek, (iii) jsou oprávněni Smlouvu podepsat jménem stran, které zastupují.</w:t>
      </w:r>
    </w:p>
    <w:p w14:paraId="74F3F561" w14:textId="77777777" w:rsidR="0028448A" w:rsidRPr="003D436B" w:rsidRDefault="0028448A">
      <w:pPr>
        <w:rPr>
          <w:sz w:val="22"/>
          <w:lang w:val="cs-CZ"/>
        </w:rPr>
      </w:pPr>
    </w:p>
    <w:p w14:paraId="0E4F5948" w14:textId="629F0C09" w:rsidR="0028448A" w:rsidRDefault="0028448A">
      <w:pPr>
        <w:spacing w:after="120"/>
        <w:jc w:val="both"/>
        <w:rPr>
          <w:sz w:val="22"/>
          <w:lang w:val="cs-CZ"/>
        </w:rPr>
      </w:pPr>
    </w:p>
    <w:p w14:paraId="0A9DABCF" w14:textId="77777777" w:rsidR="00F41ACE" w:rsidRPr="003D436B" w:rsidRDefault="00F41ACE">
      <w:pPr>
        <w:spacing w:after="120"/>
        <w:jc w:val="both"/>
        <w:rPr>
          <w:lang w:val="cs-CZ"/>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794"/>
        <w:gridCol w:w="5386"/>
      </w:tblGrid>
      <w:tr w:rsidR="0028448A" w:rsidRPr="003D436B" w14:paraId="4B87731A" w14:textId="77777777" w:rsidTr="00951BDA">
        <w:tc>
          <w:tcPr>
            <w:tcW w:w="3794" w:type="dxa"/>
            <w:tcBorders>
              <w:top w:val="nil"/>
              <w:left w:val="nil"/>
              <w:bottom w:val="nil"/>
              <w:right w:val="nil"/>
            </w:tcBorders>
          </w:tcPr>
          <w:p w14:paraId="1520D8C7" w14:textId="77777777" w:rsidR="0028448A" w:rsidRPr="00D81655" w:rsidRDefault="0028448A" w:rsidP="00F41ACE">
            <w:pPr>
              <w:tabs>
                <w:tab w:val="left" w:pos="0"/>
              </w:tabs>
              <w:ind w:right="-108"/>
              <w:rPr>
                <w:sz w:val="22"/>
                <w:lang w:val="cs-CZ"/>
              </w:rPr>
            </w:pPr>
            <w:r w:rsidRPr="00D81655">
              <w:rPr>
                <w:sz w:val="22"/>
                <w:lang w:val="cs-CZ"/>
              </w:rPr>
              <w:t xml:space="preserve">V Praze dne </w:t>
            </w:r>
            <w:r w:rsidR="00002C9A" w:rsidRPr="00D81655">
              <w:rPr>
                <w:sz w:val="22"/>
                <w:lang w:val="cs-CZ"/>
              </w:rPr>
              <w:fldChar w:fldCharType="begin">
                <w:ffData>
                  <w:name w:val="Text78"/>
                  <w:enabled/>
                  <w:calcOnExit w:val="0"/>
                  <w:textInput/>
                </w:ffData>
              </w:fldChar>
            </w:r>
            <w:r w:rsidRPr="00D81655">
              <w:rPr>
                <w:sz w:val="22"/>
                <w:lang w:val="cs-CZ"/>
              </w:rPr>
              <w:instrText xml:space="preserve"> FORMTEXT </w:instrText>
            </w:r>
            <w:r w:rsidR="00002C9A" w:rsidRPr="00D81655">
              <w:rPr>
                <w:sz w:val="22"/>
                <w:lang w:val="cs-CZ"/>
              </w:rPr>
            </w:r>
            <w:r w:rsidR="00002C9A" w:rsidRPr="00D81655">
              <w:rPr>
                <w:sz w:val="22"/>
                <w:lang w:val="cs-CZ"/>
              </w:rPr>
              <w:fldChar w:fldCharType="separate"/>
            </w:r>
            <w:bookmarkStart w:id="2" w:name="OpenAt"/>
            <w:r w:rsidR="00026788" w:rsidRPr="00D81655">
              <w:rPr>
                <w:sz w:val="22"/>
                <w:lang w:val="cs-CZ"/>
              </w:rPr>
              <w:t> </w:t>
            </w:r>
            <w:r w:rsidR="00026788" w:rsidRPr="00D81655">
              <w:rPr>
                <w:sz w:val="22"/>
                <w:lang w:val="cs-CZ"/>
              </w:rPr>
              <w:t> </w:t>
            </w:r>
            <w:r w:rsidR="00026788" w:rsidRPr="00D81655">
              <w:rPr>
                <w:sz w:val="22"/>
                <w:lang w:val="cs-CZ"/>
              </w:rPr>
              <w:t> </w:t>
            </w:r>
            <w:r w:rsidR="00026788" w:rsidRPr="00D81655">
              <w:rPr>
                <w:sz w:val="22"/>
                <w:lang w:val="cs-CZ"/>
              </w:rPr>
              <w:t> </w:t>
            </w:r>
            <w:r w:rsidR="00026788" w:rsidRPr="00D81655">
              <w:rPr>
                <w:sz w:val="22"/>
                <w:lang w:val="cs-CZ"/>
              </w:rPr>
              <w:t> </w:t>
            </w:r>
            <w:bookmarkEnd w:id="2"/>
            <w:r w:rsidR="00002C9A" w:rsidRPr="00D81655">
              <w:rPr>
                <w:sz w:val="22"/>
                <w:lang w:val="cs-CZ"/>
              </w:rPr>
              <w:fldChar w:fldCharType="end"/>
            </w:r>
          </w:p>
        </w:tc>
        <w:tc>
          <w:tcPr>
            <w:tcW w:w="5386" w:type="dxa"/>
            <w:tcBorders>
              <w:top w:val="nil"/>
              <w:left w:val="nil"/>
              <w:bottom w:val="nil"/>
              <w:right w:val="nil"/>
            </w:tcBorders>
          </w:tcPr>
          <w:p w14:paraId="282917EC" w14:textId="77777777" w:rsidR="00026788" w:rsidRPr="00D81655" w:rsidRDefault="0028448A" w:rsidP="00F41ACE">
            <w:pPr>
              <w:ind w:left="742" w:right="-675"/>
              <w:jc w:val="both"/>
              <w:rPr>
                <w:sz w:val="22"/>
                <w:lang w:val="cs-CZ"/>
              </w:rPr>
            </w:pPr>
            <w:r w:rsidRPr="00D81655">
              <w:rPr>
                <w:sz w:val="22"/>
                <w:lang w:val="cs-CZ"/>
              </w:rPr>
              <w:t>V</w:t>
            </w:r>
            <w:r w:rsidR="00236152" w:rsidRPr="00D81655">
              <w:rPr>
                <w:sz w:val="22"/>
                <w:lang w:val="cs-CZ"/>
              </w:rPr>
              <w:t xml:space="preserve"> Pardubicích</w:t>
            </w:r>
            <w:r w:rsidRPr="00D81655">
              <w:rPr>
                <w:sz w:val="22"/>
                <w:lang w:val="cs-CZ"/>
              </w:rPr>
              <w:t xml:space="preserve"> dne </w:t>
            </w:r>
            <w:r w:rsidR="00002C9A" w:rsidRPr="00D81655">
              <w:rPr>
                <w:sz w:val="22"/>
                <w:lang w:val="cs-CZ"/>
              </w:rPr>
              <w:fldChar w:fldCharType="begin">
                <w:ffData>
                  <w:name w:val="Text80"/>
                  <w:enabled/>
                  <w:calcOnExit w:val="0"/>
                  <w:textInput/>
                </w:ffData>
              </w:fldChar>
            </w:r>
            <w:r w:rsidRPr="00D81655">
              <w:rPr>
                <w:sz w:val="22"/>
                <w:lang w:val="cs-CZ"/>
              </w:rPr>
              <w:instrText xml:space="preserve"> FORMTEXT </w:instrText>
            </w:r>
            <w:r w:rsidR="00002C9A" w:rsidRPr="00D81655">
              <w:rPr>
                <w:sz w:val="22"/>
                <w:lang w:val="cs-CZ"/>
              </w:rPr>
            </w:r>
            <w:r w:rsidR="00002C9A" w:rsidRPr="00D81655">
              <w:rPr>
                <w:sz w:val="22"/>
                <w:lang w:val="cs-CZ"/>
              </w:rPr>
              <w:fldChar w:fldCharType="separate"/>
            </w:r>
            <w:r w:rsidRPr="00D81655">
              <w:rPr>
                <w:noProof/>
                <w:sz w:val="22"/>
                <w:lang w:val="cs-CZ"/>
              </w:rPr>
              <w:t> </w:t>
            </w:r>
            <w:r w:rsidRPr="00D81655">
              <w:rPr>
                <w:noProof/>
                <w:sz w:val="22"/>
                <w:lang w:val="cs-CZ"/>
              </w:rPr>
              <w:t> </w:t>
            </w:r>
            <w:r w:rsidRPr="00D81655">
              <w:rPr>
                <w:noProof/>
                <w:sz w:val="22"/>
                <w:lang w:val="cs-CZ"/>
              </w:rPr>
              <w:t> </w:t>
            </w:r>
            <w:r w:rsidRPr="00D81655">
              <w:rPr>
                <w:noProof/>
                <w:sz w:val="22"/>
                <w:lang w:val="cs-CZ"/>
              </w:rPr>
              <w:t> </w:t>
            </w:r>
            <w:r w:rsidRPr="00D81655">
              <w:rPr>
                <w:noProof/>
                <w:sz w:val="22"/>
                <w:lang w:val="cs-CZ"/>
              </w:rPr>
              <w:t> </w:t>
            </w:r>
            <w:r w:rsidR="00002C9A" w:rsidRPr="00D81655">
              <w:rPr>
                <w:sz w:val="22"/>
                <w:lang w:val="cs-CZ"/>
              </w:rPr>
              <w:fldChar w:fldCharType="end"/>
            </w:r>
          </w:p>
        </w:tc>
      </w:tr>
      <w:tr w:rsidR="00703C68" w:rsidRPr="003D436B" w14:paraId="1112DCC4" w14:textId="77777777" w:rsidTr="00951BDA">
        <w:tc>
          <w:tcPr>
            <w:tcW w:w="3794" w:type="dxa"/>
            <w:tcBorders>
              <w:top w:val="nil"/>
              <w:left w:val="nil"/>
              <w:bottom w:val="nil"/>
              <w:right w:val="nil"/>
            </w:tcBorders>
          </w:tcPr>
          <w:p w14:paraId="26579965" w14:textId="77777777" w:rsidR="00703C68" w:rsidRPr="00D81655" w:rsidRDefault="00703C68" w:rsidP="00F41ACE">
            <w:pPr>
              <w:tabs>
                <w:tab w:val="left" w:pos="0"/>
              </w:tabs>
              <w:ind w:right="-108"/>
              <w:rPr>
                <w:sz w:val="22"/>
                <w:lang w:val="cs-CZ"/>
              </w:rPr>
            </w:pPr>
          </w:p>
          <w:p w14:paraId="09A46F38" w14:textId="4710BF6E" w:rsidR="00703C68" w:rsidRDefault="00703C68" w:rsidP="00F41ACE">
            <w:pPr>
              <w:tabs>
                <w:tab w:val="left" w:pos="0"/>
              </w:tabs>
              <w:ind w:right="-108"/>
              <w:rPr>
                <w:sz w:val="22"/>
                <w:lang w:val="cs-CZ"/>
              </w:rPr>
            </w:pPr>
          </w:p>
          <w:p w14:paraId="688CBAAC" w14:textId="79E23EE8" w:rsidR="00F41ACE" w:rsidRDefault="00F41ACE" w:rsidP="00F41ACE">
            <w:pPr>
              <w:tabs>
                <w:tab w:val="left" w:pos="0"/>
              </w:tabs>
              <w:ind w:right="-108"/>
              <w:rPr>
                <w:sz w:val="22"/>
                <w:lang w:val="cs-CZ"/>
              </w:rPr>
            </w:pPr>
          </w:p>
          <w:p w14:paraId="77945618" w14:textId="77777777" w:rsidR="00F41ACE" w:rsidRDefault="00F41ACE" w:rsidP="00F41ACE">
            <w:pPr>
              <w:tabs>
                <w:tab w:val="left" w:pos="0"/>
              </w:tabs>
              <w:ind w:right="-108"/>
              <w:rPr>
                <w:sz w:val="22"/>
                <w:lang w:val="cs-CZ"/>
              </w:rPr>
            </w:pPr>
          </w:p>
          <w:p w14:paraId="044B5B50" w14:textId="77777777" w:rsidR="00627F10" w:rsidRPr="00D81655" w:rsidRDefault="00627F10" w:rsidP="00F41ACE">
            <w:pPr>
              <w:tabs>
                <w:tab w:val="left" w:pos="0"/>
              </w:tabs>
              <w:ind w:right="-108"/>
              <w:rPr>
                <w:sz w:val="22"/>
                <w:lang w:val="cs-CZ"/>
              </w:rPr>
            </w:pPr>
            <w:r>
              <w:rPr>
                <w:sz w:val="22"/>
                <w:lang w:val="cs-CZ"/>
              </w:rPr>
              <w:t>……………………………..</w:t>
            </w:r>
          </w:p>
        </w:tc>
        <w:tc>
          <w:tcPr>
            <w:tcW w:w="5386" w:type="dxa"/>
            <w:tcBorders>
              <w:top w:val="nil"/>
              <w:left w:val="nil"/>
              <w:bottom w:val="nil"/>
              <w:right w:val="nil"/>
            </w:tcBorders>
          </w:tcPr>
          <w:p w14:paraId="59FAC6BB" w14:textId="77777777" w:rsidR="00703C68" w:rsidRDefault="00703C68" w:rsidP="00F41ACE">
            <w:pPr>
              <w:ind w:left="742" w:right="-675"/>
              <w:jc w:val="both"/>
              <w:rPr>
                <w:sz w:val="22"/>
                <w:lang w:val="cs-CZ"/>
              </w:rPr>
            </w:pPr>
          </w:p>
          <w:p w14:paraId="04A6D665" w14:textId="10B7D4D4" w:rsidR="00627F10" w:rsidRDefault="00627F10" w:rsidP="00F41ACE">
            <w:pPr>
              <w:ind w:left="742" w:right="-675"/>
              <w:jc w:val="both"/>
              <w:rPr>
                <w:sz w:val="22"/>
                <w:lang w:val="cs-CZ"/>
              </w:rPr>
            </w:pPr>
          </w:p>
          <w:p w14:paraId="776C7119" w14:textId="163BD31B" w:rsidR="00F41ACE" w:rsidRDefault="00F41ACE" w:rsidP="00F41ACE">
            <w:pPr>
              <w:ind w:left="742" w:right="-675"/>
              <w:jc w:val="both"/>
              <w:rPr>
                <w:sz w:val="22"/>
                <w:lang w:val="cs-CZ"/>
              </w:rPr>
            </w:pPr>
          </w:p>
          <w:p w14:paraId="101E7293" w14:textId="77777777" w:rsidR="00F41ACE" w:rsidRDefault="00F41ACE" w:rsidP="00F41ACE">
            <w:pPr>
              <w:ind w:left="742" w:right="-675"/>
              <w:jc w:val="both"/>
              <w:rPr>
                <w:sz w:val="22"/>
                <w:lang w:val="cs-CZ"/>
              </w:rPr>
            </w:pPr>
          </w:p>
          <w:p w14:paraId="0F7B87BB" w14:textId="77777777" w:rsidR="00627F10" w:rsidRPr="00D81655" w:rsidRDefault="00627F10" w:rsidP="00F41ACE">
            <w:pPr>
              <w:ind w:left="742" w:right="-675"/>
              <w:jc w:val="both"/>
              <w:rPr>
                <w:sz w:val="22"/>
                <w:lang w:val="cs-CZ"/>
              </w:rPr>
            </w:pPr>
            <w:r>
              <w:rPr>
                <w:sz w:val="22"/>
                <w:lang w:val="cs-CZ"/>
              </w:rPr>
              <w:t>…………………………….</w:t>
            </w:r>
          </w:p>
        </w:tc>
      </w:tr>
      <w:tr w:rsidR="00026788" w:rsidRPr="003D436B" w14:paraId="5369EB8D" w14:textId="77777777" w:rsidTr="00951BDA">
        <w:tc>
          <w:tcPr>
            <w:tcW w:w="3794" w:type="dxa"/>
            <w:tcBorders>
              <w:top w:val="nil"/>
              <w:left w:val="nil"/>
              <w:bottom w:val="nil"/>
              <w:right w:val="nil"/>
            </w:tcBorders>
          </w:tcPr>
          <w:p w14:paraId="1BABF7CA" w14:textId="77777777" w:rsidR="00026788" w:rsidRPr="00D81655" w:rsidRDefault="00026788" w:rsidP="00F41ACE">
            <w:pPr>
              <w:tabs>
                <w:tab w:val="left" w:pos="0"/>
              </w:tabs>
              <w:ind w:right="-108"/>
              <w:rPr>
                <w:sz w:val="22"/>
                <w:lang w:val="cs-CZ"/>
              </w:rPr>
            </w:pPr>
            <w:r w:rsidRPr="00D81655">
              <w:rPr>
                <w:sz w:val="22"/>
                <w:lang w:val="cs-CZ"/>
              </w:rPr>
              <w:t>Shell Czech Republic a.s.</w:t>
            </w:r>
          </w:p>
        </w:tc>
        <w:tc>
          <w:tcPr>
            <w:tcW w:w="5386" w:type="dxa"/>
            <w:tcBorders>
              <w:top w:val="nil"/>
              <w:left w:val="nil"/>
              <w:bottom w:val="nil"/>
              <w:right w:val="nil"/>
            </w:tcBorders>
          </w:tcPr>
          <w:p w14:paraId="2F4DB6C8" w14:textId="77777777" w:rsidR="00026788" w:rsidRPr="00D81655" w:rsidRDefault="000E59D3" w:rsidP="00F41ACE">
            <w:pPr>
              <w:ind w:left="742" w:right="-675"/>
              <w:jc w:val="both"/>
              <w:rPr>
                <w:sz w:val="22"/>
                <w:lang w:val="cs-CZ"/>
              </w:rPr>
            </w:pPr>
            <w:r w:rsidRPr="00D81655">
              <w:rPr>
                <w:sz w:val="22"/>
                <w:lang w:val="cs-CZ"/>
              </w:rPr>
              <w:t>Statutární město Pardubice</w:t>
            </w:r>
          </w:p>
        </w:tc>
      </w:tr>
      <w:tr w:rsidR="00703C68" w:rsidRPr="003D436B" w14:paraId="2A761CA7" w14:textId="77777777" w:rsidTr="00951BDA">
        <w:tc>
          <w:tcPr>
            <w:tcW w:w="3794" w:type="dxa"/>
            <w:tcBorders>
              <w:top w:val="nil"/>
              <w:left w:val="nil"/>
              <w:bottom w:val="nil"/>
              <w:right w:val="nil"/>
            </w:tcBorders>
          </w:tcPr>
          <w:p w14:paraId="0E2278B4" w14:textId="77777777" w:rsidR="00703C68" w:rsidRPr="00D81655" w:rsidRDefault="000E59D3" w:rsidP="00F41ACE">
            <w:pPr>
              <w:tabs>
                <w:tab w:val="left" w:pos="0"/>
              </w:tabs>
              <w:ind w:right="-108"/>
              <w:rPr>
                <w:sz w:val="22"/>
                <w:lang w:val="cs-CZ"/>
              </w:rPr>
            </w:pPr>
            <w:r w:rsidRPr="00D81655">
              <w:rPr>
                <w:sz w:val="22"/>
                <w:lang w:val="cs-CZ"/>
              </w:rPr>
              <w:t>Milan Pudich</w:t>
            </w:r>
          </w:p>
          <w:p w14:paraId="5B7D3907" w14:textId="77777777" w:rsidR="000E59D3" w:rsidRPr="00D81655" w:rsidRDefault="000E59D3" w:rsidP="00F41ACE">
            <w:pPr>
              <w:tabs>
                <w:tab w:val="left" w:pos="0"/>
              </w:tabs>
              <w:ind w:right="-108"/>
              <w:rPr>
                <w:sz w:val="22"/>
                <w:lang w:val="cs-CZ"/>
              </w:rPr>
            </w:pPr>
            <w:r w:rsidRPr="00D81655">
              <w:rPr>
                <w:sz w:val="22"/>
                <w:lang w:val="cs-CZ"/>
              </w:rPr>
              <w:t>Sales Manager Czech &amp; Slovakia</w:t>
            </w:r>
          </w:p>
          <w:p w14:paraId="6E019EC0" w14:textId="77777777" w:rsidR="000E59D3" w:rsidRPr="00D81655" w:rsidRDefault="000E59D3" w:rsidP="00F41ACE">
            <w:pPr>
              <w:tabs>
                <w:tab w:val="left" w:pos="0"/>
              </w:tabs>
              <w:ind w:right="-108"/>
              <w:rPr>
                <w:sz w:val="22"/>
                <w:lang w:val="cs-CZ"/>
              </w:rPr>
            </w:pPr>
            <w:r w:rsidRPr="00D81655">
              <w:rPr>
                <w:sz w:val="22"/>
                <w:lang w:val="cs-CZ"/>
              </w:rPr>
              <w:t>na základě pověření ze dne 21.12.2011</w:t>
            </w:r>
          </w:p>
        </w:tc>
        <w:tc>
          <w:tcPr>
            <w:tcW w:w="5386" w:type="dxa"/>
            <w:tcBorders>
              <w:top w:val="nil"/>
              <w:left w:val="nil"/>
              <w:bottom w:val="nil"/>
              <w:right w:val="nil"/>
            </w:tcBorders>
          </w:tcPr>
          <w:p w14:paraId="7BCCCD82" w14:textId="77777777" w:rsidR="00627F10" w:rsidRDefault="00627F10" w:rsidP="00F41ACE">
            <w:pPr>
              <w:ind w:left="742" w:right="-675"/>
              <w:jc w:val="both"/>
              <w:rPr>
                <w:sz w:val="22"/>
                <w:lang w:val="cs-CZ"/>
              </w:rPr>
            </w:pPr>
            <w:r>
              <w:rPr>
                <w:sz w:val="22"/>
                <w:lang w:val="cs-CZ"/>
              </w:rPr>
              <w:t>Ing. Martin Charvát</w:t>
            </w:r>
          </w:p>
          <w:p w14:paraId="336E5315" w14:textId="750EB38C" w:rsidR="000E59D3" w:rsidRPr="00D81655" w:rsidRDefault="00627F10" w:rsidP="00F41ACE">
            <w:pPr>
              <w:ind w:left="742" w:right="-675"/>
              <w:jc w:val="both"/>
              <w:rPr>
                <w:sz w:val="22"/>
                <w:lang w:val="cs-CZ"/>
              </w:rPr>
            </w:pPr>
            <w:r>
              <w:rPr>
                <w:sz w:val="22"/>
                <w:lang w:val="cs-CZ"/>
              </w:rPr>
              <w:t>primátor</w:t>
            </w:r>
          </w:p>
        </w:tc>
      </w:tr>
      <w:tr w:rsidR="00026788" w:rsidRPr="003D436B" w14:paraId="1D64B162" w14:textId="77777777" w:rsidTr="00951BDA">
        <w:tc>
          <w:tcPr>
            <w:tcW w:w="3794" w:type="dxa"/>
            <w:tcBorders>
              <w:top w:val="nil"/>
              <w:left w:val="nil"/>
              <w:bottom w:val="nil"/>
              <w:right w:val="nil"/>
            </w:tcBorders>
          </w:tcPr>
          <w:p w14:paraId="10360C36" w14:textId="77777777" w:rsidR="00026788" w:rsidRPr="003D436B" w:rsidRDefault="00026788" w:rsidP="00026788">
            <w:pPr>
              <w:tabs>
                <w:tab w:val="left" w:pos="0"/>
              </w:tabs>
              <w:spacing w:after="120"/>
              <w:ind w:right="-108"/>
              <w:rPr>
                <w:lang w:val="cs-CZ"/>
              </w:rPr>
            </w:pPr>
          </w:p>
        </w:tc>
        <w:tc>
          <w:tcPr>
            <w:tcW w:w="5386" w:type="dxa"/>
            <w:tcBorders>
              <w:top w:val="nil"/>
              <w:left w:val="nil"/>
              <w:bottom w:val="nil"/>
              <w:right w:val="nil"/>
            </w:tcBorders>
          </w:tcPr>
          <w:p w14:paraId="047F296B" w14:textId="77777777" w:rsidR="00026788" w:rsidRPr="003D436B" w:rsidRDefault="00026788" w:rsidP="00951BDA">
            <w:pPr>
              <w:spacing w:after="120"/>
              <w:ind w:left="742" w:right="-675"/>
              <w:jc w:val="both"/>
              <w:rPr>
                <w:lang w:val="cs-CZ"/>
              </w:rPr>
            </w:pPr>
          </w:p>
        </w:tc>
      </w:tr>
    </w:tbl>
    <w:p w14:paraId="0239755C" w14:textId="1E6ABEE9" w:rsidR="0028448A" w:rsidRPr="003D436B" w:rsidRDefault="0028448A" w:rsidP="00BC08F9">
      <w:pPr>
        <w:tabs>
          <w:tab w:val="left" w:pos="4536"/>
        </w:tabs>
        <w:ind w:firstLine="360"/>
        <w:rPr>
          <w:b/>
          <w:bCs/>
          <w:i/>
          <w:iCs/>
          <w:lang w:val="cs-CZ"/>
        </w:rPr>
      </w:pPr>
      <w:r w:rsidRPr="003D436B">
        <w:rPr>
          <w:sz w:val="22"/>
          <w:lang w:val="cs-CZ"/>
        </w:rPr>
        <w:br w:type="column"/>
      </w:r>
      <w:r w:rsidR="00BC08F9">
        <w:rPr>
          <w:sz w:val="22"/>
          <w:lang w:val="cs-CZ"/>
        </w:rPr>
        <w:lastRenderedPageBreak/>
        <w:tab/>
      </w:r>
      <w:r w:rsidRPr="003D436B">
        <w:rPr>
          <w:lang w:val="cs-CZ"/>
        </w:rPr>
        <w:tab/>
      </w:r>
      <w:r w:rsidRPr="003D436B">
        <w:rPr>
          <w:lang w:val="cs-CZ"/>
        </w:rPr>
        <w:tab/>
      </w:r>
      <w:r w:rsidRPr="003D436B">
        <w:rPr>
          <w:lang w:val="cs-CZ"/>
        </w:rPr>
        <w:tab/>
      </w:r>
      <w:r w:rsidRPr="003D436B">
        <w:rPr>
          <w:lang w:val="cs-CZ"/>
        </w:rPr>
        <w:tab/>
      </w:r>
      <w:r w:rsidRPr="003D436B">
        <w:rPr>
          <w:lang w:val="cs-CZ"/>
        </w:rPr>
        <w:tab/>
      </w:r>
      <w:r w:rsidRPr="003D436B">
        <w:rPr>
          <w:b/>
          <w:bCs/>
          <w:i/>
          <w:iCs/>
          <w:lang w:val="cs-CZ"/>
        </w:rPr>
        <w:t>Příloha č.2</w:t>
      </w:r>
    </w:p>
    <w:p w14:paraId="7157F5BA" w14:textId="77777777" w:rsidR="0028448A" w:rsidRPr="003D436B" w:rsidRDefault="0028448A">
      <w:pPr>
        <w:rPr>
          <w:rFonts w:ascii="Arial" w:hAnsi="Arial" w:cs="Arial"/>
          <w:i/>
          <w:iCs/>
          <w:sz w:val="16"/>
          <w:lang w:val="cs-CZ"/>
        </w:rPr>
      </w:pPr>
    </w:p>
    <w:p w14:paraId="567AE053" w14:textId="77777777" w:rsidR="0028448A" w:rsidRPr="003D436B" w:rsidRDefault="0028448A">
      <w:pPr>
        <w:rPr>
          <w:rFonts w:ascii="Arial" w:hAnsi="Arial" w:cs="Arial"/>
          <w:i/>
          <w:iCs/>
          <w:sz w:val="16"/>
          <w:lang w:val="cs-CZ"/>
        </w:rPr>
      </w:pPr>
    </w:p>
    <w:p w14:paraId="42FCB561" w14:textId="77777777" w:rsidR="0028448A" w:rsidRPr="003D436B" w:rsidRDefault="0028448A">
      <w:pPr>
        <w:jc w:val="center"/>
        <w:rPr>
          <w:b/>
          <w:bCs/>
          <w:sz w:val="28"/>
          <w:lang w:val="cs-CZ"/>
        </w:rPr>
      </w:pPr>
    </w:p>
    <w:p w14:paraId="73C73349" w14:textId="77777777" w:rsidR="003D436B" w:rsidRPr="003D436B" w:rsidRDefault="003D436B" w:rsidP="003D436B">
      <w:pPr>
        <w:jc w:val="center"/>
        <w:rPr>
          <w:b/>
          <w:i/>
          <w:sz w:val="28"/>
          <w:szCs w:val="28"/>
          <w:u w:val="single"/>
          <w:lang w:val="cs-CZ"/>
        </w:rPr>
      </w:pPr>
      <w:r w:rsidRPr="003D436B">
        <w:rPr>
          <w:b/>
          <w:i/>
          <w:sz w:val="28"/>
          <w:szCs w:val="28"/>
          <w:u w:val="single"/>
          <w:lang w:val="cs-CZ"/>
        </w:rPr>
        <w:t>Zvláštní ujednání</w:t>
      </w:r>
    </w:p>
    <w:p w14:paraId="0EEACFFE" w14:textId="77777777" w:rsidR="003D436B" w:rsidRPr="00D81655" w:rsidRDefault="003D436B" w:rsidP="003D436B">
      <w:pPr>
        <w:jc w:val="both"/>
        <w:rPr>
          <w:b/>
          <w:sz w:val="22"/>
          <w:szCs w:val="22"/>
          <w:lang w:val="cs-CZ"/>
        </w:rPr>
      </w:pPr>
    </w:p>
    <w:p w14:paraId="445AD5F0" w14:textId="77777777" w:rsidR="000F0A9C" w:rsidRDefault="000F0A9C" w:rsidP="00F05AB0">
      <w:pPr>
        <w:pStyle w:val="BodyTextIndent"/>
        <w:ind w:left="0"/>
        <w:jc w:val="both"/>
        <w:rPr>
          <w:b/>
          <w:sz w:val="22"/>
          <w:szCs w:val="22"/>
        </w:rPr>
      </w:pPr>
    </w:p>
    <w:p w14:paraId="78634780" w14:textId="585330F8" w:rsidR="00F05AB0" w:rsidRPr="00D81655" w:rsidRDefault="0048371D" w:rsidP="00F05AB0">
      <w:pPr>
        <w:pStyle w:val="BodyTextIndent"/>
        <w:ind w:left="0"/>
        <w:jc w:val="both"/>
        <w:rPr>
          <w:b/>
          <w:sz w:val="22"/>
          <w:szCs w:val="22"/>
        </w:rPr>
      </w:pPr>
      <w:r>
        <w:rPr>
          <w:b/>
          <w:sz w:val="22"/>
          <w:szCs w:val="22"/>
        </w:rPr>
        <w:t>1</w:t>
      </w:r>
      <w:r w:rsidR="00F05AB0" w:rsidRPr="00D81655">
        <w:rPr>
          <w:b/>
          <w:sz w:val="22"/>
          <w:szCs w:val="22"/>
        </w:rPr>
        <w:t>. Sleva, Cena</w:t>
      </w:r>
    </w:p>
    <w:p w14:paraId="13BAFDAD" w14:textId="77777777" w:rsidR="00F05AB0" w:rsidRPr="00D81655" w:rsidRDefault="00F05AB0" w:rsidP="00F05AB0">
      <w:pPr>
        <w:pStyle w:val="BodyTextIndent"/>
        <w:jc w:val="both"/>
        <w:rPr>
          <w:sz w:val="22"/>
          <w:szCs w:val="22"/>
        </w:rPr>
      </w:pPr>
    </w:p>
    <w:p w14:paraId="07A29936" w14:textId="4F6A84F7" w:rsidR="00F05AB0" w:rsidRPr="000F0A9C" w:rsidRDefault="00F05AB0" w:rsidP="000F0A9C">
      <w:pPr>
        <w:pStyle w:val="ListParagraph"/>
        <w:numPr>
          <w:ilvl w:val="0"/>
          <w:numId w:val="22"/>
        </w:numPr>
        <w:jc w:val="both"/>
        <w:rPr>
          <w:sz w:val="22"/>
          <w:szCs w:val="22"/>
          <w:lang w:val="cs-CZ"/>
        </w:rPr>
      </w:pPr>
      <w:r w:rsidRPr="000F0A9C">
        <w:rPr>
          <w:sz w:val="22"/>
          <w:szCs w:val="22"/>
          <w:lang w:val="cs-CZ"/>
        </w:rPr>
        <w:t>Společnost Shell vyhlásí cenu pohonných hmot Shell FuelSave Diesel a Shell FuelSave Natural 95 na následující týden vždy v pondělí nebo, pokud je pondělí státní svátek nebo den pracovního volna, vždy první následující pracovní den, s platností ode dne následujícího. Platnost ceny je kalendářní týden. Informace o ceně bude Hlavnímu držiteli karty sdělována e-mailem nebo faxem. Společnost Shell je oprávněna upravovat ceny i v průběhu tohoto kalendářního týdne. O takovýchto změnách je Společnost Shell povinna informovat Hlavního držitele karty e-mailem nebo faxem. Takováto změna ceny je platná od prvního dne následujícího po dni zaslání informace Hlavnímu držiteli karty. Od této ceny bude odečítána sleva ve výši 1,40 Kč bez DPH za každý litr pohonných hmot Shell FuelSave Diesel a Shell FuelSave Natural 95 odebraný na čerpacích stanicích provozovaných pod značkou Shell v České republice.</w:t>
      </w:r>
    </w:p>
    <w:p w14:paraId="03DC6B69" w14:textId="77777777" w:rsidR="00F05AB0" w:rsidRPr="00D81655" w:rsidRDefault="00F05AB0" w:rsidP="00F05AB0">
      <w:pPr>
        <w:jc w:val="both"/>
        <w:rPr>
          <w:sz w:val="22"/>
          <w:szCs w:val="22"/>
          <w:lang w:val="cs-CZ"/>
        </w:rPr>
      </w:pPr>
    </w:p>
    <w:p w14:paraId="3A1156DD" w14:textId="29D59BA7" w:rsidR="00F05AB0" w:rsidRPr="000F0A9C" w:rsidRDefault="00F05AB0" w:rsidP="000F0A9C">
      <w:pPr>
        <w:pStyle w:val="ListParagraph"/>
        <w:numPr>
          <w:ilvl w:val="0"/>
          <w:numId w:val="22"/>
        </w:numPr>
        <w:jc w:val="both"/>
        <w:rPr>
          <w:sz w:val="22"/>
          <w:szCs w:val="22"/>
          <w:lang w:val="cs-CZ"/>
        </w:rPr>
      </w:pPr>
      <w:r w:rsidRPr="000F0A9C">
        <w:rPr>
          <w:sz w:val="22"/>
          <w:szCs w:val="22"/>
          <w:lang w:val="cs-CZ"/>
        </w:rPr>
        <w:t xml:space="preserve">V souvislosti s čl. II odst. 1 </w:t>
      </w:r>
      <w:r w:rsidR="00B844D7" w:rsidRPr="000F0A9C">
        <w:rPr>
          <w:sz w:val="22"/>
          <w:szCs w:val="22"/>
          <w:lang w:val="cs-CZ"/>
        </w:rPr>
        <w:t xml:space="preserve">Smlouvy </w:t>
      </w:r>
      <w:r w:rsidRPr="000F0A9C">
        <w:rPr>
          <w:sz w:val="22"/>
          <w:szCs w:val="22"/>
          <w:lang w:val="cs-CZ"/>
        </w:rPr>
        <w:t>a s ohledem na celkový předpokládaný objem Dodávek, se strany Smlouvy dohodly na poskytování slevy ve výši 1,40 Kč bez DPH za každý litr pohonných hmot Shell V-Power 95, Shell V-Power Racing 100 a Shell V-Power Diesel odebraný na čerpacích stanicích provozovaných pod značkou Shell v České republice.</w:t>
      </w:r>
    </w:p>
    <w:p w14:paraId="463E2D35" w14:textId="77777777" w:rsidR="00F05AB0" w:rsidRPr="00D81655" w:rsidRDefault="00F05AB0" w:rsidP="00F05AB0">
      <w:pPr>
        <w:jc w:val="both"/>
        <w:rPr>
          <w:sz w:val="22"/>
          <w:szCs w:val="22"/>
          <w:lang w:val="cs-CZ"/>
        </w:rPr>
      </w:pPr>
    </w:p>
    <w:p w14:paraId="5A592AAF" w14:textId="66EC1E94" w:rsidR="00F05AB0" w:rsidRPr="000F0A9C" w:rsidRDefault="00B844D7" w:rsidP="000F0A9C">
      <w:pPr>
        <w:pStyle w:val="ListParagraph"/>
        <w:numPr>
          <w:ilvl w:val="0"/>
          <w:numId w:val="22"/>
        </w:numPr>
        <w:jc w:val="both"/>
        <w:rPr>
          <w:sz w:val="22"/>
          <w:szCs w:val="22"/>
          <w:lang w:val="cs-CZ"/>
        </w:rPr>
      </w:pPr>
      <w:r w:rsidRPr="000F0A9C">
        <w:rPr>
          <w:sz w:val="22"/>
          <w:szCs w:val="22"/>
          <w:lang w:val="cs-CZ"/>
        </w:rPr>
        <w:t xml:space="preserve">S ohledem na poskytované slevy </w:t>
      </w:r>
      <w:proofErr w:type="gramStart"/>
      <w:r w:rsidRPr="000F0A9C">
        <w:rPr>
          <w:sz w:val="22"/>
          <w:szCs w:val="22"/>
          <w:lang w:val="cs-CZ"/>
        </w:rPr>
        <w:t>se</w:t>
      </w:r>
      <w:proofErr w:type="gramEnd"/>
      <w:r w:rsidRPr="000F0A9C">
        <w:rPr>
          <w:sz w:val="22"/>
          <w:szCs w:val="22"/>
          <w:lang w:val="cs-CZ"/>
        </w:rPr>
        <w:t xml:space="preserve"> strany Smlouvy dohodly, že naturální sleva prostřednictvím programu SMART nebude poskytována.</w:t>
      </w:r>
    </w:p>
    <w:p w14:paraId="63940218" w14:textId="77777777" w:rsidR="003D436B" w:rsidRPr="00D81655" w:rsidRDefault="003D436B" w:rsidP="003D436B">
      <w:pPr>
        <w:jc w:val="both"/>
        <w:rPr>
          <w:b/>
          <w:sz w:val="22"/>
          <w:szCs w:val="22"/>
          <w:lang w:val="cs-CZ"/>
        </w:rPr>
      </w:pPr>
    </w:p>
    <w:p w14:paraId="57DB1761" w14:textId="4CFCD7E2" w:rsidR="0048371D" w:rsidRPr="0048371D" w:rsidRDefault="0048371D" w:rsidP="0048371D">
      <w:pPr>
        <w:jc w:val="both"/>
        <w:rPr>
          <w:b/>
          <w:sz w:val="22"/>
          <w:szCs w:val="22"/>
          <w:lang w:val="cs-CZ"/>
        </w:rPr>
      </w:pPr>
      <w:r>
        <w:rPr>
          <w:b/>
          <w:sz w:val="22"/>
          <w:szCs w:val="22"/>
          <w:lang w:val="cs-CZ"/>
        </w:rPr>
        <w:t>2</w:t>
      </w:r>
      <w:r w:rsidR="003D436B" w:rsidRPr="00D81655">
        <w:rPr>
          <w:b/>
          <w:sz w:val="22"/>
          <w:szCs w:val="22"/>
          <w:lang w:val="cs-CZ"/>
        </w:rPr>
        <w:t xml:space="preserve">. </w:t>
      </w:r>
      <w:r w:rsidRPr="0048371D">
        <w:rPr>
          <w:b/>
          <w:sz w:val="22"/>
          <w:szCs w:val="22"/>
          <w:lang w:val="cs-CZ"/>
        </w:rPr>
        <w:t xml:space="preserve">Fakturační období  </w:t>
      </w:r>
    </w:p>
    <w:p w14:paraId="0B1CB8FC" w14:textId="7219787D" w:rsidR="0048371D" w:rsidRPr="0048371D" w:rsidRDefault="0048371D" w:rsidP="0048371D">
      <w:pPr>
        <w:ind w:left="284"/>
        <w:jc w:val="both"/>
        <w:rPr>
          <w:sz w:val="22"/>
          <w:szCs w:val="22"/>
          <w:lang w:val="cs-CZ"/>
        </w:rPr>
      </w:pPr>
      <w:r w:rsidRPr="0048371D">
        <w:rPr>
          <w:sz w:val="22"/>
          <w:szCs w:val="22"/>
          <w:lang w:val="cs-CZ"/>
        </w:rPr>
        <w:t>Zúčtovací interval pro fakturaci je z</w:t>
      </w:r>
      <w:r>
        <w:rPr>
          <w:sz w:val="22"/>
          <w:szCs w:val="22"/>
          <w:lang w:val="cs-CZ"/>
        </w:rPr>
        <w:t>a Dodávky jak v České republice,</w:t>
      </w:r>
      <w:r w:rsidRPr="0048371D">
        <w:rPr>
          <w:sz w:val="22"/>
          <w:szCs w:val="22"/>
          <w:lang w:val="cs-CZ"/>
        </w:rPr>
        <w:t xml:space="preserve"> tak i mimo ú</w:t>
      </w:r>
      <w:r>
        <w:rPr>
          <w:sz w:val="22"/>
          <w:szCs w:val="22"/>
          <w:lang w:val="cs-CZ"/>
        </w:rPr>
        <w:t xml:space="preserve">zemí České republiky k 1. - 17 </w:t>
      </w:r>
      <w:r w:rsidRPr="0048371D">
        <w:rPr>
          <w:sz w:val="22"/>
          <w:szCs w:val="22"/>
          <w:lang w:val="cs-CZ"/>
        </w:rPr>
        <w:t>dni v měsíci.</w:t>
      </w:r>
    </w:p>
    <w:p w14:paraId="1149A4A5" w14:textId="225A6547" w:rsidR="0048758D" w:rsidRPr="0048371D" w:rsidRDefault="0048371D" w:rsidP="0048371D">
      <w:pPr>
        <w:ind w:left="284"/>
        <w:jc w:val="both"/>
        <w:rPr>
          <w:sz w:val="22"/>
          <w:szCs w:val="22"/>
          <w:lang w:val="cs-CZ"/>
        </w:rPr>
      </w:pPr>
      <w:r w:rsidRPr="0048371D">
        <w:rPr>
          <w:sz w:val="22"/>
          <w:szCs w:val="22"/>
          <w:lang w:val="cs-CZ"/>
        </w:rPr>
        <w:t>V případě, že z technických nebo jiných důvodů nebude možné zahrnout všechny uskutečněné transakce provedené prostřednictvím Karty</w:t>
      </w:r>
      <w:r>
        <w:rPr>
          <w:sz w:val="22"/>
          <w:szCs w:val="22"/>
          <w:lang w:val="cs-CZ"/>
        </w:rPr>
        <w:t xml:space="preserve"> do příslušné fakturace</w:t>
      </w:r>
      <w:r w:rsidRPr="0048371D">
        <w:rPr>
          <w:sz w:val="22"/>
          <w:szCs w:val="22"/>
          <w:lang w:val="cs-CZ"/>
        </w:rPr>
        <w:t>, Společnost Shell je oprávněna zahrnout takovéto transakce i do následujících fakturací.</w:t>
      </w:r>
    </w:p>
    <w:p w14:paraId="3E3A02A4" w14:textId="77777777" w:rsidR="003D436B" w:rsidRPr="00D81655" w:rsidRDefault="003D436B" w:rsidP="003D436B">
      <w:pPr>
        <w:jc w:val="both"/>
        <w:rPr>
          <w:b/>
          <w:sz w:val="22"/>
          <w:szCs w:val="22"/>
          <w:lang w:val="cs-CZ"/>
        </w:rPr>
      </w:pPr>
    </w:p>
    <w:p w14:paraId="34A3B1A1" w14:textId="1651CED7" w:rsidR="003D436B" w:rsidRPr="0048371D" w:rsidRDefault="0048371D" w:rsidP="003D436B">
      <w:pPr>
        <w:jc w:val="both"/>
        <w:rPr>
          <w:b/>
          <w:sz w:val="22"/>
          <w:szCs w:val="22"/>
          <w:lang w:val="cs-CZ"/>
        </w:rPr>
      </w:pPr>
      <w:r>
        <w:rPr>
          <w:b/>
          <w:sz w:val="22"/>
          <w:szCs w:val="22"/>
          <w:lang w:val="cs-CZ"/>
        </w:rPr>
        <w:t>3</w:t>
      </w:r>
      <w:r w:rsidR="003D436B" w:rsidRPr="00D81655">
        <w:rPr>
          <w:b/>
          <w:sz w:val="22"/>
          <w:szCs w:val="22"/>
          <w:lang w:val="cs-CZ"/>
        </w:rPr>
        <w:t>. Doba splatnosti</w:t>
      </w:r>
    </w:p>
    <w:p w14:paraId="06E2320D" w14:textId="013CCD93" w:rsidR="003D436B" w:rsidRPr="0048371D" w:rsidRDefault="003D436B" w:rsidP="0048371D">
      <w:pPr>
        <w:ind w:left="284"/>
        <w:jc w:val="both"/>
        <w:rPr>
          <w:sz w:val="22"/>
          <w:szCs w:val="22"/>
          <w:lang w:val="cs-CZ"/>
        </w:rPr>
      </w:pPr>
      <w:r w:rsidRPr="0048371D">
        <w:rPr>
          <w:sz w:val="22"/>
          <w:szCs w:val="22"/>
          <w:lang w:val="cs-CZ"/>
        </w:rPr>
        <w:t>Smluvní strany se dohodly, že splatnost faktury je 21 dnů ode dne jejího vystavení, datum vystavení faktury je uveden</w:t>
      </w:r>
      <w:r w:rsidR="00B058AF" w:rsidRPr="0048371D">
        <w:rPr>
          <w:sz w:val="22"/>
          <w:szCs w:val="22"/>
          <w:lang w:val="cs-CZ"/>
        </w:rPr>
        <w:t>o</w:t>
      </w:r>
      <w:r w:rsidRPr="0048371D">
        <w:rPr>
          <w:sz w:val="22"/>
          <w:szCs w:val="22"/>
          <w:lang w:val="cs-CZ"/>
        </w:rPr>
        <w:t xml:space="preserve"> na faktuře.</w:t>
      </w:r>
    </w:p>
    <w:p w14:paraId="2EA6D7EB" w14:textId="77777777" w:rsidR="003D436B" w:rsidRPr="00D81655" w:rsidRDefault="003D436B" w:rsidP="00B844D7">
      <w:pPr>
        <w:jc w:val="both"/>
        <w:rPr>
          <w:sz w:val="22"/>
          <w:szCs w:val="22"/>
          <w:lang w:val="cs-CZ"/>
        </w:rPr>
      </w:pPr>
    </w:p>
    <w:p w14:paraId="51B618E1" w14:textId="14A7208D" w:rsidR="003D436B" w:rsidRPr="00B844D7" w:rsidRDefault="003D436B" w:rsidP="0048371D">
      <w:pPr>
        <w:pStyle w:val="ListParagraph"/>
        <w:ind w:left="284"/>
        <w:jc w:val="both"/>
        <w:rPr>
          <w:sz w:val="22"/>
          <w:szCs w:val="22"/>
          <w:lang w:val="cs-CZ"/>
        </w:rPr>
      </w:pPr>
      <w:r w:rsidRPr="00B844D7">
        <w:rPr>
          <w:sz w:val="22"/>
          <w:szCs w:val="22"/>
          <w:lang w:val="cs-CZ"/>
        </w:rPr>
        <w:t xml:space="preserve">Smluvní strany se dohodly, že pokud den splatnosti faktury připadne na den pracovního volna nebo klidu nebo na státní svátek, je dnem splatnosti poslední pracovní den před tímto dnem pracovního volna nebo klidu nebo státního svátku. </w:t>
      </w:r>
    </w:p>
    <w:p w14:paraId="63D4697B" w14:textId="77777777" w:rsidR="003D436B" w:rsidRPr="00D81655" w:rsidRDefault="003D436B" w:rsidP="003D436B">
      <w:pPr>
        <w:jc w:val="both"/>
        <w:rPr>
          <w:sz w:val="22"/>
          <w:szCs w:val="22"/>
          <w:lang w:val="cs-CZ"/>
        </w:rPr>
      </w:pPr>
    </w:p>
    <w:p w14:paraId="66DF7457" w14:textId="4BD3CCCF" w:rsidR="003D436B" w:rsidRPr="00D81655" w:rsidRDefault="0048371D" w:rsidP="003D436B">
      <w:pPr>
        <w:jc w:val="both"/>
        <w:rPr>
          <w:b/>
          <w:sz w:val="22"/>
          <w:szCs w:val="22"/>
          <w:lang w:val="cs-CZ"/>
        </w:rPr>
      </w:pPr>
      <w:r>
        <w:rPr>
          <w:b/>
          <w:sz w:val="22"/>
          <w:szCs w:val="22"/>
          <w:lang w:val="cs-CZ"/>
        </w:rPr>
        <w:t>4</w:t>
      </w:r>
      <w:r w:rsidR="003D436B" w:rsidRPr="00D81655">
        <w:rPr>
          <w:b/>
          <w:sz w:val="22"/>
          <w:szCs w:val="22"/>
          <w:lang w:val="cs-CZ"/>
        </w:rPr>
        <w:t>. Způsob platby</w:t>
      </w:r>
    </w:p>
    <w:p w14:paraId="257F1396" w14:textId="77777777" w:rsidR="003D436B" w:rsidRPr="00D81655" w:rsidRDefault="003D436B" w:rsidP="000F0A9C">
      <w:pPr>
        <w:ind w:left="720"/>
        <w:jc w:val="both"/>
        <w:rPr>
          <w:sz w:val="22"/>
          <w:szCs w:val="22"/>
          <w:lang w:val="cs-CZ"/>
        </w:rPr>
      </w:pPr>
      <w:r w:rsidRPr="00D81655">
        <w:rPr>
          <w:sz w:val="22"/>
          <w:szCs w:val="22"/>
          <w:lang w:val="cs-CZ"/>
        </w:rPr>
        <w:t>- příkazem k úhradě</w:t>
      </w:r>
    </w:p>
    <w:p w14:paraId="1FAD91AC" w14:textId="77777777" w:rsidR="003D436B" w:rsidRPr="00D81655" w:rsidRDefault="003D436B" w:rsidP="003D436B">
      <w:pPr>
        <w:jc w:val="both"/>
        <w:rPr>
          <w:b/>
          <w:sz w:val="22"/>
          <w:szCs w:val="22"/>
          <w:lang w:val="cs-CZ"/>
        </w:rPr>
      </w:pPr>
    </w:p>
    <w:p w14:paraId="60BA31AC" w14:textId="0D0182C9" w:rsidR="003D436B" w:rsidRPr="00D81655" w:rsidRDefault="0048371D" w:rsidP="003D436B">
      <w:pPr>
        <w:jc w:val="both"/>
        <w:rPr>
          <w:b/>
          <w:sz w:val="22"/>
          <w:szCs w:val="22"/>
          <w:lang w:val="cs-CZ"/>
        </w:rPr>
      </w:pPr>
      <w:r>
        <w:rPr>
          <w:b/>
          <w:sz w:val="22"/>
          <w:szCs w:val="22"/>
          <w:lang w:val="cs-CZ"/>
        </w:rPr>
        <w:t>5</w:t>
      </w:r>
      <w:r w:rsidR="003D436B" w:rsidRPr="00D81655">
        <w:rPr>
          <w:b/>
          <w:sz w:val="22"/>
          <w:szCs w:val="22"/>
          <w:lang w:val="cs-CZ"/>
        </w:rPr>
        <w:t>. Výše a forma zajištění</w:t>
      </w:r>
    </w:p>
    <w:p w14:paraId="62108A8B" w14:textId="77777777" w:rsidR="003D436B" w:rsidRPr="00D81655" w:rsidRDefault="003D436B" w:rsidP="003D436B">
      <w:pPr>
        <w:jc w:val="both"/>
        <w:rPr>
          <w:sz w:val="22"/>
          <w:szCs w:val="22"/>
          <w:lang w:val="cs-CZ"/>
        </w:rPr>
      </w:pPr>
    </w:p>
    <w:p w14:paraId="05CCC8E3" w14:textId="1B50E33D" w:rsidR="00627F10" w:rsidRDefault="003D436B" w:rsidP="0048371D">
      <w:pPr>
        <w:ind w:left="284"/>
        <w:jc w:val="both"/>
        <w:rPr>
          <w:b/>
          <w:bCs/>
          <w:i/>
          <w:iCs/>
          <w:lang w:val="cs-CZ"/>
        </w:rPr>
      </w:pPr>
      <w:r w:rsidRPr="00D81655">
        <w:rPr>
          <w:sz w:val="22"/>
          <w:szCs w:val="22"/>
          <w:lang w:val="cs-CZ"/>
        </w:rPr>
        <w:t xml:space="preserve">S ohledem na ustanovení čl. VI. odst. 1) a bodu 5 Podmínek (Příloha č. 1 ke Smlouvě) Společnost Shell nepožaduje po Hlavním držiteli karty zajištění. </w:t>
      </w:r>
      <w:r w:rsidR="00627F10">
        <w:br w:type="page"/>
      </w:r>
    </w:p>
    <w:p w14:paraId="1C43724D" w14:textId="77777777" w:rsidR="0028448A" w:rsidRPr="003D436B" w:rsidRDefault="0028448A">
      <w:pPr>
        <w:pStyle w:val="Heading1"/>
        <w:jc w:val="right"/>
      </w:pPr>
      <w:r w:rsidRPr="003D436B">
        <w:lastRenderedPageBreak/>
        <w:t>Příloha č.3</w:t>
      </w:r>
    </w:p>
    <w:p w14:paraId="6284B289" w14:textId="77777777" w:rsidR="0028448A" w:rsidRPr="003D436B" w:rsidRDefault="0028448A">
      <w:pPr>
        <w:rPr>
          <w:rFonts w:ascii="Arial" w:hAnsi="Arial" w:cs="Arial"/>
          <w:i/>
          <w:iCs/>
          <w:sz w:val="16"/>
          <w:lang w:val="cs-CZ"/>
        </w:rPr>
      </w:pPr>
    </w:p>
    <w:p w14:paraId="17C22550" w14:textId="77777777" w:rsidR="0028448A" w:rsidRPr="003D436B" w:rsidRDefault="0028448A">
      <w:pPr>
        <w:rPr>
          <w:rFonts w:ascii="Arial" w:hAnsi="Arial" w:cs="Arial"/>
          <w:i/>
          <w:iCs/>
          <w:sz w:val="16"/>
          <w:lang w:val="cs-CZ"/>
        </w:rPr>
      </w:pPr>
    </w:p>
    <w:p w14:paraId="0E1E24FD" w14:textId="77777777" w:rsidR="0028448A" w:rsidRPr="003D436B" w:rsidRDefault="0028448A">
      <w:pPr>
        <w:rPr>
          <w:b/>
          <w:bCs/>
          <w:sz w:val="28"/>
          <w:lang w:val="cs-CZ"/>
        </w:rPr>
      </w:pPr>
    </w:p>
    <w:p w14:paraId="357DB6DB" w14:textId="77777777" w:rsidR="0028448A" w:rsidRPr="003D436B" w:rsidRDefault="0028448A">
      <w:pPr>
        <w:pStyle w:val="Heading2"/>
      </w:pPr>
      <w:r w:rsidRPr="003D436B">
        <w:t>Ceník placených služeb</w:t>
      </w:r>
    </w:p>
    <w:p w14:paraId="32DCCB32" w14:textId="77777777" w:rsidR="0028448A" w:rsidRPr="003D436B" w:rsidRDefault="0028448A">
      <w:pPr>
        <w:jc w:val="center"/>
        <w:rPr>
          <w:b/>
          <w:bCs/>
          <w:sz w:val="28"/>
          <w:lang w:val="cs-CZ"/>
        </w:rPr>
      </w:pPr>
    </w:p>
    <w:p w14:paraId="5B6C1C9F" w14:textId="77777777" w:rsidR="0028448A" w:rsidRPr="003D436B" w:rsidRDefault="0028448A">
      <w:pPr>
        <w:jc w:val="center"/>
        <w:rPr>
          <w:b/>
          <w:lang w:val="cs-CZ"/>
        </w:rPr>
      </w:pPr>
    </w:p>
    <w:p w14:paraId="5D92E956" w14:textId="77777777" w:rsidR="0028448A" w:rsidRPr="003D436B" w:rsidRDefault="0028448A">
      <w:pPr>
        <w:jc w:val="both"/>
        <w:rPr>
          <w:b/>
          <w:u w:val="single"/>
          <w:lang w:val="cs-CZ"/>
        </w:rPr>
      </w:pPr>
    </w:p>
    <w:p w14:paraId="680E5F75" w14:textId="77777777" w:rsidR="0028448A" w:rsidRPr="003D436B" w:rsidRDefault="0028448A">
      <w:pPr>
        <w:ind w:left="360"/>
        <w:jc w:val="both"/>
        <w:rPr>
          <w:sz w:val="22"/>
          <w:lang w:val="cs-CZ"/>
        </w:rPr>
      </w:pPr>
      <w:r w:rsidRPr="003D436B">
        <w:rPr>
          <w:b/>
          <w:bCs/>
          <w:sz w:val="22"/>
          <w:lang w:val="cs-CZ"/>
        </w:rPr>
        <w:t>1.   Vydání karty</w:t>
      </w:r>
      <w:r w:rsidRPr="003D436B">
        <w:rPr>
          <w:b/>
          <w:bCs/>
          <w:sz w:val="22"/>
          <w:lang w:val="cs-CZ"/>
        </w:rPr>
        <w:tab/>
      </w:r>
      <w:r w:rsidRPr="003D436B">
        <w:rPr>
          <w:sz w:val="22"/>
          <w:lang w:val="cs-CZ"/>
        </w:rPr>
        <w:tab/>
      </w:r>
      <w:r w:rsidRPr="003D436B">
        <w:rPr>
          <w:sz w:val="22"/>
          <w:lang w:val="cs-CZ"/>
        </w:rPr>
        <w:tab/>
      </w:r>
      <w:r w:rsidRPr="003D436B">
        <w:rPr>
          <w:sz w:val="22"/>
          <w:lang w:val="cs-CZ"/>
        </w:rPr>
        <w:tab/>
      </w:r>
      <w:r w:rsidRPr="003D436B">
        <w:rPr>
          <w:sz w:val="22"/>
          <w:lang w:val="cs-CZ"/>
        </w:rPr>
        <w:tab/>
      </w:r>
      <w:r w:rsidRPr="003D436B">
        <w:rPr>
          <w:sz w:val="22"/>
          <w:lang w:val="cs-CZ"/>
        </w:rPr>
        <w:tab/>
      </w:r>
      <w:r w:rsidRPr="003D436B">
        <w:rPr>
          <w:sz w:val="22"/>
          <w:lang w:val="cs-CZ"/>
        </w:rPr>
        <w:tab/>
      </w:r>
      <w:r w:rsidR="000463EB">
        <w:rPr>
          <w:sz w:val="22"/>
          <w:lang w:val="cs-CZ"/>
        </w:rPr>
        <w:t xml:space="preserve">0,- </w:t>
      </w:r>
      <w:r w:rsidRPr="003D436B">
        <w:rPr>
          <w:sz w:val="22"/>
          <w:lang w:val="cs-CZ"/>
        </w:rPr>
        <w:t>Kč</w:t>
      </w:r>
    </w:p>
    <w:p w14:paraId="0A70F5D5" w14:textId="77777777" w:rsidR="0028448A" w:rsidRPr="003D436B" w:rsidRDefault="0028448A">
      <w:pPr>
        <w:ind w:left="360"/>
        <w:jc w:val="both"/>
        <w:rPr>
          <w:sz w:val="22"/>
          <w:lang w:val="cs-CZ"/>
        </w:rPr>
      </w:pPr>
    </w:p>
    <w:p w14:paraId="2A939631" w14:textId="77777777" w:rsidR="0028448A" w:rsidRPr="003D436B" w:rsidRDefault="0028448A">
      <w:pPr>
        <w:numPr>
          <w:ilvl w:val="0"/>
          <w:numId w:val="6"/>
        </w:numPr>
        <w:jc w:val="both"/>
        <w:rPr>
          <w:sz w:val="22"/>
          <w:lang w:val="cs-CZ"/>
        </w:rPr>
      </w:pPr>
      <w:r w:rsidRPr="003D436B">
        <w:rPr>
          <w:b/>
          <w:bCs/>
          <w:sz w:val="22"/>
          <w:lang w:val="cs-CZ"/>
        </w:rPr>
        <w:t>Vedení karty</w:t>
      </w:r>
      <w:r w:rsidRPr="003D436B">
        <w:rPr>
          <w:b/>
          <w:bCs/>
          <w:sz w:val="22"/>
          <w:lang w:val="cs-CZ"/>
        </w:rPr>
        <w:tab/>
      </w:r>
      <w:r w:rsidRPr="003D436B">
        <w:rPr>
          <w:sz w:val="22"/>
          <w:lang w:val="cs-CZ"/>
        </w:rPr>
        <w:tab/>
      </w:r>
      <w:r w:rsidRPr="003D436B">
        <w:rPr>
          <w:sz w:val="22"/>
          <w:lang w:val="cs-CZ"/>
        </w:rPr>
        <w:tab/>
      </w:r>
      <w:r w:rsidRPr="003D436B">
        <w:rPr>
          <w:sz w:val="22"/>
          <w:lang w:val="cs-CZ"/>
        </w:rPr>
        <w:tab/>
      </w:r>
      <w:r w:rsidRPr="003D436B">
        <w:rPr>
          <w:sz w:val="22"/>
          <w:lang w:val="cs-CZ"/>
        </w:rPr>
        <w:tab/>
      </w:r>
      <w:r w:rsidRPr="003D436B">
        <w:rPr>
          <w:sz w:val="22"/>
          <w:lang w:val="cs-CZ"/>
        </w:rPr>
        <w:tab/>
      </w:r>
      <w:r w:rsidRPr="003D436B">
        <w:rPr>
          <w:sz w:val="22"/>
          <w:lang w:val="cs-CZ"/>
        </w:rPr>
        <w:tab/>
      </w:r>
      <w:r w:rsidR="000463EB">
        <w:rPr>
          <w:sz w:val="22"/>
          <w:lang w:val="cs-CZ"/>
        </w:rPr>
        <w:t xml:space="preserve">0,- </w:t>
      </w:r>
      <w:r w:rsidRPr="003D436B">
        <w:rPr>
          <w:sz w:val="22"/>
          <w:lang w:val="cs-CZ"/>
        </w:rPr>
        <w:t>Kč/měsíčně</w:t>
      </w:r>
    </w:p>
    <w:p w14:paraId="7AF596E9" w14:textId="77777777" w:rsidR="0028448A" w:rsidRPr="003D436B" w:rsidRDefault="0028448A">
      <w:pPr>
        <w:jc w:val="both"/>
        <w:rPr>
          <w:sz w:val="22"/>
          <w:lang w:val="cs-CZ"/>
        </w:rPr>
      </w:pPr>
    </w:p>
    <w:p w14:paraId="3AAB62EE" w14:textId="77777777" w:rsidR="0028448A" w:rsidRPr="003D436B" w:rsidRDefault="0028448A">
      <w:pPr>
        <w:numPr>
          <w:ilvl w:val="0"/>
          <w:numId w:val="6"/>
        </w:numPr>
        <w:jc w:val="both"/>
        <w:rPr>
          <w:b/>
          <w:bCs/>
          <w:sz w:val="22"/>
          <w:lang w:val="cs-CZ"/>
        </w:rPr>
      </w:pPr>
      <w:r w:rsidRPr="003D436B">
        <w:rPr>
          <w:b/>
          <w:bCs/>
          <w:sz w:val="22"/>
          <w:lang w:val="cs-CZ"/>
        </w:rPr>
        <w:t>Servisní poplatek z obratu nákupu na kartu:</w:t>
      </w:r>
      <w:r w:rsidRPr="003D436B">
        <w:rPr>
          <w:b/>
          <w:bCs/>
          <w:sz w:val="22"/>
          <w:lang w:val="cs-CZ"/>
        </w:rPr>
        <w:tab/>
      </w:r>
      <w:r w:rsidRPr="003D436B">
        <w:rPr>
          <w:b/>
          <w:bCs/>
          <w:sz w:val="22"/>
          <w:lang w:val="cs-CZ"/>
        </w:rPr>
        <w:tab/>
      </w:r>
      <w:r w:rsidRPr="003D436B">
        <w:rPr>
          <w:b/>
          <w:bCs/>
          <w:sz w:val="22"/>
          <w:lang w:val="cs-CZ"/>
        </w:rPr>
        <w:tab/>
      </w:r>
      <w:r w:rsidRPr="003D436B">
        <w:rPr>
          <w:b/>
          <w:bCs/>
          <w:sz w:val="22"/>
          <w:lang w:val="cs-CZ"/>
        </w:rPr>
        <w:tab/>
      </w:r>
      <w:r w:rsidRPr="003D436B">
        <w:rPr>
          <w:b/>
          <w:bCs/>
          <w:sz w:val="22"/>
          <w:lang w:val="cs-CZ"/>
        </w:rPr>
        <w:tab/>
      </w:r>
    </w:p>
    <w:p w14:paraId="5BFF08B8" w14:textId="77777777" w:rsidR="0028448A" w:rsidRPr="003D436B" w:rsidRDefault="0028448A">
      <w:pPr>
        <w:numPr>
          <w:ilvl w:val="0"/>
          <w:numId w:val="5"/>
        </w:numPr>
        <w:jc w:val="both"/>
        <w:rPr>
          <w:sz w:val="22"/>
          <w:lang w:val="cs-CZ"/>
        </w:rPr>
      </w:pPr>
      <w:r w:rsidRPr="003D436B">
        <w:rPr>
          <w:sz w:val="22"/>
          <w:lang w:val="cs-CZ"/>
        </w:rPr>
        <w:t>na čerpacích stanicích Shell</w:t>
      </w:r>
      <w:r w:rsidR="003D4D4D" w:rsidRPr="003D436B">
        <w:rPr>
          <w:sz w:val="22"/>
          <w:lang w:val="cs-CZ"/>
        </w:rPr>
        <w:t xml:space="preserve"> v ČR i v zahraničí</w:t>
      </w:r>
      <w:r w:rsidRPr="003D436B">
        <w:rPr>
          <w:sz w:val="22"/>
          <w:lang w:val="cs-CZ"/>
        </w:rPr>
        <w:tab/>
      </w:r>
      <w:r w:rsidRPr="003D436B">
        <w:rPr>
          <w:sz w:val="22"/>
          <w:lang w:val="cs-CZ"/>
        </w:rPr>
        <w:tab/>
      </w:r>
      <w:r w:rsidR="000463EB">
        <w:rPr>
          <w:sz w:val="22"/>
          <w:lang w:val="cs-CZ"/>
        </w:rPr>
        <w:t>0 %</w:t>
      </w:r>
    </w:p>
    <w:p w14:paraId="61FE66E3" w14:textId="77777777" w:rsidR="00637B1E" w:rsidRPr="003D436B" w:rsidRDefault="003D4D4D" w:rsidP="00CA37DC">
      <w:pPr>
        <w:numPr>
          <w:ilvl w:val="0"/>
          <w:numId w:val="5"/>
        </w:numPr>
        <w:jc w:val="both"/>
        <w:rPr>
          <w:sz w:val="22"/>
          <w:lang w:val="cs-CZ"/>
        </w:rPr>
      </w:pPr>
      <w:r w:rsidRPr="003D436B">
        <w:rPr>
          <w:sz w:val="22"/>
          <w:lang w:val="cs-CZ"/>
        </w:rPr>
        <w:t xml:space="preserve">u třetích stran, kde jsou Karty akceptované je </w:t>
      </w:r>
    </w:p>
    <w:p w14:paraId="77BE0FD1" w14:textId="77777777" w:rsidR="0028448A" w:rsidRPr="003D436B" w:rsidRDefault="003D4D4D" w:rsidP="00637B1E">
      <w:pPr>
        <w:ind w:left="1440"/>
        <w:jc w:val="both"/>
        <w:rPr>
          <w:sz w:val="22"/>
          <w:lang w:val="cs-CZ"/>
        </w:rPr>
      </w:pPr>
      <w:r w:rsidRPr="003D436B">
        <w:rPr>
          <w:sz w:val="22"/>
          <w:lang w:val="cs-CZ"/>
        </w:rPr>
        <w:t>uveden v Adendu A k této Příloze č. 3</w:t>
      </w:r>
    </w:p>
    <w:p w14:paraId="5171C0B5" w14:textId="77777777" w:rsidR="003D4D4D" w:rsidRPr="003D436B" w:rsidRDefault="003D4D4D" w:rsidP="003D4D4D">
      <w:pPr>
        <w:ind w:left="1080"/>
        <w:jc w:val="both"/>
        <w:rPr>
          <w:sz w:val="22"/>
          <w:lang w:val="cs-CZ"/>
        </w:rPr>
      </w:pPr>
    </w:p>
    <w:p w14:paraId="13FABC4B" w14:textId="77777777" w:rsidR="0028448A" w:rsidRPr="003D436B" w:rsidRDefault="0028448A">
      <w:pPr>
        <w:numPr>
          <w:ilvl w:val="0"/>
          <w:numId w:val="6"/>
        </w:numPr>
        <w:jc w:val="both"/>
        <w:rPr>
          <w:sz w:val="22"/>
          <w:lang w:val="cs-CZ"/>
        </w:rPr>
      </w:pPr>
      <w:r w:rsidRPr="003D436B">
        <w:rPr>
          <w:b/>
          <w:bCs/>
          <w:sz w:val="22"/>
          <w:lang w:val="cs-CZ"/>
        </w:rPr>
        <w:t>Blokace karty</w:t>
      </w:r>
      <w:r w:rsidRPr="003D436B">
        <w:rPr>
          <w:b/>
          <w:bCs/>
          <w:sz w:val="22"/>
          <w:lang w:val="cs-CZ"/>
        </w:rPr>
        <w:tab/>
      </w:r>
      <w:r w:rsidRPr="003D436B">
        <w:rPr>
          <w:sz w:val="22"/>
          <w:lang w:val="cs-CZ"/>
        </w:rPr>
        <w:tab/>
      </w:r>
      <w:r w:rsidRPr="003D436B">
        <w:rPr>
          <w:sz w:val="22"/>
          <w:lang w:val="cs-CZ"/>
        </w:rPr>
        <w:tab/>
      </w:r>
      <w:r w:rsidRPr="003D436B">
        <w:rPr>
          <w:sz w:val="22"/>
          <w:lang w:val="cs-CZ"/>
        </w:rPr>
        <w:tab/>
      </w:r>
      <w:r w:rsidRPr="003D436B">
        <w:rPr>
          <w:sz w:val="22"/>
          <w:lang w:val="cs-CZ"/>
        </w:rPr>
        <w:tab/>
      </w:r>
      <w:r w:rsidRPr="003D436B">
        <w:rPr>
          <w:sz w:val="22"/>
          <w:lang w:val="cs-CZ"/>
        </w:rPr>
        <w:tab/>
      </w:r>
      <w:r w:rsidRPr="003D436B">
        <w:rPr>
          <w:sz w:val="22"/>
          <w:lang w:val="cs-CZ"/>
        </w:rPr>
        <w:tab/>
      </w:r>
      <w:r w:rsidR="000463EB">
        <w:rPr>
          <w:sz w:val="22"/>
          <w:lang w:val="cs-CZ"/>
        </w:rPr>
        <w:t xml:space="preserve">1000,- </w:t>
      </w:r>
      <w:r w:rsidRPr="003D436B">
        <w:rPr>
          <w:sz w:val="22"/>
          <w:lang w:val="cs-CZ"/>
        </w:rPr>
        <w:t>Kč</w:t>
      </w:r>
    </w:p>
    <w:p w14:paraId="1516493D" w14:textId="77777777" w:rsidR="0028448A" w:rsidRPr="003D436B" w:rsidRDefault="0028448A">
      <w:pPr>
        <w:ind w:left="360"/>
        <w:jc w:val="both"/>
        <w:rPr>
          <w:sz w:val="22"/>
          <w:lang w:val="cs-CZ"/>
        </w:rPr>
      </w:pPr>
    </w:p>
    <w:p w14:paraId="13046149" w14:textId="77777777" w:rsidR="0028448A" w:rsidRPr="003D436B" w:rsidRDefault="0028448A">
      <w:pPr>
        <w:numPr>
          <w:ilvl w:val="0"/>
          <w:numId w:val="6"/>
        </w:numPr>
        <w:jc w:val="both"/>
        <w:rPr>
          <w:sz w:val="22"/>
          <w:lang w:val="cs-CZ"/>
        </w:rPr>
      </w:pPr>
      <w:r w:rsidRPr="003D436B">
        <w:rPr>
          <w:b/>
          <w:bCs/>
          <w:sz w:val="22"/>
          <w:lang w:val="cs-CZ"/>
        </w:rPr>
        <w:t>Opakované zaslání PIN kódu</w:t>
      </w:r>
      <w:r w:rsidRPr="003D436B">
        <w:rPr>
          <w:sz w:val="22"/>
          <w:lang w:val="cs-CZ"/>
        </w:rPr>
        <w:tab/>
      </w:r>
      <w:r w:rsidRPr="003D436B">
        <w:rPr>
          <w:sz w:val="22"/>
          <w:lang w:val="cs-CZ"/>
        </w:rPr>
        <w:tab/>
      </w:r>
      <w:r w:rsidRPr="003D436B">
        <w:rPr>
          <w:sz w:val="22"/>
          <w:lang w:val="cs-CZ"/>
        </w:rPr>
        <w:tab/>
      </w:r>
      <w:r w:rsidRPr="003D436B">
        <w:rPr>
          <w:sz w:val="22"/>
          <w:lang w:val="cs-CZ"/>
        </w:rPr>
        <w:tab/>
      </w:r>
      <w:r w:rsidRPr="003D436B">
        <w:rPr>
          <w:sz w:val="22"/>
          <w:lang w:val="cs-CZ"/>
        </w:rPr>
        <w:tab/>
      </w:r>
      <w:r w:rsidR="000463EB">
        <w:rPr>
          <w:sz w:val="22"/>
          <w:lang w:val="cs-CZ"/>
        </w:rPr>
        <w:t xml:space="preserve">100,- </w:t>
      </w:r>
      <w:r w:rsidRPr="003D436B">
        <w:rPr>
          <w:sz w:val="22"/>
          <w:lang w:val="cs-CZ"/>
        </w:rPr>
        <w:t>Kč</w:t>
      </w:r>
    </w:p>
    <w:p w14:paraId="7E504512" w14:textId="77777777" w:rsidR="0028448A" w:rsidRPr="003D436B" w:rsidRDefault="0028448A" w:rsidP="00D81655">
      <w:pPr>
        <w:jc w:val="both"/>
        <w:rPr>
          <w:sz w:val="22"/>
          <w:lang w:val="cs-CZ"/>
        </w:rPr>
      </w:pPr>
    </w:p>
    <w:p w14:paraId="6876CF5A" w14:textId="77777777" w:rsidR="0028448A" w:rsidRPr="003D436B" w:rsidRDefault="0028448A">
      <w:pPr>
        <w:numPr>
          <w:ilvl w:val="0"/>
          <w:numId w:val="6"/>
        </w:numPr>
        <w:jc w:val="both"/>
        <w:rPr>
          <w:b/>
          <w:bCs/>
          <w:sz w:val="22"/>
          <w:lang w:val="cs-CZ"/>
        </w:rPr>
      </w:pPr>
      <w:r w:rsidRPr="003D436B">
        <w:rPr>
          <w:b/>
          <w:bCs/>
          <w:sz w:val="22"/>
          <w:lang w:val="cs-CZ"/>
        </w:rPr>
        <w:t xml:space="preserve">Administrativní poplatek při uzavření smlouvy </w:t>
      </w:r>
    </w:p>
    <w:p w14:paraId="30FDADCD" w14:textId="77777777" w:rsidR="0028448A" w:rsidRPr="003D436B" w:rsidRDefault="0028448A">
      <w:pPr>
        <w:ind w:left="360" w:firstLine="360"/>
        <w:jc w:val="both"/>
        <w:rPr>
          <w:sz w:val="22"/>
          <w:lang w:val="cs-CZ"/>
        </w:rPr>
      </w:pPr>
      <w:r w:rsidRPr="003D436B">
        <w:rPr>
          <w:b/>
          <w:bCs/>
          <w:sz w:val="22"/>
          <w:lang w:val="cs-CZ"/>
        </w:rPr>
        <w:t>o vratce DPH, účtovaný s každou zaslanou fakturou</w:t>
      </w:r>
      <w:r w:rsidRPr="003D436B">
        <w:rPr>
          <w:sz w:val="22"/>
          <w:lang w:val="cs-CZ"/>
        </w:rPr>
        <w:tab/>
      </w:r>
      <w:r w:rsidRPr="003D436B">
        <w:rPr>
          <w:sz w:val="22"/>
          <w:lang w:val="cs-CZ"/>
        </w:rPr>
        <w:tab/>
      </w:r>
      <w:r w:rsidR="000463EB">
        <w:rPr>
          <w:sz w:val="22"/>
          <w:lang w:val="cs-CZ"/>
        </w:rPr>
        <w:t xml:space="preserve">0,- </w:t>
      </w:r>
      <w:r w:rsidRPr="003D436B">
        <w:rPr>
          <w:sz w:val="22"/>
          <w:lang w:val="cs-CZ"/>
        </w:rPr>
        <w:t>Kč</w:t>
      </w:r>
    </w:p>
    <w:p w14:paraId="0F015FDA" w14:textId="77777777" w:rsidR="00714273" w:rsidRPr="003D436B" w:rsidRDefault="0028448A" w:rsidP="00901EEE">
      <w:pPr>
        <w:ind w:left="360" w:firstLine="360"/>
        <w:jc w:val="both"/>
        <w:rPr>
          <w:sz w:val="22"/>
          <w:lang w:val="cs-CZ"/>
        </w:rPr>
      </w:pPr>
      <w:r w:rsidRPr="003D436B">
        <w:rPr>
          <w:sz w:val="22"/>
          <w:lang w:val="cs-CZ"/>
        </w:rPr>
        <w:tab/>
      </w:r>
    </w:p>
    <w:p w14:paraId="42C6E185" w14:textId="77777777" w:rsidR="00714273" w:rsidRPr="003D436B" w:rsidRDefault="00714273">
      <w:pPr>
        <w:numPr>
          <w:ilvl w:val="0"/>
          <w:numId w:val="6"/>
        </w:numPr>
        <w:jc w:val="both"/>
        <w:rPr>
          <w:b/>
          <w:sz w:val="22"/>
          <w:lang w:val="cs-CZ"/>
        </w:rPr>
      </w:pPr>
      <w:r w:rsidRPr="003D436B">
        <w:rPr>
          <w:b/>
          <w:sz w:val="22"/>
          <w:lang w:val="cs-CZ"/>
        </w:rPr>
        <w:t>Poplatek za zřízení euroShell účtu</w:t>
      </w:r>
      <w:r w:rsidRPr="003D436B">
        <w:rPr>
          <w:b/>
          <w:sz w:val="22"/>
          <w:lang w:val="cs-CZ"/>
        </w:rPr>
        <w:tab/>
      </w:r>
      <w:r w:rsidRPr="003D436B">
        <w:rPr>
          <w:b/>
          <w:sz w:val="22"/>
          <w:lang w:val="cs-CZ"/>
        </w:rPr>
        <w:tab/>
      </w:r>
      <w:r w:rsidRPr="003D436B">
        <w:rPr>
          <w:b/>
          <w:sz w:val="22"/>
          <w:lang w:val="cs-CZ"/>
        </w:rPr>
        <w:tab/>
      </w:r>
      <w:r w:rsidRPr="003D436B">
        <w:rPr>
          <w:b/>
          <w:sz w:val="22"/>
          <w:lang w:val="cs-CZ"/>
        </w:rPr>
        <w:tab/>
      </w:r>
      <w:r w:rsidR="000463EB">
        <w:rPr>
          <w:sz w:val="22"/>
          <w:lang w:val="cs-CZ"/>
        </w:rPr>
        <w:t xml:space="preserve">0,- </w:t>
      </w:r>
      <w:r w:rsidRPr="003D436B">
        <w:rPr>
          <w:sz w:val="22"/>
          <w:lang w:val="cs-CZ"/>
        </w:rPr>
        <w:t>Kč</w:t>
      </w:r>
    </w:p>
    <w:p w14:paraId="62C6956A" w14:textId="77777777" w:rsidR="00146DC9" w:rsidRPr="003D436B" w:rsidRDefault="00146DC9" w:rsidP="00146DC9">
      <w:pPr>
        <w:pStyle w:val="ListParagraph"/>
        <w:rPr>
          <w:b/>
          <w:sz w:val="22"/>
          <w:lang w:val="cs-CZ"/>
        </w:rPr>
      </w:pPr>
    </w:p>
    <w:p w14:paraId="775EE523" w14:textId="4468D1B9" w:rsidR="00146DC9" w:rsidRPr="003D436B" w:rsidRDefault="00146DC9">
      <w:pPr>
        <w:numPr>
          <w:ilvl w:val="0"/>
          <w:numId w:val="6"/>
        </w:numPr>
        <w:jc w:val="both"/>
        <w:rPr>
          <w:b/>
          <w:sz w:val="22"/>
          <w:lang w:val="cs-CZ"/>
        </w:rPr>
      </w:pPr>
      <w:r w:rsidRPr="003D436B">
        <w:rPr>
          <w:b/>
          <w:sz w:val="22"/>
          <w:lang w:val="cs-CZ"/>
        </w:rPr>
        <w:t xml:space="preserve">Poplatek za </w:t>
      </w:r>
      <w:r w:rsidR="003B4969" w:rsidRPr="003D436B">
        <w:rPr>
          <w:b/>
          <w:sz w:val="22"/>
          <w:lang w:val="cs-CZ"/>
        </w:rPr>
        <w:t>službu Shell Card Online</w:t>
      </w:r>
      <w:r w:rsidR="003B4969" w:rsidRPr="003D436B">
        <w:rPr>
          <w:b/>
          <w:sz w:val="22"/>
          <w:lang w:val="cs-CZ"/>
        </w:rPr>
        <w:tab/>
      </w:r>
      <w:r w:rsidRPr="003D436B">
        <w:rPr>
          <w:b/>
          <w:sz w:val="22"/>
          <w:lang w:val="cs-CZ"/>
        </w:rPr>
        <w:tab/>
      </w:r>
      <w:r w:rsidRPr="003D436B">
        <w:rPr>
          <w:b/>
          <w:sz w:val="22"/>
          <w:lang w:val="cs-CZ"/>
        </w:rPr>
        <w:tab/>
      </w:r>
      <w:r w:rsidR="00F05AB0">
        <w:rPr>
          <w:b/>
          <w:sz w:val="22"/>
          <w:lang w:val="cs-CZ"/>
        </w:rPr>
        <w:tab/>
      </w:r>
      <w:r w:rsidR="000463EB">
        <w:rPr>
          <w:sz w:val="22"/>
          <w:lang w:val="cs-CZ"/>
        </w:rPr>
        <w:t xml:space="preserve">0,- </w:t>
      </w:r>
      <w:r w:rsidRPr="003D436B">
        <w:rPr>
          <w:sz w:val="22"/>
          <w:lang w:val="cs-CZ"/>
        </w:rPr>
        <w:t>Kč</w:t>
      </w:r>
    </w:p>
    <w:p w14:paraId="3B566B2B" w14:textId="77777777" w:rsidR="00146DC9" w:rsidRPr="003D436B" w:rsidRDefault="00146DC9" w:rsidP="009B3F31">
      <w:pPr>
        <w:rPr>
          <w:lang w:val="cs-CZ"/>
        </w:rPr>
      </w:pPr>
    </w:p>
    <w:p w14:paraId="7D5A2583" w14:textId="6DAA5529" w:rsidR="00146DC9" w:rsidRPr="003D436B" w:rsidRDefault="00146DC9">
      <w:pPr>
        <w:numPr>
          <w:ilvl w:val="0"/>
          <w:numId w:val="6"/>
        </w:numPr>
        <w:jc w:val="both"/>
        <w:rPr>
          <w:b/>
          <w:sz w:val="22"/>
          <w:lang w:val="cs-CZ"/>
        </w:rPr>
      </w:pPr>
      <w:r w:rsidRPr="003D436B">
        <w:rPr>
          <w:b/>
          <w:sz w:val="22"/>
          <w:lang w:val="cs-CZ"/>
        </w:rPr>
        <w:t>Poskytnutí elektronických fakturačních dat (EID data)</w:t>
      </w:r>
      <w:r w:rsidRPr="003D436B">
        <w:rPr>
          <w:b/>
          <w:sz w:val="22"/>
          <w:lang w:val="cs-CZ"/>
        </w:rPr>
        <w:tab/>
      </w:r>
      <w:r w:rsidR="00002C9A" w:rsidRPr="00B844D7">
        <w:rPr>
          <w:sz w:val="22"/>
          <w:szCs w:val="22"/>
          <w:lang w:val="cs-CZ"/>
        </w:rPr>
        <w:fldChar w:fldCharType="begin">
          <w:ffData>
            <w:name w:val="Text83"/>
            <w:enabled/>
            <w:calcOnExit w:val="0"/>
            <w:textInput/>
          </w:ffData>
        </w:fldChar>
      </w:r>
      <w:r w:rsidRPr="00B844D7">
        <w:rPr>
          <w:sz w:val="22"/>
          <w:szCs w:val="22"/>
          <w:lang w:val="cs-CZ"/>
        </w:rPr>
        <w:instrText xml:space="preserve"> FORMTEXT </w:instrText>
      </w:r>
      <w:r w:rsidR="00002C9A" w:rsidRPr="00B844D7">
        <w:rPr>
          <w:sz w:val="22"/>
          <w:szCs w:val="22"/>
          <w:lang w:val="cs-CZ"/>
        </w:rPr>
      </w:r>
      <w:r w:rsidR="00002C9A" w:rsidRPr="00B844D7">
        <w:rPr>
          <w:sz w:val="22"/>
          <w:szCs w:val="22"/>
          <w:lang w:val="cs-CZ"/>
        </w:rPr>
        <w:fldChar w:fldCharType="separate"/>
      </w:r>
      <w:bookmarkStart w:id="3" w:name="_GoBack"/>
      <w:bookmarkEnd w:id="3"/>
      <w:r w:rsidRPr="009B3F31">
        <w:rPr>
          <w:sz w:val="22"/>
          <w:szCs w:val="22"/>
          <w:lang w:val="cs-CZ"/>
        </w:rPr>
        <w:t>200,-</w:t>
      </w:r>
      <w:r w:rsidR="00002C9A" w:rsidRPr="00B844D7">
        <w:rPr>
          <w:sz w:val="22"/>
          <w:szCs w:val="22"/>
          <w:lang w:val="cs-CZ"/>
        </w:rPr>
        <w:fldChar w:fldCharType="end"/>
      </w:r>
      <w:r w:rsidRPr="003D436B">
        <w:rPr>
          <w:sz w:val="22"/>
          <w:lang w:val="cs-CZ"/>
        </w:rPr>
        <w:t>Kč</w:t>
      </w:r>
    </w:p>
    <w:p w14:paraId="065E0B14" w14:textId="77777777" w:rsidR="0028448A" w:rsidRPr="003D436B" w:rsidRDefault="0028448A">
      <w:pPr>
        <w:jc w:val="both"/>
        <w:rPr>
          <w:sz w:val="22"/>
          <w:lang w:val="cs-CZ"/>
        </w:rPr>
      </w:pPr>
      <w:r w:rsidRPr="003D436B">
        <w:rPr>
          <w:sz w:val="22"/>
          <w:lang w:val="cs-CZ"/>
        </w:rPr>
        <w:tab/>
      </w:r>
      <w:r w:rsidRPr="003D436B">
        <w:rPr>
          <w:sz w:val="22"/>
          <w:lang w:val="cs-CZ"/>
        </w:rPr>
        <w:tab/>
        <w:t xml:space="preserve"> </w:t>
      </w:r>
    </w:p>
    <w:p w14:paraId="60DBB4BD" w14:textId="77777777" w:rsidR="0028448A" w:rsidRPr="003D436B" w:rsidRDefault="0028448A">
      <w:pPr>
        <w:ind w:left="360"/>
        <w:rPr>
          <w:sz w:val="22"/>
          <w:lang w:val="cs-CZ"/>
        </w:rPr>
      </w:pPr>
    </w:p>
    <w:p w14:paraId="67B19285" w14:textId="77777777" w:rsidR="0028448A" w:rsidRPr="003D436B" w:rsidRDefault="0028448A">
      <w:pPr>
        <w:jc w:val="both"/>
        <w:rPr>
          <w:sz w:val="22"/>
          <w:lang w:val="cs-CZ"/>
        </w:rPr>
      </w:pPr>
    </w:p>
    <w:p w14:paraId="224EECAF" w14:textId="77777777" w:rsidR="0028448A" w:rsidRPr="003D436B" w:rsidRDefault="0028448A">
      <w:pPr>
        <w:ind w:firstLine="360"/>
        <w:jc w:val="both"/>
        <w:rPr>
          <w:lang w:val="cs-CZ"/>
        </w:rPr>
      </w:pPr>
      <w:r w:rsidRPr="003D436B">
        <w:rPr>
          <w:sz w:val="22"/>
          <w:lang w:val="cs-CZ"/>
        </w:rPr>
        <w:t>Ke všem uvedeným částkám bude připočtena DPH v souladu s platným právním předpisem</w:t>
      </w:r>
      <w:r w:rsidRPr="003D436B">
        <w:rPr>
          <w:lang w:val="cs-CZ"/>
        </w:rPr>
        <w:t>.</w:t>
      </w:r>
    </w:p>
    <w:p w14:paraId="48DAAC6C" w14:textId="77777777" w:rsidR="0028448A" w:rsidRPr="003D436B" w:rsidRDefault="0028448A">
      <w:pPr>
        <w:jc w:val="center"/>
        <w:rPr>
          <w:b/>
          <w:bCs/>
          <w:sz w:val="28"/>
          <w:lang w:val="cs-CZ"/>
        </w:rPr>
      </w:pPr>
    </w:p>
    <w:p w14:paraId="08158394" w14:textId="77777777" w:rsidR="0028448A" w:rsidRPr="003D436B" w:rsidRDefault="0028448A">
      <w:pPr>
        <w:rPr>
          <w:b/>
          <w:bCs/>
          <w:lang w:val="cs-CZ"/>
        </w:rPr>
      </w:pPr>
    </w:p>
    <w:p w14:paraId="3C657E29" w14:textId="77777777" w:rsidR="0028448A" w:rsidRPr="003D436B" w:rsidRDefault="0028448A">
      <w:pPr>
        <w:rPr>
          <w:lang w:val="cs-CZ"/>
        </w:rPr>
      </w:pPr>
    </w:p>
    <w:p w14:paraId="1CA5C9FB" w14:textId="77777777" w:rsidR="0028448A" w:rsidRPr="003D436B" w:rsidRDefault="0028448A">
      <w:pPr>
        <w:pStyle w:val="Heading2"/>
      </w:pPr>
    </w:p>
    <w:p w14:paraId="1F4268EB" w14:textId="77777777" w:rsidR="0028448A" w:rsidRPr="003D436B" w:rsidRDefault="0028448A">
      <w:pPr>
        <w:pStyle w:val="Heading2"/>
      </w:pPr>
    </w:p>
    <w:p w14:paraId="51BFC4D4" w14:textId="77777777" w:rsidR="0028448A" w:rsidRPr="003D436B" w:rsidRDefault="0028448A">
      <w:pPr>
        <w:pStyle w:val="Heading2"/>
      </w:pPr>
    </w:p>
    <w:p w14:paraId="44EEE177" w14:textId="77777777" w:rsidR="0028448A" w:rsidRPr="003D436B" w:rsidRDefault="0028448A">
      <w:pPr>
        <w:rPr>
          <w:lang w:val="cs-CZ"/>
        </w:rPr>
      </w:pPr>
    </w:p>
    <w:sectPr w:rsidR="0028448A" w:rsidRPr="003D436B" w:rsidSect="00DC7099">
      <w:pgSz w:w="11906" w:h="16838" w:code="9"/>
      <w:pgMar w:top="1079" w:right="1286"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A1E38"/>
    <w:multiLevelType w:val="hybridMultilevel"/>
    <w:tmpl w:val="0B0ABF8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052B2A"/>
    <w:multiLevelType w:val="hybridMultilevel"/>
    <w:tmpl w:val="78000AD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C01C03"/>
    <w:multiLevelType w:val="hybridMultilevel"/>
    <w:tmpl w:val="2750AAA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BD7535"/>
    <w:multiLevelType w:val="hybridMultilevel"/>
    <w:tmpl w:val="77405D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9B421D"/>
    <w:multiLevelType w:val="singleLevel"/>
    <w:tmpl w:val="0405000F"/>
    <w:lvl w:ilvl="0">
      <w:start w:val="1"/>
      <w:numFmt w:val="decimal"/>
      <w:lvlText w:val="%1."/>
      <w:lvlJc w:val="left"/>
      <w:pPr>
        <w:tabs>
          <w:tab w:val="num" w:pos="360"/>
        </w:tabs>
        <w:ind w:left="360" w:hanging="360"/>
      </w:pPr>
    </w:lvl>
  </w:abstractNum>
  <w:abstractNum w:abstractNumId="5" w15:restartNumberingAfterBreak="0">
    <w:nsid w:val="1448322C"/>
    <w:multiLevelType w:val="hybridMultilevel"/>
    <w:tmpl w:val="1012FD36"/>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80F39D6"/>
    <w:multiLevelType w:val="hybridMultilevel"/>
    <w:tmpl w:val="702A636A"/>
    <w:lvl w:ilvl="0" w:tplc="0409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B537B07"/>
    <w:multiLevelType w:val="hybridMultilevel"/>
    <w:tmpl w:val="13E4705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D422787"/>
    <w:multiLevelType w:val="multilevel"/>
    <w:tmpl w:val="B590040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9" w15:restartNumberingAfterBreak="0">
    <w:nsid w:val="21963CB8"/>
    <w:multiLevelType w:val="hybridMultilevel"/>
    <w:tmpl w:val="FB824CB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BB33B7E"/>
    <w:multiLevelType w:val="hybridMultilevel"/>
    <w:tmpl w:val="D5362AE4"/>
    <w:lvl w:ilvl="0" w:tplc="0409000F">
      <w:start w:val="1"/>
      <w:numFmt w:val="decimal"/>
      <w:lvlText w:val="%1."/>
      <w:lvlJc w:val="left"/>
      <w:pPr>
        <w:tabs>
          <w:tab w:val="num" w:pos="720"/>
        </w:tabs>
        <w:ind w:left="720" w:hanging="360"/>
      </w:pPr>
      <w:rPr>
        <w:rFonts w:hint="default"/>
      </w:rPr>
    </w:lvl>
    <w:lvl w:ilvl="1" w:tplc="B2D077E8">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47B6028"/>
    <w:multiLevelType w:val="hybridMultilevel"/>
    <w:tmpl w:val="3C4CA166"/>
    <w:lvl w:ilvl="0" w:tplc="345C2636">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457A09AF"/>
    <w:multiLevelType w:val="hybridMultilevel"/>
    <w:tmpl w:val="D0B68EBE"/>
    <w:lvl w:ilvl="0" w:tplc="8F16A4AC">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49BD0D75"/>
    <w:multiLevelType w:val="hybridMultilevel"/>
    <w:tmpl w:val="80C442A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CFD55C1"/>
    <w:multiLevelType w:val="hybridMultilevel"/>
    <w:tmpl w:val="384077B0"/>
    <w:lvl w:ilvl="0" w:tplc="04090017">
      <w:start w:val="1"/>
      <w:numFmt w:val="low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573834A9"/>
    <w:multiLevelType w:val="hybridMultilevel"/>
    <w:tmpl w:val="4F40D07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744066E"/>
    <w:multiLevelType w:val="hybridMultilevel"/>
    <w:tmpl w:val="960A89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80052E6"/>
    <w:multiLevelType w:val="hybridMultilevel"/>
    <w:tmpl w:val="284C75B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ACD256E"/>
    <w:multiLevelType w:val="singleLevel"/>
    <w:tmpl w:val="0405000F"/>
    <w:lvl w:ilvl="0">
      <w:start w:val="1"/>
      <w:numFmt w:val="decimal"/>
      <w:lvlText w:val="%1."/>
      <w:lvlJc w:val="left"/>
      <w:pPr>
        <w:tabs>
          <w:tab w:val="num" w:pos="360"/>
        </w:tabs>
        <w:ind w:left="360" w:hanging="360"/>
      </w:pPr>
    </w:lvl>
  </w:abstractNum>
  <w:abstractNum w:abstractNumId="19" w15:restartNumberingAfterBreak="0">
    <w:nsid w:val="654C6B56"/>
    <w:multiLevelType w:val="hybridMultilevel"/>
    <w:tmpl w:val="1BC235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8BD3C96"/>
    <w:multiLevelType w:val="hybridMultilevel"/>
    <w:tmpl w:val="F2B232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935379A"/>
    <w:multiLevelType w:val="hybridMultilevel"/>
    <w:tmpl w:val="BEEE2430"/>
    <w:lvl w:ilvl="0" w:tplc="9432E6A4">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9"/>
  </w:num>
  <w:num w:numId="4">
    <w:abstractNumId w:val="10"/>
  </w:num>
  <w:num w:numId="5">
    <w:abstractNumId w:val="14"/>
  </w:num>
  <w:num w:numId="6">
    <w:abstractNumId w:val="21"/>
  </w:num>
  <w:num w:numId="7">
    <w:abstractNumId w:val="7"/>
  </w:num>
  <w:num w:numId="8">
    <w:abstractNumId w:val="18"/>
    <w:lvlOverride w:ilvl="0">
      <w:startOverride w:val="1"/>
    </w:lvlOverride>
  </w:num>
  <w:num w:numId="9">
    <w:abstractNumId w:val="4"/>
    <w:lvlOverride w:ilvl="0">
      <w:startOverride w:val="1"/>
    </w:lvlOverride>
  </w:num>
  <w:num w:numId="10">
    <w:abstractNumId w:val="19"/>
  </w:num>
  <w:num w:numId="11">
    <w:abstractNumId w:val="8"/>
  </w:num>
  <w:num w:numId="12">
    <w:abstractNumId w:val="17"/>
  </w:num>
  <w:num w:numId="13">
    <w:abstractNumId w:val="13"/>
  </w:num>
  <w:num w:numId="14">
    <w:abstractNumId w:val="3"/>
  </w:num>
  <w:num w:numId="15">
    <w:abstractNumId w:val="20"/>
  </w:num>
  <w:num w:numId="16">
    <w:abstractNumId w:val="5"/>
  </w:num>
  <w:num w:numId="17">
    <w:abstractNumId w:val="6"/>
  </w:num>
  <w:num w:numId="18">
    <w:abstractNumId w:val="16"/>
  </w:num>
  <w:num w:numId="19">
    <w:abstractNumId w:val="15"/>
  </w:num>
  <w:num w:numId="20">
    <w:abstractNumId w:val="0"/>
  </w:num>
  <w:num w:numId="21">
    <w:abstractNumId w:val="12"/>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IPNUpsI6XsWZj0U6g8l58HuarBxT7XkFEVmWx1Ulwu7q2O9heRbEfXJev8EBfXWFjCuIEnLiJC9eCH0yHUXyqQ==" w:salt="aXpSzeR+jHoykk85DsIMiA=="/>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48A"/>
    <w:rsid w:val="00000D5E"/>
    <w:rsid w:val="00002C9A"/>
    <w:rsid w:val="00026788"/>
    <w:rsid w:val="00042D17"/>
    <w:rsid w:val="000463EB"/>
    <w:rsid w:val="0007238F"/>
    <w:rsid w:val="00072B80"/>
    <w:rsid w:val="000739D3"/>
    <w:rsid w:val="000B0865"/>
    <w:rsid w:val="000C7045"/>
    <w:rsid w:val="000E0CEC"/>
    <w:rsid w:val="000E59D3"/>
    <w:rsid w:val="000F0A9C"/>
    <w:rsid w:val="001145F2"/>
    <w:rsid w:val="00120BEA"/>
    <w:rsid w:val="001214DE"/>
    <w:rsid w:val="00146DC9"/>
    <w:rsid w:val="00171DAB"/>
    <w:rsid w:val="001B1045"/>
    <w:rsid w:val="001D1EB5"/>
    <w:rsid w:val="001D47CF"/>
    <w:rsid w:val="001E4CB2"/>
    <w:rsid w:val="001F6971"/>
    <w:rsid w:val="002148F2"/>
    <w:rsid w:val="00222088"/>
    <w:rsid w:val="0022453A"/>
    <w:rsid w:val="00236152"/>
    <w:rsid w:val="002437F9"/>
    <w:rsid w:val="00272CF9"/>
    <w:rsid w:val="0028448A"/>
    <w:rsid w:val="00295C41"/>
    <w:rsid w:val="002D04FD"/>
    <w:rsid w:val="002F1D79"/>
    <w:rsid w:val="002F236B"/>
    <w:rsid w:val="00303F3C"/>
    <w:rsid w:val="0030543D"/>
    <w:rsid w:val="00322724"/>
    <w:rsid w:val="00326621"/>
    <w:rsid w:val="0034186A"/>
    <w:rsid w:val="0035043E"/>
    <w:rsid w:val="00355FFC"/>
    <w:rsid w:val="00384E4E"/>
    <w:rsid w:val="003A6398"/>
    <w:rsid w:val="003B4969"/>
    <w:rsid w:val="003D436B"/>
    <w:rsid w:val="003D4D4D"/>
    <w:rsid w:val="003D4F8E"/>
    <w:rsid w:val="00442E9D"/>
    <w:rsid w:val="0048371D"/>
    <w:rsid w:val="0048758D"/>
    <w:rsid w:val="004A0E25"/>
    <w:rsid w:val="004B527A"/>
    <w:rsid w:val="004C36D6"/>
    <w:rsid w:val="004C5F7A"/>
    <w:rsid w:val="004D3C5B"/>
    <w:rsid w:val="004E4907"/>
    <w:rsid w:val="004F73A6"/>
    <w:rsid w:val="005435B5"/>
    <w:rsid w:val="005E5085"/>
    <w:rsid w:val="005F791B"/>
    <w:rsid w:val="00627F10"/>
    <w:rsid w:val="00637B1E"/>
    <w:rsid w:val="00657581"/>
    <w:rsid w:val="0067666A"/>
    <w:rsid w:val="006951E1"/>
    <w:rsid w:val="006C1E4B"/>
    <w:rsid w:val="006F03B7"/>
    <w:rsid w:val="006F536E"/>
    <w:rsid w:val="00703C68"/>
    <w:rsid w:val="00714273"/>
    <w:rsid w:val="007509EC"/>
    <w:rsid w:val="007836C1"/>
    <w:rsid w:val="00794527"/>
    <w:rsid w:val="007B021A"/>
    <w:rsid w:val="007B6AF4"/>
    <w:rsid w:val="0080045F"/>
    <w:rsid w:val="00850B88"/>
    <w:rsid w:val="008B5DF6"/>
    <w:rsid w:val="008D1980"/>
    <w:rsid w:val="008D57C3"/>
    <w:rsid w:val="008D651F"/>
    <w:rsid w:val="008F0B9C"/>
    <w:rsid w:val="008F61B3"/>
    <w:rsid w:val="00901EEE"/>
    <w:rsid w:val="00932896"/>
    <w:rsid w:val="0093373F"/>
    <w:rsid w:val="00951BDA"/>
    <w:rsid w:val="00960B9A"/>
    <w:rsid w:val="009B3F31"/>
    <w:rsid w:val="009C641B"/>
    <w:rsid w:val="009D6FC9"/>
    <w:rsid w:val="00A05E2E"/>
    <w:rsid w:val="00A067D0"/>
    <w:rsid w:val="00A62247"/>
    <w:rsid w:val="00A87E01"/>
    <w:rsid w:val="00AA7FED"/>
    <w:rsid w:val="00B058AF"/>
    <w:rsid w:val="00B22ABA"/>
    <w:rsid w:val="00B31BCC"/>
    <w:rsid w:val="00B33DBC"/>
    <w:rsid w:val="00B5236A"/>
    <w:rsid w:val="00B82302"/>
    <w:rsid w:val="00B844D7"/>
    <w:rsid w:val="00BC08F9"/>
    <w:rsid w:val="00BE2EFE"/>
    <w:rsid w:val="00C733E0"/>
    <w:rsid w:val="00C76ED3"/>
    <w:rsid w:val="00C91742"/>
    <w:rsid w:val="00C94588"/>
    <w:rsid w:val="00C94BE7"/>
    <w:rsid w:val="00CA37DC"/>
    <w:rsid w:val="00CC6266"/>
    <w:rsid w:val="00CF176C"/>
    <w:rsid w:val="00D13984"/>
    <w:rsid w:val="00D17817"/>
    <w:rsid w:val="00D81655"/>
    <w:rsid w:val="00D93DB7"/>
    <w:rsid w:val="00D967AC"/>
    <w:rsid w:val="00D9684E"/>
    <w:rsid w:val="00DB03E4"/>
    <w:rsid w:val="00DB6CAE"/>
    <w:rsid w:val="00DC7099"/>
    <w:rsid w:val="00E071EE"/>
    <w:rsid w:val="00E16EF3"/>
    <w:rsid w:val="00E1732A"/>
    <w:rsid w:val="00E4429E"/>
    <w:rsid w:val="00E84396"/>
    <w:rsid w:val="00EB61C3"/>
    <w:rsid w:val="00EB76CF"/>
    <w:rsid w:val="00ED6FAA"/>
    <w:rsid w:val="00EF5DFB"/>
    <w:rsid w:val="00F00CA4"/>
    <w:rsid w:val="00F0230D"/>
    <w:rsid w:val="00F05AB0"/>
    <w:rsid w:val="00F11C89"/>
    <w:rsid w:val="00F25350"/>
    <w:rsid w:val="00F37FD4"/>
    <w:rsid w:val="00F41ACE"/>
    <w:rsid w:val="00F42982"/>
    <w:rsid w:val="00F63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621D4C"/>
  <w15:docId w15:val="{902A353A-7A00-48D5-A379-B56800084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7099"/>
    <w:rPr>
      <w:sz w:val="24"/>
      <w:szCs w:val="24"/>
      <w:lang w:val="en-GB"/>
    </w:rPr>
  </w:style>
  <w:style w:type="paragraph" w:styleId="Heading1">
    <w:name w:val="heading 1"/>
    <w:basedOn w:val="Normal"/>
    <w:next w:val="Normal"/>
    <w:qFormat/>
    <w:rsid w:val="00DC7099"/>
    <w:pPr>
      <w:keepNext/>
      <w:outlineLvl w:val="0"/>
    </w:pPr>
    <w:rPr>
      <w:b/>
      <w:bCs/>
      <w:i/>
      <w:iCs/>
      <w:lang w:val="cs-CZ"/>
    </w:rPr>
  </w:style>
  <w:style w:type="paragraph" w:styleId="Heading2">
    <w:name w:val="heading 2"/>
    <w:basedOn w:val="Normal"/>
    <w:next w:val="Normal"/>
    <w:qFormat/>
    <w:rsid w:val="00DC7099"/>
    <w:pPr>
      <w:keepNext/>
      <w:jc w:val="center"/>
      <w:outlineLvl w:val="1"/>
    </w:pPr>
    <w:rPr>
      <w:b/>
      <w:bCs/>
      <w:sz w:val="28"/>
      <w:lang w:val="cs-CZ"/>
    </w:rPr>
  </w:style>
  <w:style w:type="paragraph" w:styleId="Heading3">
    <w:name w:val="heading 3"/>
    <w:basedOn w:val="Normal"/>
    <w:next w:val="Normal"/>
    <w:qFormat/>
    <w:rsid w:val="00DC7099"/>
    <w:pPr>
      <w:keepNext/>
      <w:ind w:left="360"/>
      <w:jc w:val="center"/>
      <w:outlineLvl w:val="2"/>
    </w:pPr>
    <w:rPr>
      <w:b/>
      <w:bCs/>
      <w:lang w:val="cs-CZ"/>
    </w:rPr>
  </w:style>
  <w:style w:type="paragraph" w:styleId="Heading4">
    <w:name w:val="heading 4"/>
    <w:basedOn w:val="Normal"/>
    <w:next w:val="Normal"/>
    <w:qFormat/>
    <w:rsid w:val="00DC7099"/>
    <w:pPr>
      <w:keepNext/>
      <w:jc w:val="center"/>
      <w:outlineLvl w:val="3"/>
    </w:pPr>
    <w:rPr>
      <w:b/>
      <w:bCs/>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C7099"/>
    <w:pPr>
      <w:jc w:val="center"/>
    </w:pPr>
    <w:rPr>
      <w:b/>
      <w:bCs/>
      <w:sz w:val="32"/>
      <w:lang w:val="cs-CZ"/>
    </w:rPr>
  </w:style>
  <w:style w:type="paragraph" w:styleId="BodyTextIndent">
    <w:name w:val="Body Text Indent"/>
    <w:basedOn w:val="Normal"/>
    <w:link w:val="BodyTextIndentChar"/>
    <w:semiHidden/>
    <w:rsid w:val="00DC7099"/>
    <w:pPr>
      <w:ind w:left="360"/>
    </w:pPr>
    <w:rPr>
      <w:lang w:val="cs-CZ"/>
    </w:rPr>
  </w:style>
  <w:style w:type="paragraph" w:styleId="BodyTextIndent2">
    <w:name w:val="Body Text Indent 2"/>
    <w:basedOn w:val="Normal"/>
    <w:semiHidden/>
    <w:rsid w:val="00DC7099"/>
    <w:pPr>
      <w:ind w:left="360"/>
    </w:pPr>
    <w:rPr>
      <w:sz w:val="22"/>
      <w:lang w:val="cs-CZ"/>
    </w:rPr>
  </w:style>
  <w:style w:type="paragraph" w:styleId="BodyText">
    <w:name w:val="Body Text"/>
    <w:basedOn w:val="Normal"/>
    <w:semiHidden/>
    <w:rsid w:val="00DC7099"/>
    <w:pPr>
      <w:spacing w:line="0" w:lineRule="atLeast"/>
      <w:jc w:val="both"/>
    </w:pPr>
    <w:rPr>
      <w:sz w:val="20"/>
      <w:szCs w:val="20"/>
      <w:lang w:val="pt-PT"/>
    </w:rPr>
  </w:style>
  <w:style w:type="paragraph" w:styleId="BalloonText">
    <w:name w:val="Balloon Text"/>
    <w:basedOn w:val="Normal"/>
    <w:link w:val="BalloonTextChar"/>
    <w:uiPriority w:val="99"/>
    <w:semiHidden/>
    <w:unhideWhenUsed/>
    <w:rsid w:val="008D651F"/>
    <w:rPr>
      <w:rFonts w:ascii="Tahoma" w:hAnsi="Tahoma" w:cs="Tahoma"/>
      <w:sz w:val="16"/>
      <w:szCs w:val="16"/>
    </w:rPr>
  </w:style>
  <w:style w:type="character" w:customStyle="1" w:styleId="BalloonTextChar">
    <w:name w:val="Balloon Text Char"/>
    <w:basedOn w:val="DefaultParagraphFont"/>
    <w:link w:val="BalloonText"/>
    <w:uiPriority w:val="99"/>
    <w:semiHidden/>
    <w:rsid w:val="008D651F"/>
    <w:rPr>
      <w:rFonts w:ascii="Tahoma" w:hAnsi="Tahoma" w:cs="Tahoma"/>
      <w:sz w:val="16"/>
      <w:szCs w:val="16"/>
      <w:lang w:val="en-GB" w:eastAsia="en-US"/>
    </w:rPr>
  </w:style>
  <w:style w:type="paragraph" w:styleId="ListParagraph">
    <w:name w:val="List Paragraph"/>
    <w:basedOn w:val="Normal"/>
    <w:uiPriority w:val="34"/>
    <w:qFormat/>
    <w:rsid w:val="00714273"/>
    <w:pPr>
      <w:ind w:left="720"/>
    </w:pPr>
  </w:style>
  <w:style w:type="character" w:styleId="CommentReference">
    <w:name w:val="annotation reference"/>
    <w:basedOn w:val="DefaultParagraphFont"/>
    <w:uiPriority w:val="99"/>
    <w:semiHidden/>
    <w:unhideWhenUsed/>
    <w:rsid w:val="004F73A6"/>
    <w:rPr>
      <w:sz w:val="16"/>
      <w:szCs w:val="16"/>
    </w:rPr>
  </w:style>
  <w:style w:type="paragraph" w:styleId="CommentText">
    <w:name w:val="annotation text"/>
    <w:basedOn w:val="Normal"/>
    <w:link w:val="CommentTextChar"/>
    <w:uiPriority w:val="99"/>
    <w:semiHidden/>
    <w:unhideWhenUsed/>
    <w:rsid w:val="004F73A6"/>
    <w:rPr>
      <w:sz w:val="20"/>
      <w:szCs w:val="20"/>
    </w:rPr>
  </w:style>
  <w:style w:type="character" w:customStyle="1" w:styleId="CommentTextChar">
    <w:name w:val="Comment Text Char"/>
    <w:basedOn w:val="DefaultParagraphFont"/>
    <w:link w:val="CommentText"/>
    <w:uiPriority w:val="99"/>
    <w:semiHidden/>
    <w:rsid w:val="004F73A6"/>
    <w:rPr>
      <w:lang w:val="en-GB"/>
    </w:rPr>
  </w:style>
  <w:style w:type="paragraph" w:styleId="CommentSubject">
    <w:name w:val="annotation subject"/>
    <w:basedOn w:val="CommentText"/>
    <w:next w:val="CommentText"/>
    <w:link w:val="CommentSubjectChar"/>
    <w:uiPriority w:val="99"/>
    <w:semiHidden/>
    <w:unhideWhenUsed/>
    <w:rsid w:val="004F73A6"/>
    <w:rPr>
      <w:b/>
      <w:bCs/>
    </w:rPr>
  </w:style>
  <w:style w:type="character" w:customStyle="1" w:styleId="CommentSubjectChar">
    <w:name w:val="Comment Subject Char"/>
    <w:basedOn w:val="CommentTextChar"/>
    <w:link w:val="CommentSubject"/>
    <w:uiPriority w:val="99"/>
    <w:semiHidden/>
    <w:rsid w:val="004F73A6"/>
    <w:rPr>
      <w:b/>
      <w:bCs/>
      <w:lang w:val="en-GB"/>
    </w:rPr>
  </w:style>
  <w:style w:type="character" w:customStyle="1" w:styleId="BodyTextIndentChar">
    <w:name w:val="Body Text Indent Char"/>
    <w:basedOn w:val="DefaultParagraphFont"/>
    <w:link w:val="BodyTextIndent"/>
    <w:semiHidden/>
    <w:rsid w:val="003D436B"/>
    <w:rPr>
      <w:sz w:val="24"/>
      <w:szCs w:val="24"/>
      <w:lang w:val="cs-CZ"/>
    </w:rPr>
  </w:style>
  <w:style w:type="paragraph" w:styleId="BodyText2">
    <w:name w:val="Body Text 2"/>
    <w:basedOn w:val="Normal"/>
    <w:link w:val="BodyText2Char"/>
    <w:uiPriority w:val="99"/>
    <w:semiHidden/>
    <w:unhideWhenUsed/>
    <w:rsid w:val="003D436B"/>
    <w:pPr>
      <w:spacing w:after="120" w:line="480" w:lineRule="auto"/>
    </w:pPr>
    <w:rPr>
      <w:rFonts w:asciiTheme="minorHAnsi" w:eastAsiaTheme="minorHAnsi" w:hAnsiTheme="minorHAnsi" w:cstheme="minorBidi"/>
      <w:sz w:val="22"/>
      <w:szCs w:val="22"/>
      <w:lang w:val="cs-CZ"/>
    </w:rPr>
  </w:style>
  <w:style w:type="character" w:customStyle="1" w:styleId="BodyText2Char">
    <w:name w:val="Body Text 2 Char"/>
    <w:basedOn w:val="DefaultParagraphFont"/>
    <w:link w:val="BodyText2"/>
    <w:uiPriority w:val="99"/>
    <w:semiHidden/>
    <w:rsid w:val="003D436B"/>
    <w:rPr>
      <w:rFonts w:asciiTheme="minorHAnsi" w:eastAsiaTheme="minorHAnsi" w:hAnsiTheme="minorHAnsi" w:cstheme="minorBidi"/>
      <w:sz w:val="22"/>
      <w:szCs w:val="22"/>
      <w:lang w:val="cs-CZ"/>
    </w:rPr>
  </w:style>
  <w:style w:type="paragraph" w:styleId="Revision">
    <w:name w:val="Revision"/>
    <w:hidden/>
    <w:uiPriority w:val="99"/>
    <w:semiHidden/>
    <w:rsid w:val="00B844D7"/>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441919">
      <w:bodyDiv w:val="1"/>
      <w:marLeft w:val="25"/>
      <w:marRight w:val="25"/>
      <w:marTop w:val="0"/>
      <w:marBottom w:val="0"/>
      <w:divBdr>
        <w:top w:val="none" w:sz="0" w:space="0" w:color="auto"/>
        <w:left w:val="none" w:sz="0" w:space="0" w:color="auto"/>
        <w:bottom w:val="none" w:sz="0" w:space="0" w:color="auto"/>
        <w:right w:val="none" w:sz="0" w:space="0" w:color="auto"/>
      </w:divBdr>
      <w:divsChild>
        <w:div w:id="938566067">
          <w:marLeft w:val="0"/>
          <w:marRight w:val="0"/>
          <w:marTop w:val="0"/>
          <w:marBottom w:val="0"/>
          <w:divBdr>
            <w:top w:val="none" w:sz="0" w:space="0" w:color="auto"/>
            <w:left w:val="none" w:sz="0" w:space="0" w:color="auto"/>
            <w:bottom w:val="none" w:sz="0" w:space="0" w:color="auto"/>
            <w:right w:val="none" w:sz="0" w:space="0" w:color="auto"/>
          </w:divBdr>
          <w:divsChild>
            <w:div w:id="648362046">
              <w:marLeft w:val="0"/>
              <w:marRight w:val="0"/>
              <w:marTop w:val="0"/>
              <w:marBottom w:val="0"/>
              <w:divBdr>
                <w:top w:val="none" w:sz="0" w:space="0" w:color="auto"/>
                <w:left w:val="none" w:sz="0" w:space="0" w:color="auto"/>
                <w:bottom w:val="none" w:sz="0" w:space="0" w:color="auto"/>
                <w:right w:val="none" w:sz="0" w:space="0" w:color="auto"/>
              </w:divBdr>
              <w:divsChild>
                <w:div w:id="898175402">
                  <w:marLeft w:val="150"/>
                  <w:marRight w:val="0"/>
                  <w:marTop w:val="0"/>
                  <w:marBottom w:val="0"/>
                  <w:divBdr>
                    <w:top w:val="none" w:sz="0" w:space="0" w:color="auto"/>
                    <w:left w:val="none" w:sz="0" w:space="0" w:color="auto"/>
                    <w:bottom w:val="none" w:sz="0" w:space="0" w:color="auto"/>
                    <w:right w:val="none" w:sz="0" w:space="0" w:color="auto"/>
                  </w:divBdr>
                  <w:divsChild>
                    <w:div w:id="120934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534087">
      <w:bodyDiv w:val="1"/>
      <w:marLeft w:val="0"/>
      <w:marRight w:val="0"/>
      <w:marTop w:val="0"/>
      <w:marBottom w:val="0"/>
      <w:divBdr>
        <w:top w:val="none" w:sz="0" w:space="0" w:color="auto"/>
        <w:left w:val="none" w:sz="0" w:space="0" w:color="auto"/>
        <w:bottom w:val="none" w:sz="0" w:space="0" w:color="auto"/>
        <w:right w:val="none" w:sz="0" w:space="0" w:color="auto"/>
      </w:divBdr>
    </w:div>
    <w:div w:id="978875352">
      <w:bodyDiv w:val="1"/>
      <w:marLeft w:val="25"/>
      <w:marRight w:val="25"/>
      <w:marTop w:val="0"/>
      <w:marBottom w:val="0"/>
      <w:divBdr>
        <w:top w:val="none" w:sz="0" w:space="0" w:color="auto"/>
        <w:left w:val="none" w:sz="0" w:space="0" w:color="auto"/>
        <w:bottom w:val="none" w:sz="0" w:space="0" w:color="auto"/>
        <w:right w:val="none" w:sz="0" w:space="0" w:color="auto"/>
      </w:divBdr>
      <w:divsChild>
        <w:div w:id="1385715990">
          <w:marLeft w:val="0"/>
          <w:marRight w:val="0"/>
          <w:marTop w:val="0"/>
          <w:marBottom w:val="0"/>
          <w:divBdr>
            <w:top w:val="none" w:sz="0" w:space="0" w:color="auto"/>
            <w:left w:val="none" w:sz="0" w:space="0" w:color="auto"/>
            <w:bottom w:val="none" w:sz="0" w:space="0" w:color="auto"/>
            <w:right w:val="none" w:sz="0" w:space="0" w:color="auto"/>
          </w:divBdr>
          <w:divsChild>
            <w:div w:id="1648166024">
              <w:marLeft w:val="0"/>
              <w:marRight w:val="0"/>
              <w:marTop w:val="0"/>
              <w:marBottom w:val="0"/>
              <w:divBdr>
                <w:top w:val="none" w:sz="0" w:space="0" w:color="auto"/>
                <w:left w:val="none" w:sz="0" w:space="0" w:color="auto"/>
                <w:bottom w:val="none" w:sz="0" w:space="0" w:color="auto"/>
                <w:right w:val="none" w:sz="0" w:space="0" w:color="auto"/>
              </w:divBdr>
              <w:divsChild>
                <w:div w:id="1601180949">
                  <w:marLeft w:val="150"/>
                  <w:marRight w:val="0"/>
                  <w:marTop w:val="0"/>
                  <w:marBottom w:val="0"/>
                  <w:divBdr>
                    <w:top w:val="none" w:sz="0" w:space="0" w:color="auto"/>
                    <w:left w:val="none" w:sz="0" w:space="0" w:color="auto"/>
                    <w:bottom w:val="none" w:sz="0" w:space="0" w:color="auto"/>
                    <w:right w:val="none" w:sz="0" w:space="0" w:color="auto"/>
                  </w:divBdr>
                  <w:divsChild>
                    <w:div w:id="127783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30C54-936C-4AEE-B924-1EDD6C967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1450</Words>
  <Characters>8555</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Smlouva o kartách euroShell Card</vt:lpstr>
    </vt:vector>
  </TitlesOfParts>
  <Company>Registered Company</Company>
  <LinksUpToDate>false</LinksUpToDate>
  <CharactersWithSpaces>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kartách euroShell Card</dc:title>
  <dc:creator>Registered User</dc:creator>
  <cp:lastModifiedBy>Zavadil, Matous SCAS-LSD/GCZ</cp:lastModifiedBy>
  <cp:revision>7</cp:revision>
  <cp:lastPrinted>2018-03-13T14:34:00Z</cp:lastPrinted>
  <dcterms:created xsi:type="dcterms:W3CDTF">2018-05-02T12:51:00Z</dcterms:created>
  <dcterms:modified xsi:type="dcterms:W3CDTF">2018-05-02T15:14:00Z</dcterms:modified>
</cp:coreProperties>
</file>