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5"/>
        </w:rPr>
      </w:pPr>
    </w:p>
    <w:p>
      <w:pPr>
        <w:pStyle w:val="Heading6"/>
        <w:spacing w:line="238" w:lineRule="exact" w:before="93"/>
        <w:ind w:right="2273"/>
        <w:rPr>
          <w:rFonts w:ascii="Arial" w:hAnsi="Arial"/>
        </w:rPr>
      </w:pPr>
      <w:r>
        <w:rPr>
          <w:rFonts w:ascii="Arial" w:hAnsi="Arial"/>
          <w:color w:val="181818"/>
        </w:rPr>
        <w:t>KUPNÍ SMLOUVA číslo 302{2018</w:t>
      </w:r>
    </w:p>
    <w:p>
      <w:pPr>
        <w:spacing w:line="235" w:lineRule="auto" w:before="0"/>
        <w:ind w:left="2129" w:right="22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181818"/>
          <w:sz w:val="22"/>
        </w:rPr>
        <w:t>uzavřená podle ust. </w:t>
      </w:r>
      <w:r>
        <w:rPr>
          <w:rFonts w:ascii="Arial" w:hAnsi="Arial"/>
          <w:color w:val="181818"/>
          <w:sz w:val="21"/>
        </w:rPr>
        <w:t>§ </w:t>
      </w:r>
      <w:r>
        <w:rPr>
          <w:rFonts w:ascii="Arial" w:hAnsi="Arial"/>
          <w:b/>
          <w:color w:val="181818"/>
          <w:sz w:val="22"/>
        </w:rPr>
        <w:t>1724 a násl. Občanského zákoníku </w:t>
      </w:r>
      <w:r>
        <w:rPr>
          <w:b/>
          <w:color w:val="181818"/>
          <w:sz w:val="25"/>
        </w:rPr>
        <w:t>č. </w:t>
      </w:r>
      <w:r>
        <w:rPr>
          <w:rFonts w:ascii="Arial" w:hAnsi="Arial"/>
          <w:b/>
          <w:color w:val="181818"/>
          <w:sz w:val="22"/>
        </w:rPr>
        <w:t>89/2012 Sb., ve </w:t>
      </w:r>
      <w:r>
        <w:rPr>
          <w:rFonts w:ascii="Arial" w:hAnsi="Arial"/>
          <w:b/>
          <w:color w:val="181818"/>
          <w:sz w:val="23"/>
        </w:rPr>
        <w:t>znění pozdějších </w:t>
      </w:r>
      <w:r>
        <w:rPr>
          <w:rFonts w:ascii="Arial" w:hAnsi="Arial"/>
          <w:b/>
          <w:color w:val="181818"/>
          <w:sz w:val="22"/>
        </w:rPr>
        <w:t>předpisft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Heading6"/>
        <w:ind w:right="2274"/>
        <w:rPr>
          <w:rFonts w:ascii="Arial" w:hAnsi="Arial"/>
        </w:rPr>
      </w:pPr>
      <w:r>
        <w:rPr>
          <w:rFonts w:ascii="Arial" w:hAnsi="Arial"/>
          <w:color w:val="181818"/>
        </w:rPr>
        <w:t>Smluvní strany</w:t>
      </w:r>
    </w:p>
    <w:p>
      <w:pPr>
        <w:pStyle w:val="BodyText"/>
        <w:spacing w:before="1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1910" w:h="16840"/>
          <w:pgMar w:top="1580" w:bottom="280" w:left="0" w:right="0"/>
        </w:sectPr>
      </w:pPr>
    </w:p>
    <w:p>
      <w:pPr>
        <w:pStyle w:val="ListParagraph"/>
        <w:numPr>
          <w:ilvl w:val="1"/>
          <w:numId w:val="1"/>
        </w:numPr>
        <w:tabs>
          <w:tab w:pos="1883" w:val="left" w:leader="none"/>
        </w:tabs>
        <w:spacing w:line="249" w:lineRule="auto" w:before="93" w:after="0"/>
        <w:ind w:left="1723" w:right="513" w:hanging="204"/>
        <w:jc w:val="left"/>
        <w:rPr>
          <w:rFonts w:ascii="Arial" w:hAnsi="Arial"/>
          <w:sz w:val="22"/>
        </w:rPr>
      </w:pPr>
      <w:r>
        <w:rPr>
          <w:rFonts w:ascii="Arial" w:hAnsi="Arial"/>
          <w:color w:val="181818"/>
          <w:sz w:val="22"/>
        </w:rPr>
        <w:t>Kupující Název: Sídlo: </w:t>
      </w:r>
      <w:r>
        <w:rPr>
          <w:rFonts w:ascii="Arial" w:hAnsi="Arial"/>
          <w:color w:val="181818"/>
          <w:w w:val="90"/>
          <w:sz w:val="22"/>
        </w:rPr>
        <w:t>Zastoupený:</w:t>
      </w:r>
    </w:p>
    <w:p>
      <w:pPr>
        <w:spacing w:line="271" w:lineRule="exact" w:before="0"/>
        <w:ind w:left="1704" w:right="0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color w:val="181818"/>
          <w:w w:val="75"/>
          <w:sz w:val="28"/>
        </w:rPr>
        <w:t>IČ:</w:t>
      </w:r>
    </w:p>
    <w:p>
      <w:pPr>
        <w:spacing w:line="274" w:lineRule="exact" w:before="0"/>
        <w:ind w:left="1729" w:right="0" w:firstLine="0"/>
        <w:jc w:val="left"/>
        <w:rPr>
          <w:rFonts w:ascii="Courier New" w:hAnsi="Courier New"/>
          <w:sz w:val="27"/>
        </w:rPr>
      </w:pPr>
      <w:r>
        <w:rPr>
          <w:rFonts w:ascii="Courier New" w:hAnsi="Courier New"/>
          <w:color w:val="181818"/>
          <w:w w:val="80"/>
          <w:sz w:val="27"/>
        </w:rPr>
        <w:t>DIČ:</w:t>
      </w:r>
    </w:p>
    <w:p>
      <w:pPr>
        <w:pStyle w:val="BodyText"/>
        <w:spacing w:line="259" w:lineRule="auto"/>
        <w:ind w:left="1729" w:right="-8" w:firstLine="4"/>
        <w:rPr>
          <w:rFonts w:ascii="Arial" w:hAnsi="Arial"/>
        </w:rPr>
      </w:pPr>
      <w:r>
        <w:rPr>
          <w:rFonts w:ascii="Arial" w:hAnsi="Arial"/>
          <w:color w:val="181818"/>
          <w:w w:val="95"/>
        </w:rPr>
        <w:t>Bankovní</w:t>
      </w:r>
      <w:r>
        <w:rPr>
          <w:rFonts w:ascii="Arial" w:hAnsi="Arial"/>
          <w:color w:val="181818"/>
          <w:spacing w:val="-17"/>
          <w:w w:val="95"/>
        </w:rPr>
        <w:t> </w:t>
      </w:r>
      <w:r>
        <w:rPr>
          <w:rFonts w:ascii="Arial" w:hAnsi="Arial"/>
          <w:color w:val="181818"/>
          <w:w w:val="95"/>
        </w:rPr>
        <w:t>spojení: </w:t>
      </w:r>
      <w:r>
        <w:rPr>
          <w:rFonts w:ascii="Arial" w:hAnsi="Arial"/>
          <w:color w:val="181818"/>
        </w:rPr>
        <w:t>Číslo</w:t>
      </w:r>
      <w:r>
        <w:rPr>
          <w:rFonts w:ascii="Arial" w:hAnsi="Arial"/>
          <w:color w:val="181818"/>
          <w:spacing w:val="-7"/>
        </w:rPr>
        <w:t> </w:t>
      </w:r>
      <w:r>
        <w:rPr>
          <w:rFonts w:ascii="Arial" w:hAnsi="Arial"/>
          <w:color w:val="181818"/>
        </w:rPr>
        <w:t>účtu:</w:t>
      </w:r>
    </w:p>
    <w:p>
      <w:pPr>
        <w:pStyle w:val="BodyText"/>
        <w:spacing w:before="2"/>
        <w:rPr>
          <w:rFonts w:ascii="Arial"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887" w:val="left" w:leader="none"/>
        </w:tabs>
        <w:spacing w:line="235" w:lineRule="auto" w:before="0" w:after="0"/>
        <w:ind w:left="1714" w:right="478" w:hanging="185"/>
        <w:jc w:val="left"/>
        <w:rPr>
          <w:rFonts w:ascii="Courier New" w:hAnsi="Courier New"/>
          <w:sz w:val="27"/>
        </w:rPr>
      </w:pPr>
      <w:r>
        <w:rPr>
          <w:rFonts w:ascii="Arial" w:hAnsi="Arial"/>
          <w:color w:val="181818"/>
          <w:spacing w:val="-1"/>
          <w:w w:val="90"/>
          <w:sz w:val="22"/>
        </w:rPr>
        <w:t>Prodávající </w:t>
      </w:r>
      <w:r>
        <w:rPr>
          <w:rFonts w:ascii="Arial" w:hAnsi="Arial"/>
          <w:color w:val="181818"/>
          <w:sz w:val="22"/>
        </w:rPr>
        <w:t>Název: Sídlo: </w:t>
      </w:r>
      <w:r>
        <w:rPr>
          <w:rFonts w:ascii="Arial" w:hAnsi="Arial"/>
          <w:color w:val="181818"/>
          <w:w w:val="95"/>
          <w:sz w:val="22"/>
        </w:rPr>
        <w:t>Zastoupený: </w:t>
      </w:r>
      <w:r>
        <w:rPr>
          <w:rFonts w:ascii="Courier New" w:hAnsi="Courier New"/>
          <w:color w:val="181818"/>
          <w:sz w:val="27"/>
        </w:rPr>
        <w:t>IČ:</w:t>
      </w:r>
    </w:p>
    <w:p>
      <w:pPr>
        <w:spacing w:line="244" w:lineRule="exact" w:before="0"/>
        <w:ind w:left="1673" w:right="1157" w:firstLine="0"/>
        <w:jc w:val="center"/>
        <w:rPr>
          <w:rFonts w:ascii="Courier New" w:hAnsi="Courier New"/>
          <w:sz w:val="27"/>
        </w:rPr>
      </w:pPr>
      <w:r>
        <w:rPr>
          <w:rFonts w:ascii="Courier New" w:hAnsi="Courier New"/>
          <w:color w:val="181818"/>
          <w:w w:val="80"/>
          <w:sz w:val="27"/>
        </w:rPr>
        <w:t>DIČ:</w:t>
      </w:r>
    </w:p>
    <w:p>
      <w:pPr>
        <w:pStyle w:val="BodyText"/>
        <w:spacing w:line="235" w:lineRule="exact"/>
        <w:ind w:left="1733"/>
        <w:rPr>
          <w:rFonts w:ascii="Arial" w:hAnsi="Arial"/>
        </w:rPr>
      </w:pPr>
      <w:r>
        <w:rPr>
          <w:rFonts w:ascii="Arial" w:hAnsi="Arial"/>
          <w:color w:val="181818"/>
          <w:spacing w:val="-8"/>
        </w:rPr>
        <w:t>Ban</w:t>
      </w:r>
      <w:r>
        <w:rPr>
          <w:rFonts w:ascii="Arial" w:hAnsi="Arial"/>
          <w:color w:val="383838"/>
          <w:spacing w:val="-8"/>
        </w:rPr>
        <w:t>kovn</w:t>
      </w:r>
      <w:r>
        <w:rPr>
          <w:rFonts w:ascii="Arial" w:hAnsi="Arial"/>
          <w:color w:val="181818"/>
          <w:spacing w:val="-8"/>
        </w:rPr>
        <w:t>í</w:t>
      </w:r>
      <w:r>
        <w:rPr>
          <w:rFonts w:ascii="Arial" w:hAnsi="Arial"/>
          <w:color w:val="181818"/>
          <w:spacing w:val="-30"/>
        </w:rPr>
        <w:t> </w:t>
      </w:r>
      <w:r>
        <w:rPr>
          <w:rFonts w:ascii="Arial" w:hAnsi="Arial"/>
          <w:color w:val="181818"/>
        </w:rPr>
        <w:t>spojení:</w:t>
      </w:r>
    </w:p>
    <w:p>
      <w:pPr>
        <w:pStyle w:val="BodyText"/>
        <w:spacing w:line="251" w:lineRule="exact"/>
        <w:ind w:left="1729"/>
        <w:rPr>
          <w:rFonts w:ascii="Arial" w:hAnsi="Arial"/>
        </w:rPr>
      </w:pPr>
      <w:r>
        <w:rPr>
          <w:rFonts w:ascii="Arial" w:hAnsi="Arial"/>
          <w:color w:val="181818"/>
        </w:rPr>
        <w:t>Č</w:t>
      </w:r>
      <w:r>
        <w:rPr>
          <w:rFonts w:ascii="Arial" w:hAnsi="Arial"/>
          <w:color w:val="383838"/>
        </w:rPr>
        <w:t>íslo </w:t>
      </w:r>
      <w:r>
        <w:rPr>
          <w:rFonts w:ascii="Arial" w:hAnsi="Arial"/>
          <w:color w:val="2A2A2A"/>
        </w:rPr>
        <w:t>účtu:</w:t>
      </w:r>
    </w:p>
    <w:p>
      <w:pPr>
        <w:pStyle w:val="BodyText"/>
        <w:rPr>
          <w:rFonts w:ascii="Arial"/>
          <w:sz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pStyle w:val="BodyText"/>
        <w:spacing w:line="259" w:lineRule="auto"/>
        <w:ind w:left="198" w:right="890" w:hanging="5"/>
        <w:rPr>
          <w:rFonts w:ascii="Arial" w:hAnsi="Arial"/>
        </w:rPr>
      </w:pPr>
      <w:r>
        <w:rPr>
          <w:rFonts w:ascii="Arial" w:hAnsi="Arial"/>
          <w:color w:val="181818"/>
        </w:rPr>
        <w:t>ČR</w:t>
      </w:r>
      <w:r>
        <w:rPr>
          <w:rFonts w:ascii="Arial" w:hAnsi="Arial"/>
          <w:color w:val="181818"/>
          <w:spacing w:val="-41"/>
        </w:rPr>
        <w:t> </w:t>
      </w:r>
      <w:r>
        <w:rPr>
          <w:rFonts w:ascii="Arial" w:hAnsi="Arial"/>
          <w:color w:val="181818"/>
        </w:rPr>
        <w:t>-</w:t>
      </w:r>
      <w:r>
        <w:rPr>
          <w:rFonts w:ascii="Arial" w:hAnsi="Arial"/>
          <w:color w:val="181818"/>
          <w:spacing w:val="-14"/>
        </w:rPr>
        <w:t> </w:t>
      </w:r>
      <w:r>
        <w:rPr>
          <w:rFonts w:ascii="Arial" w:hAnsi="Arial"/>
          <w:color w:val="181818"/>
        </w:rPr>
        <w:t>Ústav</w:t>
      </w:r>
      <w:r>
        <w:rPr>
          <w:rFonts w:ascii="Arial" w:hAnsi="Arial"/>
          <w:color w:val="181818"/>
          <w:spacing w:val="-38"/>
        </w:rPr>
        <w:t> </w:t>
      </w:r>
      <w:r>
        <w:rPr>
          <w:rFonts w:ascii="Arial" w:hAnsi="Arial"/>
          <w:color w:val="181818"/>
        </w:rPr>
        <w:t>pro</w:t>
      </w:r>
      <w:r>
        <w:rPr>
          <w:rFonts w:ascii="Arial" w:hAnsi="Arial"/>
          <w:color w:val="181818"/>
          <w:spacing w:val="-40"/>
        </w:rPr>
        <w:t> </w:t>
      </w:r>
      <w:r>
        <w:rPr>
          <w:rFonts w:ascii="Arial" w:hAnsi="Arial"/>
          <w:color w:val="181818"/>
        </w:rPr>
        <w:t>odborně</w:t>
      </w:r>
      <w:r>
        <w:rPr>
          <w:rFonts w:ascii="Arial" w:hAnsi="Arial"/>
          <w:color w:val="181818"/>
          <w:spacing w:val="-37"/>
        </w:rPr>
        <w:t> </w:t>
      </w:r>
      <w:r>
        <w:rPr>
          <w:rFonts w:ascii="Arial" w:hAnsi="Arial"/>
          <w:color w:val="181818"/>
        </w:rPr>
        <w:t>technické</w:t>
      </w:r>
      <w:r>
        <w:rPr>
          <w:rFonts w:ascii="Arial" w:hAnsi="Arial"/>
          <w:color w:val="181818"/>
          <w:spacing w:val="-32"/>
        </w:rPr>
        <w:t> </w:t>
      </w:r>
      <w:r>
        <w:rPr>
          <w:rFonts w:ascii="Arial" w:hAnsi="Arial"/>
          <w:color w:val="181818"/>
        </w:rPr>
        <w:t>zjišťování</w:t>
      </w:r>
      <w:r>
        <w:rPr>
          <w:rFonts w:ascii="Arial" w:hAnsi="Arial"/>
          <w:color w:val="181818"/>
          <w:spacing w:val="-35"/>
        </w:rPr>
        <w:t> </w:t>
      </w:r>
      <w:r>
        <w:rPr>
          <w:rFonts w:ascii="Arial" w:hAnsi="Arial"/>
          <w:color w:val="181818"/>
        </w:rPr>
        <w:t>příčin</w:t>
      </w:r>
      <w:r>
        <w:rPr>
          <w:rFonts w:ascii="Arial" w:hAnsi="Arial"/>
          <w:color w:val="181818"/>
          <w:spacing w:val="-36"/>
        </w:rPr>
        <w:t> </w:t>
      </w:r>
      <w:r>
        <w:rPr>
          <w:rFonts w:ascii="Arial" w:hAnsi="Arial"/>
          <w:color w:val="181818"/>
        </w:rPr>
        <w:t>leteckých</w:t>
      </w:r>
      <w:r>
        <w:rPr>
          <w:rFonts w:ascii="Arial" w:hAnsi="Arial"/>
          <w:color w:val="181818"/>
          <w:spacing w:val="-36"/>
        </w:rPr>
        <w:t> </w:t>
      </w:r>
      <w:r>
        <w:rPr>
          <w:rFonts w:ascii="Arial" w:hAnsi="Arial"/>
          <w:color w:val="181818"/>
        </w:rPr>
        <w:t>nehod Beranových </w:t>
      </w:r>
      <w:r>
        <w:rPr>
          <w:color w:val="181818"/>
        </w:rPr>
        <w:t>130, 199 </w:t>
      </w:r>
      <w:r>
        <w:rPr>
          <w:rFonts w:ascii="Arial" w:hAnsi="Arial"/>
          <w:color w:val="181818"/>
        </w:rPr>
        <w:t>01 Praha </w:t>
      </w:r>
      <w:r>
        <w:rPr>
          <w:color w:val="181818"/>
        </w:rPr>
        <w:t>9 -</w:t>
      </w:r>
      <w:r>
        <w:rPr>
          <w:color w:val="181818"/>
          <w:spacing w:val="-12"/>
        </w:rPr>
        <w:t> </w:t>
      </w:r>
      <w:r>
        <w:rPr>
          <w:rFonts w:ascii="Arial" w:hAnsi="Arial"/>
          <w:color w:val="181818"/>
        </w:rPr>
        <w:t>Letňany</w:t>
      </w:r>
    </w:p>
    <w:p>
      <w:pPr>
        <w:pStyle w:val="BodyText"/>
        <w:spacing w:line="248" w:lineRule="exact"/>
        <w:ind w:left="204"/>
        <w:rPr>
          <w:rFonts w:ascii="Arial" w:hAnsi="Arial"/>
        </w:rPr>
      </w:pPr>
      <w:r>
        <w:rPr>
          <w:color w:val="181818"/>
        </w:rPr>
        <w:t>Ing. </w:t>
      </w:r>
      <w:r>
        <w:rPr>
          <w:rFonts w:ascii="Arial" w:hAnsi="Arial"/>
          <w:color w:val="181818"/>
        </w:rPr>
        <w:t>Pavlem Štrublem, ředitelem</w:t>
      </w:r>
    </w:p>
    <w:p>
      <w:pPr>
        <w:pStyle w:val="Heading3"/>
        <w:spacing w:line="271" w:lineRule="exact"/>
      </w:pPr>
      <w:r>
        <w:rPr>
          <w:color w:val="181818"/>
        </w:rPr>
        <w:t>70990948</w:t>
      </w:r>
    </w:p>
    <w:p>
      <w:pPr>
        <w:spacing w:line="244" w:lineRule="auto" w:before="0"/>
        <w:ind w:left="202" w:right="6500" w:hanging="6"/>
        <w:jc w:val="left"/>
        <w:rPr>
          <w:sz w:val="24"/>
        </w:rPr>
      </w:pPr>
      <w:r>
        <w:rPr>
          <w:rFonts w:ascii="Arial" w:hAnsi="Arial"/>
          <w:color w:val="181818"/>
          <w:w w:val="95"/>
          <w:sz w:val="22"/>
        </w:rPr>
        <w:t>Neplátce </w:t>
      </w:r>
      <w:r>
        <w:rPr>
          <w:color w:val="181818"/>
          <w:w w:val="95"/>
          <w:sz w:val="24"/>
        </w:rPr>
        <w:t>DPH </w:t>
      </w:r>
      <w:r>
        <w:rPr>
          <w:rFonts w:ascii="Arial" w:hAnsi="Arial"/>
          <w:color w:val="181818"/>
          <w:sz w:val="22"/>
        </w:rPr>
        <w:t>ČNB Praha </w:t>
      </w:r>
      <w:r>
        <w:rPr>
          <w:rFonts w:ascii="Arial" w:hAnsi="Arial"/>
          <w:color w:val="2A2A2A"/>
          <w:sz w:val="22"/>
        </w:rPr>
        <w:t>1 </w:t>
      </w:r>
      <w:r>
        <w:rPr>
          <w:color w:val="181818"/>
          <w:w w:val="95"/>
          <w:sz w:val="24"/>
        </w:rPr>
        <w:t>5126091/0710</w:t>
      </w:r>
    </w:p>
    <w:p>
      <w:pPr>
        <w:pStyle w:val="BodyText"/>
        <w:rPr>
          <w:sz w:val="26"/>
        </w:rPr>
      </w:pPr>
    </w:p>
    <w:p>
      <w:pPr>
        <w:pStyle w:val="BodyText"/>
        <w:spacing w:before="211"/>
        <w:ind w:left="207" w:right="5912" w:firstLine="2"/>
        <w:rPr>
          <w:rFonts w:ascii="Arial" w:hAnsi="Arial"/>
        </w:rPr>
      </w:pPr>
      <w:r>
        <w:rPr>
          <w:rFonts w:ascii="Arial" w:hAnsi="Arial"/>
          <w:color w:val="181818"/>
        </w:rPr>
        <w:t>Axes Computers s.r.o Kollárova</w:t>
      </w:r>
      <w:r>
        <w:rPr>
          <w:rFonts w:ascii="Arial" w:hAnsi="Arial"/>
          <w:color w:val="181818"/>
          <w:spacing w:val="-33"/>
        </w:rPr>
        <w:t> </w:t>
      </w:r>
      <w:r>
        <w:rPr>
          <w:rFonts w:ascii="Arial" w:hAnsi="Arial"/>
          <w:color w:val="181818"/>
        </w:rPr>
        <w:t>1,</w:t>
      </w:r>
      <w:r>
        <w:rPr>
          <w:rFonts w:ascii="Arial" w:hAnsi="Arial"/>
          <w:color w:val="181818"/>
          <w:spacing w:val="-44"/>
        </w:rPr>
        <w:t> </w:t>
      </w:r>
      <w:r>
        <w:rPr>
          <w:rFonts w:ascii="Arial" w:hAnsi="Arial"/>
          <w:color w:val="181818"/>
        </w:rPr>
        <w:t>301</w:t>
      </w:r>
      <w:r>
        <w:rPr>
          <w:rFonts w:ascii="Arial" w:hAnsi="Arial"/>
          <w:color w:val="181818"/>
          <w:spacing w:val="-49"/>
        </w:rPr>
        <w:t> </w:t>
      </w:r>
      <w:r>
        <w:rPr>
          <w:rFonts w:ascii="Arial" w:hAnsi="Arial"/>
          <w:color w:val="181818"/>
        </w:rPr>
        <w:t>00</w:t>
      </w:r>
      <w:r>
        <w:rPr>
          <w:rFonts w:ascii="Arial" w:hAnsi="Arial"/>
          <w:color w:val="181818"/>
          <w:spacing w:val="-41"/>
        </w:rPr>
        <w:t> </w:t>
      </w:r>
      <w:r>
        <w:rPr>
          <w:rFonts w:ascii="Arial" w:hAnsi="Arial"/>
          <w:color w:val="181818"/>
        </w:rPr>
        <w:t>Plzeň</w:t>
      </w:r>
    </w:p>
    <w:p>
      <w:pPr>
        <w:pStyle w:val="BodyText"/>
        <w:spacing w:before="3"/>
        <w:ind w:left="203"/>
        <w:rPr>
          <w:rFonts w:ascii="Arial" w:hAnsi="Arial"/>
        </w:rPr>
      </w:pPr>
      <w:r>
        <w:rPr>
          <w:rFonts w:ascii="Arial" w:hAnsi="Arial"/>
          <w:color w:val="181818"/>
          <w:sz w:val="21"/>
        </w:rPr>
        <w:t>Mgr. </w:t>
      </w:r>
      <w:r>
        <w:rPr>
          <w:rFonts w:ascii="Arial" w:hAnsi="Arial"/>
          <w:color w:val="181818"/>
        </w:rPr>
        <w:t>Jiřím Blažkem, jednatelem</w:t>
      </w:r>
    </w:p>
    <w:p>
      <w:pPr>
        <w:pStyle w:val="Heading2"/>
        <w:spacing w:line="269" w:lineRule="exact"/>
        <w:ind w:left="198"/>
      </w:pPr>
      <w:r>
        <w:rPr>
          <w:color w:val="181818"/>
          <w:w w:val="85"/>
        </w:rPr>
        <w:t>25232312</w:t>
      </w:r>
    </w:p>
    <w:p>
      <w:pPr>
        <w:spacing w:line="256" w:lineRule="exact" w:before="0"/>
        <w:ind w:left="194" w:right="0" w:firstLine="0"/>
        <w:jc w:val="left"/>
        <w:rPr>
          <w:rFonts w:ascii="Courier New"/>
          <w:sz w:val="25"/>
        </w:rPr>
      </w:pPr>
      <w:r>
        <w:rPr>
          <w:rFonts w:ascii="Courier New"/>
          <w:color w:val="181818"/>
          <w:w w:val="90"/>
          <w:sz w:val="25"/>
        </w:rPr>
        <w:t>CZ25232312</w:t>
      </w:r>
    </w:p>
    <w:p>
      <w:pPr>
        <w:pStyle w:val="BodyText"/>
        <w:spacing w:line="237" w:lineRule="auto"/>
        <w:ind w:left="208" w:right="6500" w:hanging="8"/>
        <w:rPr>
          <w:rFonts w:ascii="Arial"/>
        </w:rPr>
      </w:pPr>
      <w:r>
        <w:rPr>
          <w:rFonts w:ascii="Arial"/>
          <w:color w:val="181818"/>
        </w:rPr>
        <w:t>Flo banka, a.s </w:t>
      </w:r>
      <w:r>
        <w:rPr>
          <w:rFonts w:ascii="Arial"/>
          <w:color w:val="181818"/>
          <w:w w:val="95"/>
        </w:rPr>
        <w:t>2200145262/2010</w:t>
      </w:r>
    </w:p>
    <w:p>
      <w:pPr>
        <w:spacing w:after="0" w:line="237" w:lineRule="auto"/>
        <w:rPr>
          <w:rFonts w:ascii="Arial"/>
        </w:rPr>
        <w:sectPr>
          <w:type w:val="continuous"/>
          <w:pgSz w:w="11910" w:h="16840"/>
          <w:pgMar w:top="1580" w:bottom="280" w:left="0" w:right="0"/>
          <w:cols w:num="2" w:equalWidth="0">
            <w:col w:w="3390" w:space="40"/>
            <w:col w:w="8480"/>
          </w:cols>
        </w:sectPr>
      </w:pPr>
    </w:p>
    <w:p>
      <w:pPr>
        <w:pStyle w:val="BodyText"/>
        <w:spacing w:before="4"/>
        <w:rPr>
          <w:rFonts w:ascii="Arial"/>
          <w:sz w:val="9"/>
        </w:rPr>
      </w:pPr>
    </w:p>
    <w:p>
      <w:pPr>
        <w:pStyle w:val="Heading4"/>
        <w:spacing w:before="91"/>
        <w:ind w:right="2255"/>
        <w:rPr>
          <w:b w:val="0"/>
        </w:rPr>
      </w:pPr>
      <w:r>
        <w:rPr>
          <w:color w:val="181818"/>
        </w:rPr>
        <w:t>Článek </w:t>
      </w:r>
      <w:r>
        <w:rPr>
          <w:b w:val="0"/>
          <w:color w:val="181818"/>
        </w:rPr>
        <w:t>1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2129" w:right="2257" w:firstLine="0"/>
        <w:jc w:val="center"/>
        <w:rPr>
          <w:b/>
          <w:sz w:val="23"/>
        </w:rPr>
      </w:pPr>
      <w:r>
        <w:rPr>
          <w:b/>
          <w:color w:val="181818"/>
          <w:sz w:val="23"/>
        </w:rPr>
        <w:t>Předmět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228" w:val="left" w:leader="none"/>
        </w:tabs>
        <w:spacing w:line="240" w:lineRule="auto" w:before="0" w:after="0"/>
        <w:ind w:left="2227" w:right="1624" w:hanging="354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Předmětem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této</w:t>
      </w:r>
      <w:r>
        <w:rPr>
          <w:color w:val="181818"/>
          <w:spacing w:val="-19"/>
          <w:w w:val="105"/>
          <w:sz w:val="22"/>
        </w:rPr>
        <w:t> </w:t>
      </w:r>
      <w:r>
        <w:rPr>
          <w:color w:val="181818"/>
          <w:w w:val="105"/>
          <w:sz w:val="22"/>
        </w:rPr>
        <w:t>smlouvy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w w:val="105"/>
          <w:sz w:val="22"/>
        </w:rPr>
        <w:t>je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prodej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w w:val="105"/>
          <w:sz w:val="22"/>
        </w:rPr>
        <w:t>mže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4"/>
        </w:rPr>
        <w:t>uvedeného</w:t>
      </w:r>
      <w:r>
        <w:rPr>
          <w:color w:val="181818"/>
          <w:spacing w:val="-14"/>
          <w:w w:val="105"/>
          <w:sz w:val="24"/>
        </w:rPr>
        <w:t> </w:t>
      </w:r>
      <w:r>
        <w:rPr>
          <w:color w:val="181818"/>
          <w:w w:val="105"/>
          <w:sz w:val="22"/>
        </w:rPr>
        <w:t>materiálu,</w:t>
      </w:r>
      <w:r>
        <w:rPr>
          <w:color w:val="181818"/>
          <w:spacing w:val="-4"/>
          <w:w w:val="105"/>
          <w:sz w:val="22"/>
        </w:rPr>
        <w:t> </w:t>
      </w:r>
      <w:r>
        <w:rPr>
          <w:color w:val="181818"/>
          <w:w w:val="105"/>
          <w:sz w:val="24"/>
        </w:rPr>
        <w:t>jehož</w:t>
      </w:r>
      <w:r>
        <w:rPr>
          <w:color w:val="181818"/>
          <w:spacing w:val="-23"/>
          <w:w w:val="105"/>
          <w:sz w:val="24"/>
        </w:rPr>
        <w:t> </w:t>
      </w:r>
      <w:r>
        <w:rPr>
          <w:color w:val="181818"/>
          <w:w w:val="105"/>
          <w:sz w:val="22"/>
        </w:rPr>
        <w:t>technické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4"/>
        </w:rPr>
        <w:t>řešení</w:t>
      </w:r>
      <w:r>
        <w:rPr>
          <w:color w:val="181818"/>
          <w:spacing w:val="-18"/>
          <w:w w:val="105"/>
          <w:sz w:val="24"/>
        </w:rPr>
        <w:t> </w:t>
      </w:r>
      <w:r>
        <w:rPr>
          <w:color w:val="181818"/>
          <w:w w:val="105"/>
          <w:sz w:val="22"/>
        </w:rPr>
        <w:t>a</w:t>
      </w:r>
      <w:r>
        <w:rPr>
          <w:color w:val="2A2A2A"/>
          <w:w w:val="105"/>
          <w:sz w:val="22"/>
        </w:rPr>
        <w:t> cenový</w:t>
      </w:r>
      <w:r>
        <w:rPr>
          <w:color w:val="2A2A2A"/>
          <w:spacing w:val="-16"/>
          <w:w w:val="105"/>
          <w:sz w:val="22"/>
        </w:rPr>
        <w:t> </w:t>
      </w:r>
      <w:r>
        <w:rPr>
          <w:color w:val="2A2A2A"/>
          <w:w w:val="105"/>
          <w:sz w:val="22"/>
        </w:rPr>
        <w:t>rozpočet</w:t>
      </w:r>
      <w:r>
        <w:rPr>
          <w:color w:val="2A2A2A"/>
          <w:spacing w:val="-15"/>
          <w:w w:val="105"/>
          <w:sz w:val="22"/>
        </w:rPr>
        <w:t> </w:t>
      </w:r>
      <w:r>
        <w:rPr>
          <w:color w:val="2A2A2A"/>
          <w:w w:val="105"/>
          <w:sz w:val="22"/>
        </w:rPr>
        <w:t>jsou</w:t>
      </w:r>
      <w:r>
        <w:rPr>
          <w:color w:val="2A2A2A"/>
          <w:spacing w:val="-20"/>
          <w:w w:val="105"/>
          <w:sz w:val="22"/>
        </w:rPr>
        <w:t> </w:t>
      </w:r>
      <w:r>
        <w:rPr>
          <w:color w:val="181818"/>
          <w:w w:val="105"/>
          <w:sz w:val="24"/>
        </w:rPr>
        <w:t>uvedeny</w:t>
      </w:r>
      <w:r>
        <w:rPr>
          <w:color w:val="181818"/>
          <w:spacing w:val="-11"/>
          <w:w w:val="105"/>
          <w:sz w:val="24"/>
        </w:rPr>
        <w:t> </w:t>
      </w:r>
      <w:r>
        <w:rPr>
          <w:color w:val="2A2A2A"/>
          <w:w w:val="105"/>
          <w:sz w:val="20"/>
        </w:rPr>
        <w:t>v</w:t>
      </w:r>
      <w:r>
        <w:rPr>
          <w:color w:val="2A2A2A"/>
          <w:spacing w:val="-7"/>
          <w:w w:val="105"/>
          <w:sz w:val="20"/>
        </w:rPr>
        <w:t> </w:t>
      </w:r>
      <w:r>
        <w:rPr>
          <w:color w:val="2A2A2A"/>
          <w:w w:val="105"/>
          <w:sz w:val="22"/>
        </w:rPr>
        <w:t>nabídce</w:t>
      </w:r>
      <w:r>
        <w:rPr>
          <w:color w:val="2A2A2A"/>
          <w:spacing w:val="-22"/>
          <w:w w:val="105"/>
          <w:sz w:val="22"/>
        </w:rPr>
        <w:t> </w:t>
      </w:r>
      <w:r>
        <w:rPr>
          <w:color w:val="181818"/>
          <w:w w:val="105"/>
          <w:sz w:val="22"/>
        </w:rPr>
        <w:t>prodávajícího.</w:t>
      </w:r>
      <w:r>
        <w:rPr>
          <w:color w:val="181818"/>
          <w:spacing w:val="-36"/>
          <w:w w:val="105"/>
          <w:sz w:val="22"/>
        </w:rPr>
        <w:t> </w:t>
      </w:r>
      <w:r>
        <w:rPr>
          <w:color w:val="181818"/>
          <w:w w:val="105"/>
          <w:sz w:val="24"/>
        </w:rPr>
        <w:t>Tato</w:t>
      </w:r>
      <w:r>
        <w:rPr>
          <w:color w:val="181818"/>
          <w:spacing w:val="-24"/>
          <w:w w:val="105"/>
          <w:sz w:val="24"/>
        </w:rPr>
        <w:t> </w:t>
      </w:r>
      <w:r>
        <w:rPr>
          <w:color w:val="181818"/>
          <w:w w:val="105"/>
          <w:sz w:val="22"/>
        </w:rPr>
        <w:t>nabídka</w:t>
      </w:r>
      <w:r>
        <w:rPr>
          <w:color w:val="181818"/>
          <w:spacing w:val="-22"/>
          <w:w w:val="105"/>
          <w:sz w:val="22"/>
        </w:rPr>
        <w:t> </w:t>
      </w:r>
      <w:r>
        <w:rPr>
          <w:color w:val="181818"/>
          <w:w w:val="105"/>
          <w:sz w:val="24"/>
        </w:rPr>
        <w:t>tvoří</w:t>
      </w:r>
      <w:r>
        <w:rPr>
          <w:color w:val="181818"/>
          <w:spacing w:val="-22"/>
          <w:w w:val="105"/>
          <w:sz w:val="24"/>
        </w:rPr>
        <w:t> </w:t>
      </w:r>
      <w:r>
        <w:rPr>
          <w:color w:val="181818"/>
          <w:w w:val="105"/>
          <w:sz w:val="24"/>
        </w:rPr>
        <w:t>pň1ohu</w:t>
      </w:r>
      <w:r>
        <w:rPr>
          <w:color w:val="181818"/>
          <w:spacing w:val="-33"/>
          <w:w w:val="105"/>
          <w:sz w:val="24"/>
        </w:rPr>
        <w:t> </w:t>
      </w:r>
      <w:r>
        <w:rPr>
          <w:color w:val="181818"/>
          <w:w w:val="105"/>
          <w:sz w:val="23"/>
        </w:rPr>
        <w:t>č.</w:t>
      </w:r>
      <w:r>
        <w:rPr>
          <w:color w:val="181818"/>
          <w:spacing w:val="-30"/>
          <w:w w:val="105"/>
          <w:sz w:val="23"/>
        </w:rPr>
        <w:t> </w:t>
      </w:r>
      <w:r>
        <w:rPr>
          <w:color w:val="181818"/>
          <w:w w:val="105"/>
          <w:sz w:val="23"/>
        </w:rPr>
        <w:t>1</w:t>
      </w:r>
      <w:r>
        <w:rPr>
          <w:color w:val="2A2A2A"/>
          <w:w w:val="105"/>
          <w:sz w:val="23"/>
        </w:rPr>
        <w:t> </w:t>
      </w:r>
      <w:r>
        <w:rPr>
          <w:color w:val="2A2A2A"/>
          <w:w w:val="105"/>
          <w:sz w:val="22"/>
        </w:rPr>
        <w:t>této smlouvy a je její nedílnou</w:t>
      </w:r>
      <w:r>
        <w:rPr>
          <w:color w:val="2A2A2A"/>
          <w:spacing w:val="3"/>
          <w:w w:val="105"/>
          <w:sz w:val="22"/>
        </w:rPr>
        <w:t> </w:t>
      </w:r>
      <w:r>
        <w:rPr>
          <w:color w:val="2A2A2A"/>
          <w:w w:val="105"/>
          <w:sz w:val="22"/>
        </w:rPr>
        <w:t>součástí.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2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815"/>
        <w:gridCol w:w="2704"/>
        <w:gridCol w:w="4096"/>
      </w:tblGrid>
      <w:tr>
        <w:trPr>
          <w:trHeight w:val="259" w:hRule="atLeast"/>
        </w:trPr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spacing w:line="220" w:lineRule="exact" w:before="19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181818"/>
                <w:sz w:val="20"/>
              </w:rPr>
              <w:t>Poěet</w:t>
            </w:r>
          </w:p>
        </w:tc>
        <w:tc>
          <w:tcPr>
            <w:tcW w:w="27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 w:before="29"/>
              <w:ind w:left="62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181818"/>
                <w:sz w:val="20"/>
              </w:rPr>
              <w:t>Věc</w:t>
            </w:r>
          </w:p>
        </w:tc>
      </w:tr>
      <w:tr>
        <w:trPr>
          <w:trHeight w:val="380" w:hRule="atLeast"/>
        </w:trPr>
        <w:tc>
          <w:tcPr>
            <w:tcW w:w="452" w:type="dxa"/>
          </w:tcPr>
          <w:p>
            <w:pPr>
              <w:pStyle w:val="TableParagraph"/>
              <w:spacing w:before="106"/>
              <w:ind w:right="54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181818"/>
                <w:sz w:val="20"/>
              </w:rPr>
              <w:t>14</w:t>
            </w:r>
          </w:p>
        </w:tc>
        <w:tc>
          <w:tcPr>
            <w:tcW w:w="815" w:type="dxa"/>
          </w:tcPr>
          <w:p>
            <w:pPr>
              <w:pStyle w:val="TableParagraph"/>
              <w:spacing w:line="246" w:lineRule="exact" w:before="114"/>
              <w:ind w:right="159"/>
              <w:jc w:val="righ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181818"/>
                <w:w w:val="70"/>
                <w:sz w:val="22"/>
              </w:rPr>
              <w:t>ks</w:t>
            </w:r>
          </w:p>
        </w:tc>
        <w:tc>
          <w:tcPr>
            <w:tcW w:w="2704" w:type="dxa"/>
          </w:tcPr>
          <w:p>
            <w:pPr>
              <w:pStyle w:val="TableParagraph"/>
              <w:spacing w:line="360" w:lineRule="exact"/>
              <w:ind w:left="145"/>
              <w:rPr>
                <w:rFonts w:ascii="Times New Roman"/>
                <w:sz w:val="20"/>
              </w:rPr>
            </w:pPr>
            <w:r>
              <w:rPr>
                <w:color w:val="BDBDBD"/>
                <w:sz w:val="37"/>
              </w:rPr>
              <w:t>I </w:t>
            </w:r>
            <w:r>
              <w:rPr>
                <w:rFonts w:ascii="Times New Roman"/>
                <w:color w:val="181818"/>
                <w:sz w:val="20"/>
              </w:rPr>
              <w:t>PC</w:t>
            </w:r>
          </w:p>
        </w:tc>
        <w:tc>
          <w:tcPr>
            <w:tcW w:w="4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452" w:type="dxa"/>
          </w:tcPr>
          <w:p>
            <w:pPr>
              <w:pStyle w:val="TableParagraph"/>
              <w:spacing w:before="81"/>
              <w:ind w:right="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83838"/>
                <w:w w:val="105"/>
                <w:sz w:val="20"/>
              </w:rPr>
              <w:t>14</w:t>
            </w:r>
          </w:p>
        </w:tc>
        <w:tc>
          <w:tcPr>
            <w:tcW w:w="815" w:type="dxa"/>
          </w:tcPr>
          <w:p>
            <w:pPr>
              <w:pStyle w:val="TableParagraph"/>
              <w:spacing w:before="86"/>
              <w:ind w:right="15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83838"/>
                <w:w w:val="95"/>
                <w:sz w:val="20"/>
              </w:rPr>
              <w:t>ks</w:t>
            </w:r>
          </w:p>
        </w:tc>
        <w:tc>
          <w:tcPr>
            <w:tcW w:w="2704" w:type="dxa"/>
          </w:tcPr>
          <w:p>
            <w:pPr>
              <w:pStyle w:val="TableParagraph"/>
              <w:spacing w:line="354" w:lineRule="exact"/>
              <w:ind w:left="161"/>
              <w:rPr>
                <w:rFonts w:ascii="Times New Roman"/>
                <w:b/>
                <w:sz w:val="20"/>
              </w:rPr>
            </w:pPr>
            <w:r>
              <w:rPr>
                <w:color w:val="646464"/>
                <w:sz w:val="36"/>
              </w:rPr>
              <w:t>i </w:t>
            </w:r>
            <w:r>
              <w:rPr>
                <w:rFonts w:ascii="Times New Roman"/>
                <w:b/>
                <w:color w:val="383838"/>
                <w:sz w:val="20"/>
              </w:rPr>
              <w:t>Monitor</w:t>
            </w:r>
          </w:p>
        </w:tc>
        <w:tc>
          <w:tcPr>
            <w:tcW w:w="4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4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1"/>
              <w:ind w:right="66"/>
              <w:jc w:val="right"/>
              <w:rPr>
                <w:b/>
                <w:sz w:val="19"/>
              </w:rPr>
            </w:pPr>
            <w:r>
              <w:rPr>
                <w:b/>
                <w:color w:val="181818"/>
                <w:w w:val="90"/>
                <w:sz w:val="19"/>
              </w:rPr>
              <w:t>14</w:t>
            </w: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9"/>
              <w:ind w:right="154"/>
              <w:jc w:val="right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181818"/>
                <w:w w:val="70"/>
                <w:sz w:val="21"/>
              </w:rPr>
              <w:t>ks</w:t>
            </w:r>
          </w:p>
        </w:tc>
        <w:tc>
          <w:tcPr>
            <w:tcW w:w="27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30" w:lineRule="exact"/>
              <w:ind w:left="157"/>
              <w:rPr>
                <w:rFonts w:ascii="Times New Roman" w:hAnsi="Times New Roman"/>
                <w:b/>
                <w:sz w:val="20"/>
              </w:rPr>
            </w:pPr>
            <w:r>
              <w:rPr>
                <w:color w:val="9A9A9A"/>
                <w:sz w:val="29"/>
              </w:rPr>
              <w:t>I </w:t>
            </w:r>
            <w:r>
              <w:rPr>
                <w:rFonts w:ascii="Times New Roman" w:hAnsi="Times New Roman"/>
                <w:b/>
                <w:color w:val="181818"/>
                <w:sz w:val="20"/>
              </w:rPr>
              <w:t>Kancelářský software</w:t>
            </w:r>
          </w:p>
        </w:tc>
        <w:tc>
          <w:tcPr>
            <w:tcW w:w="409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2"/>
          <w:numId w:val="1"/>
        </w:numPr>
        <w:tabs>
          <w:tab w:pos="2228" w:val="left" w:leader="none"/>
        </w:tabs>
        <w:spacing w:line="240" w:lineRule="auto" w:before="0" w:after="0"/>
        <w:ind w:left="2227" w:right="0" w:hanging="353"/>
        <w:jc w:val="left"/>
        <w:rPr>
          <w:color w:val="181818"/>
          <w:sz w:val="23"/>
        </w:rPr>
      </w:pPr>
      <w:r>
        <w:rPr>
          <w:color w:val="181818"/>
          <w:w w:val="105"/>
          <w:sz w:val="22"/>
        </w:rPr>
        <w:t>Prodávající prohlašuje, že movité věci, které jsou předmětem prodeje, jsou bez</w:t>
      </w:r>
      <w:r>
        <w:rPr>
          <w:color w:val="181818"/>
          <w:spacing w:val="-22"/>
          <w:w w:val="105"/>
          <w:sz w:val="22"/>
        </w:rPr>
        <w:t> </w:t>
      </w:r>
      <w:r>
        <w:rPr>
          <w:color w:val="181818"/>
          <w:w w:val="105"/>
          <w:sz w:val="22"/>
        </w:rPr>
        <w:t>vad.</w:t>
      </w:r>
    </w:p>
    <w:p>
      <w:pPr>
        <w:pStyle w:val="BodyText"/>
        <w:spacing w:before="10"/>
        <w:rPr>
          <w:sz w:val="30"/>
        </w:rPr>
      </w:pPr>
    </w:p>
    <w:p>
      <w:pPr>
        <w:pStyle w:val="Heading4"/>
        <w:spacing w:before="1"/>
        <w:ind w:right="2222"/>
      </w:pPr>
      <w:r>
        <w:rPr>
          <w:color w:val="181818"/>
          <w:w w:val="110"/>
        </w:rPr>
        <w:t>Článek2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6"/>
        <w:spacing w:before="1"/>
        <w:ind w:right="2217"/>
      </w:pPr>
      <w:r>
        <w:rPr>
          <w:color w:val="181818"/>
          <w:w w:val="105"/>
        </w:rPr>
        <w:t>Cena a způsob platby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2237" w:val="left" w:leader="none"/>
        </w:tabs>
        <w:spacing w:line="242" w:lineRule="auto" w:before="0" w:after="0"/>
        <w:ind w:left="2229" w:right="1608" w:hanging="351"/>
        <w:jc w:val="both"/>
        <w:rPr>
          <w:color w:val="181818"/>
          <w:sz w:val="22"/>
        </w:rPr>
      </w:pPr>
      <w:r>
        <w:rPr>
          <w:color w:val="2A2A2A"/>
          <w:w w:val="105"/>
          <w:sz w:val="22"/>
        </w:rPr>
        <w:t>Kupující se zavazuje zaplatit </w:t>
      </w:r>
      <w:r>
        <w:rPr>
          <w:color w:val="181818"/>
          <w:w w:val="105"/>
          <w:sz w:val="22"/>
        </w:rPr>
        <w:t>prodávajícímu za věc uvedenou v ČL 1 odst. 1) této</w:t>
      </w:r>
      <w:r>
        <w:rPr>
          <w:color w:val="2A2A2A"/>
          <w:w w:val="105"/>
          <w:sz w:val="22"/>
        </w:rPr>
        <w:t> smlouvy</w:t>
      </w:r>
      <w:r>
        <w:rPr>
          <w:color w:val="2A2A2A"/>
          <w:spacing w:val="5"/>
          <w:w w:val="105"/>
          <w:sz w:val="22"/>
        </w:rPr>
        <w:t> </w:t>
      </w:r>
      <w:r>
        <w:rPr>
          <w:color w:val="2A2A2A"/>
          <w:w w:val="105"/>
          <w:sz w:val="22"/>
        </w:rPr>
        <w:t>kupní</w:t>
      </w:r>
      <w:r>
        <w:rPr>
          <w:color w:val="2A2A2A"/>
          <w:spacing w:val="-8"/>
          <w:w w:val="105"/>
          <w:sz w:val="22"/>
        </w:rPr>
        <w:t> </w:t>
      </w:r>
      <w:r>
        <w:rPr>
          <w:color w:val="2A2A2A"/>
          <w:w w:val="105"/>
          <w:sz w:val="22"/>
        </w:rPr>
        <w:t>cenu</w:t>
      </w:r>
      <w:r>
        <w:rPr>
          <w:color w:val="2A2A2A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ve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2A2A2A"/>
          <w:w w:val="105"/>
          <w:sz w:val="22"/>
        </w:rPr>
        <w:t>výši</w:t>
      </w:r>
      <w:r>
        <w:rPr>
          <w:color w:val="2A2A2A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322</w:t>
      </w:r>
      <w:r>
        <w:rPr>
          <w:color w:val="181818"/>
          <w:spacing w:val="-17"/>
          <w:w w:val="105"/>
          <w:sz w:val="22"/>
        </w:rPr>
        <w:t> </w:t>
      </w:r>
      <w:r>
        <w:rPr>
          <w:color w:val="2A2A2A"/>
          <w:w w:val="105"/>
          <w:sz w:val="22"/>
        </w:rPr>
        <w:t>700,-</w:t>
      </w:r>
      <w:r>
        <w:rPr>
          <w:color w:val="2A2A2A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Kč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(slovy: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tři</w:t>
      </w:r>
      <w:r>
        <w:rPr>
          <w:color w:val="181818"/>
          <w:spacing w:val="-17"/>
          <w:w w:val="105"/>
          <w:sz w:val="22"/>
        </w:rPr>
        <w:t> </w:t>
      </w:r>
      <w:r>
        <w:rPr>
          <w:color w:val="181818"/>
          <w:w w:val="105"/>
          <w:sz w:val="22"/>
        </w:rPr>
        <w:t>sta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dvacet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dva</w:t>
      </w:r>
      <w:r>
        <w:rPr>
          <w:color w:val="181818"/>
          <w:spacing w:val="-1"/>
          <w:w w:val="105"/>
          <w:sz w:val="22"/>
        </w:rPr>
        <w:t> </w:t>
      </w:r>
      <w:r>
        <w:rPr>
          <w:color w:val="181818"/>
          <w:w w:val="105"/>
          <w:sz w:val="24"/>
        </w:rPr>
        <w:t>tisíc</w:t>
      </w:r>
      <w:r>
        <w:rPr>
          <w:color w:val="181818"/>
          <w:spacing w:val="-20"/>
          <w:w w:val="105"/>
          <w:sz w:val="24"/>
        </w:rPr>
        <w:t> </w:t>
      </w:r>
      <w:r>
        <w:rPr>
          <w:color w:val="181818"/>
          <w:w w:val="105"/>
          <w:sz w:val="22"/>
        </w:rPr>
        <w:t>sedm</w:t>
      </w:r>
      <w:r>
        <w:rPr>
          <w:color w:val="181818"/>
          <w:spacing w:val="-12"/>
          <w:w w:val="105"/>
          <w:sz w:val="22"/>
        </w:rPr>
        <w:t> </w:t>
      </w:r>
      <w:r>
        <w:rPr>
          <w:color w:val="181818"/>
          <w:w w:val="105"/>
          <w:sz w:val="22"/>
        </w:rPr>
        <w:t>set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korun českých) bez DPH plus DPH ve výši 67 767,- Kč (slovy: šedesát sedm tisíc sedm set šedesát sedm korun českých). Celkem tedy 390 467,- Kč (slovy: </w:t>
      </w:r>
      <w:r>
        <w:rPr>
          <w:color w:val="181818"/>
          <w:w w:val="105"/>
          <w:sz w:val="23"/>
        </w:rPr>
        <w:t>tři </w:t>
      </w:r>
      <w:r>
        <w:rPr>
          <w:color w:val="181818"/>
          <w:w w:val="105"/>
          <w:sz w:val="22"/>
        </w:rPr>
        <w:t>sta devadesát tisíc čtyři </w:t>
      </w:r>
      <w:r>
        <w:rPr>
          <w:rFonts w:ascii="Arial" w:hAnsi="Arial"/>
          <w:color w:val="181818"/>
          <w:w w:val="105"/>
          <w:sz w:val="19"/>
        </w:rPr>
        <w:t>sta </w:t>
      </w:r>
      <w:r>
        <w:rPr>
          <w:color w:val="181818"/>
          <w:w w:val="105"/>
          <w:sz w:val="22"/>
        </w:rPr>
        <w:t>šedesát sedm korun</w:t>
      </w:r>
      <w:r>
        <w:rPr>
          <w:color w:val="181818"/>
          <w:spacing w:val="-11"/>
          <w:w w:val="105"/>
          <w:sz w:val="22"/>
        </w:rPr>
        <w:t> </w:t>
      </w:r>
      <w:r>
        <w:rPr>
          <w:color w:val="181818"/>
          <w:w w:val="105"/>
          <w:sz w:val="22"/>
        </w:rPr>
        <w:t>českých).</w:t>
      </w:r>
    </w:p>
    <w:p>
      <w:pPr>
        <w:spacing w:after="0" w:line="242" w:lineRule="auto"/>
        <w:jc w:val="both"/>
        <w:rPr>
          <w:sz w:val="22"/>
        </w:rPr>
        <w:sectPr>
          <w:type w:val="continuous"/>
          <w:pgSz w:w="11910" w:h="16840"/>
          <w:pgMar w:top="1580" w:bottom="280" w:left="0" w:right="0"/>
        </w:sectPr>
      </w:pPr>
    </w:p>
    <w:p>
      <w:pPr>
        <w:pStyle w:val="BodyText"/>
        <w:spacing w:before="3"/>
        <w:rPr>
          <w:sz w:val="14"/>
        </w:rPr>
      </w:pPr>
      <w:r>
        <w:rPr/>
        <w:pict>
          <v:line style="position:absolute;mso-position-horizontal-relative:page;mso-position-vertical-relative:page;z-index:1048" from="8.894323pt,746.771057pt" to="8.894323pt,841.680053pt" stroked="true" strokeweight=".480774pt" strokecolor="#000000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2"/>
        </w:numPr>
        <w:tabs>
          <w:tab w:pos="2492" w:val="left" w:leader="none"/>
        </w:tabs>
        <w:spacing w:line="244" w:lineRule="auto" w:before="90" w:after="0"/>
        <w:ind w:left="2483" w:right="1442" w:hanging="334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Prodávající na sebe bere odpovědnost </w:t>
      </w:r>
      <w:r>
        <w:rPr>
          <w:color w:val="1A1A1A"/>
          <w:w w:val="105"/>
          <w:sz w:val="26"/>
        </w:rPr>
        <w:t>za </w:t>
      </w:r>
      <w:r>
        <w:rPr>
          <w:color w:val="1A1A1A"/>
          <w:w w:val="105"/>
          <w:sz w:val="22"/>
        </w:rPr>
        <w:t>to, že sazba a výše daně z přidané hodnoty bude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stanovena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v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souladu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s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platnými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právnínů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předpisy.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3"/>
        </w:rPr>
        <w:t>V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2"/>
        </w:rPr>
        <w:t>případě,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že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w w:val="105"/>
          <w:sz w:val="22"/>
        </w:rPr>
        <w:t>dojde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mezi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dnem podpisu kupní smlouvy </w:t>
      </w:r>
      <w:r>
        <w:rPr>
          <w:color w:val="1A1A1A"/>
          <w:w w:val="105"/>
          <w:sz w:val="23"/>
        </w:rPr>
        <w:t>a </w:t>
      </w:r>
      <w:r>
        <w:rPr>
          <w:color w:val="1A1A1A"/>
          <w:w w:val="105"/>
          <w:sz w:val="22"/>
        </w:rPr>
        <w:t>dnem uskutečnění zdanitelného plnění ke změně sazby DPH podle zákona 235/2004 Sb., o dani z přidané hodnoty, bude daň </w:t>
      </w:r>
      <w:r>
        <w:rPr>
          <w:rFonts w:ascii="Arial" w:hAnsi="Arial"/>
          <w:color w:val="1A1A1A"/>
          <w:w w:val="105"/>
          <w:sz w:val="20"/>
        </w:rPr>
        <w:t>z </w:t>
      </w:r>
      <w:r>
        <w:rPr>
          <w:color w:val="1A1A1A"/>
          <w:w w:val="105"/>
          <w:sz w:val="22"/>
        </w:rPr>
        <w:t>přidané hodnoty připočtena ke kupní ceně ve výši dle právní úpravy platné ke dni uskutečnění zdanitelného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3"/>
        </w:rPr>
        <w:t>plně1ú.</w:t>
      </w:r>
      <w:r>
        <w:rPr>
          <w:color w:val="1A1A1A"/>
          <w:spacing w:val="-28"/>
          <w:w w:val="105"/>
          <w:sz w:val="23"/>
        </w:rPr>
        <w:t> </w:t>
      </w:r>
      <w:r>
        <w:rPr>
          <w:color w:val="1A1A1A"/>
          <w:w w:val="105"/>
          <w:sz w:val="22"/>
        </w:rPr>
        <w:t>Změna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sazby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DPH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musí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být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w w:val="105"/>
          <w:sz w:val="22"/>
        </w:rPr>
        <w:t>provedena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w w:val="105"/>
          <w:sz w:val="22"/>
        </w:rPr>
        <w:t>formou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w w:val="105"/>
          <w:sz w:val="22"/>
        </w:rPr>
        <w:t>pís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mného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w w:val="105"/>
          <w:sz w:val="22"/>
        </w:rPr>
        <w:t>dodatku k této</w:t>
      </w:r>
      <w:r>
        <w:rPr>
          <w:color w:val="1A1A1A"/>
          <w:spacing w:val="0"/>
          <w:w w:val="105"/>
          <w:sz w:val="22"/>
        </w:rPr>
        <w:t> </w:t>
      </w:r>
      <w:r>
        <w:rPr>
          <w:color w:val="1A1A1A"/>
          <w:w w:val="105"/>
          <w:sz w:val="22"/>
        </w:rPr>
        <w:t>smlouvě.</w:t>
      </w:r>
    </w:p>
    <w:p>
      <w:pPr>
        <w:pStyle w:val="ListParagraph"/>
        <w:numPr>
          <w:ilvl w:val="0"/>
          <w:numId w:val="2"/>
        </w:numPr>
        <w:tabs>
          <w:tab w:pos="2507" w:val="left" w:leader="none"/>
        </w:tabs>
        <w:spacing w:line="249" w:lineRule="auto" w:before="110" w:after="0"/>
        <w:ind w:left="2492" w:right="1423" w:hanging="348"/>
        <w:jc w:val="both"/>
        <w:rPr>
          <w:color w:val="1A1A1A"/>
          <w:sz w:val="24"/>
        </w:rPr>
      </w:pPr>
      <w:r>
        <w:rPr>
          <w:color w:val="1A1A1A"/>
          <w:sz w:val="22"/>
        </w:rPr>
        <w:t>Kupní cenu </w:t>
      </w:r>
      <w:r>
        <w:rPr>
          <w:color w:val="1A1A1A"/>
          <w:sz w:val="23"/>
        </w:rPr>
        <w:t>7.aplatí </w:t>
      </w:r>
      <w:r>
        <w:rPr>
          <w:color w:val="1A1A1A"/>
          <w:sz w:val="24"/>
        </w:rPr>
        <w:t>kupující </w:t>
      </w:r>
      <w:r>
        <w:rPr>
          <w:color w:val="1A1A1A"/>
          <w:sz w:val="22"/>
        </w:rPr>
        <w:t>prodávajícímu bankovním převodem na bankovní účet prodávajícího </w:t>
      </w:r>
      <w:r>
        <w:rPr>
          <w:color w:val="1A1A1A"/>
          <w:sz w:val="23"/>
        </w:rPr>
        <w:t>č. </w:t>
      </w:r>
      <w:r>
        <w:rPr>
          <w:color w:val="1A1A1A"/>
          <w:sz w:val="22"/>
        </w:rPr>
        <w:t>2200145262 / 2010 na základě daňového dokladu vystaveného prodávajícím ke </w:t>
      </w:r>
      <w:r>
        <w:rPr>
          <w:color w:val="1A1A1A"/>
          <w:sz w:val="23"/>
        </w:rPr>
        <w:t>dni </w:t>
      </w:r>
      <w:r>
        <w:rPr>
          <w:color w:val="1A1A1A"/>
          <w:sz w:val="22"/>
        </w:rPr>
        <w:t>uskutečnění zdanitelného plnění, který  je  dnem  podepsání protokolu podle Čl. 3. odst. 3) této smlouvy. Splatnost daňového dokladuje 30 dnů ode dne jeho doručení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kupujícímu.</w:t>
      </w:r>
    </w:p>
    <w:p>
      <w:pPr>
        <w:pStyle w:val="ListParagraph"/>
        <w:numPr>
          <w:ilvl w:val="0"/>
          <w:numId w:val="2"/>
        </w:numPr>
        <w:tabs>
          <w:tab w:pos="2487" w:val="left" w:leader="none"/>
        </w:tabs>
        <w:spacing w:line="247" w:lineRule="auto" w:before="111" w:after="0"/>
        <w:ind w:left="2477" w:right="1424" w:hanging="332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Daňový doklad bude obsahovat náležitosti daňového a účetnfho dokladu podle zákona č. 563/1991 Sb., o účetnictví, ve znění pozdějších předpisů, zákona č. 235/2004 Sb., o dani z přidané hodnoty, ve znění pozdějších předpisů, bude mít náležitosti obchodní listiny dle§ </w:t>
      </w:r>
      <w:r>
        <w:rPr>
          <w:color w:val="1A1A1A"/>
          <w:w w:val="105"/>
          <w:sz w:val="23"/>
        </w:rPr>
        <w:t>435 </w:t>
      </w:r>
      <w:r>
        <w:rPr>
          <w:color w:val="1A1A1A"/>
          <w:w w:val="105"/>
          <w:sz w:val="22"/>
        </w:rPr>
        <w:t>občanského zákoníku. </w:t>
      </w:r>
      <w:r>
        <w:rPr>
          <w:color w:val="1A1A1A"/>
          <w:w w:val="105"/>
          <w:sz w:val="23"/>
        </w:rPr>
        <w:t>V </w:t>
      </w:r>
      <w:r>
        <w:rPr>
          <w:color w:val="1A1A1A"/>
          <w:w w:val="105"/>
          <w:sz w:val="22"/>
        </w:rPr>
        <w:t>případě, že daňový doklad takové náležitosti nebude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splňovat,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bude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kupujícím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vrácen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do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dne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w w:val="105"/>
          <w:sz w:val="22"/>
        </w:rPr>
        <w:t>splatnosti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daňového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dokladu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3"/>
        </w:rPr>
        <w:t>k</w:t>
      </w:r>
      <w:r>
        <w:rPr>
          <w:color w:val="1A1A1A"/>
          <w:spacing w:val="-30"/>
          <w:w w:val="105"/>
          <w:sz w:val="23"/>
        </w:rPr>
        <w:t> </w:t>
      </w:r>
      <w:r>
        <w:rPr>
          <w:color w:val="1A1A1A"/>
          <w:w w:val="105"/>
          <w:sz w:val="22"/>
        </w:rPr>
        <w:t>opravení bez jeho proplacení. </w:t>
      </w:r>
      <w:r>
        <w:rPr>
          <w:color w:val="1A1A1A"/>
          <w:w w:val="105"/>
          <w:sz w:val="23"/>
        </w:rPr>
        <w:t>V </w:t>
      </w:r>
      <w:r>
        <w:rPr>
          <w:color w:val="1A1A1A"/>
          <w:w w:val="105"/>
          <w:sz w:val="22"/>
        </w:rPr>
        <w:t>takovém případě lhůta splatnosti počíná běžet znovu ode dne doručení opraveného či nově vyhotoveného daňového</w:t>
      </w:r>
      <w:r>
        <w:rPr>
          <w:color w:val="1A1A1A"/>
          <w:spacing w:val="25"/>
          <w:w w:val="105"/>
          <w:sz w:val="22"/>
        </w:rPr>
        <w:t> </w:t>
      </w:r>
      <w:r>
        <w:rPr>
          <w:color w:val="1A1A1A"/>
          <w:w w:val="105"/>
          <w:sz w:val="22"/>
        </w:rPr>
        <w:t>dokladu.</w:t>
      </w:r>
    </w:p>
    <w:p>
      <w:pPr>
        <w:pStyle w:val="ListParagraph"/>
        <w:numPr>
          <w:ilvl w:val="0"/>
          <w:numId w:val="2"/>
        </w:numPr>
        <w:tabs>
          <w:tab w:pos="2479" w:val="left" w:leader="none"/>
        </w:tabs>
        <w:spacing w:line="244" w:lineRule="auto" w:before="121" w:after="0"/>
        <w:ind w:left="2468" w:right="1435" w:hanging="335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Nebude-li uhrazena kupní </w:t>
      </w:r>
      <w:r>
        <w:rPr>
          <w:color w:val="2A2A2A"/>
          <w:w w:val="105"/>
          <w:sz w:val="22"/>
        </w:rPr>
        <w:t>cena </w:t>
      </w:r>
      <w:r>
        <w:rPr>
          <w:color w:val="1A1A1A"/>
          <w:w w:val="105"/>
          <w:sz w:val="22"/>
        </w:rPr>
        <w:t>do 60 dnů ode dne splatnosti daňového dokladu prodávajícímu</w:t>
      </w:r>
      <w:r>
        <w:rPr>
          <w:color w:val="1A1A1A"/>
          <w:spacing w:val="10"/>
          <w:w w:val="105"/>
          <w:sz w:val="22"/>
        </w:rPr>
        <w:t> </w:t>
      </w:r>
      <w:r>
        <w:rPr>
          <w:color w:val="1A1A1A"/>
          <w:w w:val="105"/>
          <w:sz w:val="22"/>
        </w:rPr>
        <w:t>v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důsledku</w:t>
      </w:r>
      <w:r>
        <w:rPr>
          <w:color w:val="1A1A1A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zavinění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kupujícího,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sjednává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si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prodávající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právo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odstoupit od této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Smlouvy.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6"/>
        <w:ind w:right="1779"/>
      </w:pPr>
      <w:r>
        <w:rPr>
          <w:color w:val="1A1A1A"/>
          <w:w w:val="110"/>
        </w:rPr>
        <w:t>Článek3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4273" w:right="0" w:firstLine="0"/>
        <w:jc w:val="left"/>
        <w:rPr>
          <w:b/>
          <w:sz w:val="22"/>
        </w:rPr>
      </w:pPr>
      <w:r>
        <w:rPr>
          <w:b/>
          <w:color w:val="1A1A1A"/>
          <w:w w:val="105"/>
          <w:sz w:val="22"/>
        </w:rPr>
        <w:t>Přechod vlastnictví a nebezpečí škody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478" w:val="left" w:leader="none"/>
        </w:tabs>
        <w:spacing w:line="247" w:lineRule="auto" w:before="1" w:after="0"/>
        <w:ind w:left="2472" w:right="1418" w:hanging="349"/>
        <w:jc w:val="both"/>
        <w:rPr>
          <w:sz w:val="22"/>
        </w:rPr>
      </w:pPr>
      <w:r>
        <w:rPr>
          <w:color w:val="1A1A1A"/>
          <w:w w:val="105"/>
          <w:sz w:val="22"/>
        </w:rPr>
        <w:t>Prodávající</w:t>
      </w:r>
      <w:r>
        <w:rPr>
          <w:color w:val="1A1A1A"/>
          <w:spacing w:val="13"/>
          <w:w w:val="105"/>
          <w:sz w:val="22"/>
        </w:rPr>
        <w:t> </w:t>
      </w:r>
      <w:r>
        <w:rPr>
          <w:color w:val="1A1A1A"/>
          <w:w w:val="105"/>
          <w:sz w:val="22"/>
        </w:rPr>
        <w:t>předá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věc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kupujícímu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nejpozději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do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31.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10.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2018.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Místem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dodání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4"/>
        </w:rPr>
        <w:t>a</w:t>
      </w:r>
      <w:r>
        <w:rPr>
          <w:color w:val="1A1A1A"/>
          <w:spacing w:val="-16"/>
          <w:w w:val="105"/>
          <w:sz w:val="24"/>
        </w:rPr>
        <w:t> </w:t>
      </w:r>
      <w:r>
        <w:rPr>
          <w:color w:val="1A1A1A"/>
          <w:w w:val="105"/>
          <w:sz w:val="22"/>
        </w:rPr>
        <w:t>předání věcí, </w:t>
      </w:r>
      <w:r>
        <w:rPr>
          <w:color w:val="2A2A2A"/>
          <w:w w:val="105"/>
          <w:sz w:val="22"/>
        </w:rPr>
        <w:t>dle </w:t>
      </w:r>
      <w:r>
        <w:rPr>
          <w:color w:val="1A1A1A"/>
          <w:w w:val="105"/>
          <w:sz w:val="22"/>
        </w:rPr>
        <w:t>této </w:t>
      </w:r>
      <w:r>
        <w:rPr>
          <w:color w:val="2A2A2A"/>
          <w:w w:val="105"/>
          <w:sz w:val="22"/>
        </w:rPr>
        <w:t>smlouvy, </w:t>
      </w:r>
      <w:r>
        <w:rPr>
          <w:color w:val="1A1A1A"/>
          <w:w w:val="105"/>
          <w:sz w:val="22"/>
        </w:rPr>
        <w:t>je </w:t>
      </w:r>
      <w:r>
        <w:rPr>
          <w:color w:val="2A2A2A"/>
          <w:w w:val="105"/>
          <w:sz w:val="22"/>
        </w:rPr>
        <w:t>sídlo kuptrjícího. Vlastnické právo </w:t>
      </w:r>
      <w:r>
        <w:rPr>
          <w:color w:val="1A1A1A"/>
          <w:w w:val="105"/>
          <w:sz w:val="22"/>
        </w:rPr>
        <w:t>k </w:t>
      </w:r>
      <w:r>
        <w:rPr>
          <w:color w:val="2A2A2A"/>
          <w:w w:val="105"/>
          <w:sz w:val="22"/>
        </w:rPr>
        <w:t>věcem přechází </w:t>
      </w:r>
      <w:r>
        <w:rPr>
          <w:color w:val="1A1A1A"/>
          <w:w w:val="105"/>
          <w:sz w:val="22"/>
        </w:rPr>
        <w:t>na kupujícího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v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okamžik.u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2A2A2A"/>
          <w:w w:val="105"/>
          <w:sz w:val="22"/>
        </w:rPr>
        <w:t>jeho</w:t>
      </w:r>
      <w:r>
        <w:rPr>
          <w:color w:val="2A2A2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předání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2A2A2A"/>
          <w:w w:val="105"/>
          <w:sz w:val="22"/>
        </w:rPr>
        <w:t>prodávajícím</w:t>
      </w:r>
      <w:r>
        <w:rPr>
          <w:color w:val="2A2A2A"/>
          <w:spacing w:val="-6"/>
          <w:w w:val="105"/>
          <w:sz w:val="22"/>
        </w:rPr>
        <w:t> </w:t>
      </w:r>
      <w:r>
        <w:rPr>
          <w:color w:val="3D3D3D"/>
          <w:w w:val="105"/>
          <w:sz w:val="22"/>
        </w:rPr>
        <w:t>a</w:t>
      </w:r>
      <w:r>
        <w:rPr>
          <w:color w:val="3D3D3D"/>
          <w:spacing w:val="-7"/>
          <w:w w:val="105"/>
          <w:sz w:val="22"/>
        </w:rPr>
        <w:t> </w:t>
      </w:r>
      <w:r>
        <w:rPr>
          <w:color w:val="2A2A2A"/>
          <w:w w:val="105"/>
          <w:sz w:val="22"/>
        </w:rPr>
        <w:t>převzetí</w:t>
      </w:r>
      <w:r>
        <w:rPr>
          <w:color w:val="2A2A2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kupujícím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2A2A2A"/>
          <w:w w:val="105"/>
          <w:sz w:val="22"/>
        </w:rPr>
        <w:t>potvrzeného</w:t>
      </w:r>
      <w:r>
        <w:rPr>
          <w:color w:val="2A2A2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na předávacím protokolu. Nebezpečí nahodilé </w:t>
      </w:r>
      <w:r>
        <w:rPr>
          <w:color w:val="1A1A1A"/>
          <w:w w:val="105"/>
          <w:sz w:val="23"/>
        </w:rPr>
        <w:t>zkázy </w:t>
      </w:r>
      <w:r>
        <w:rPr>
          <w:color w:val="1A1A1A"/>
          <w:w w:val="105"/>
          <w:sz w:val="22"/>
        </w:rPr>
        <w:t>a nahodilého zhoršení věci včetně užitku přechází </w:t>
      </w:r>
      <w:r>
        <w:rPr>
          <w:rFonts w:ascii="Arial" w:hAnsi="Arial"/>
          <w:color w:val="1A1A1A"/>
          <w:w w:val="105"/>
          <w:sz w:val="21"/>
        </w:rPr>
        <w:t>na </w:t>
      </w:r>
      <w:r>
        <w:rPr>
          <w:color w:val="1A1A1A"/>
          <w:w w:val="105"/>
          <w:sz w:val="22"/>
        </w:rPr>
        <w:t>kupujícího současně s nabytím</w:t>
      </w:r>
      <w:r>
        <w:rPr>
          <w:color w:val="1A1A1A"/>
          <w:spacing w:val="3"/>
          <w:w w:val="105"/>
          <w:sz w:val="22"/>
        </w:rPr>
        <w:t> </w:t>
      </w:r>
      <w:r>
        <w:rPr>
          <w:color w:val="1A1A1A"/>
          <w:w w:val="105"/>
          <w:sz w:val="22"/>
        </w:rPr>
        <w:t>vlastnictví.</w:t>
      </w:r>
    </w:p>
    <w:p>
      <w:pPr>
        <w:pStyle w:val="ListParagraph"/>
        <w:numPr>
          <w:ilvl w:val="0"/>
          <w:numId w:val="3"/>
        </w:numPr>
        <w:tabs>
          <w:tab w:pos="2460" w:val="left" w:leader="none"/>
        </w:tabs>
        <w:spacing w:line="252" w:lineRule="exact" w:before="126" w:after="0"/>
        <w:ind w:left="2459" w:right="0" w:hanging="344"/>
        <w:jc w:val="left"/>
        <w:rPr>
          <w:rFonts w:ascii="Arial" w:hAnsi="Arial"/>
          <w:sz w:val="19"/>
        </w:rPr>
      </w:pPr>
      <w:r>
        <w:rPr>
          <w:color w:val="1A1A1A"/>
          <w:w w:val="105"/>
          <w:sz w:val="22"/>
        </w:rPr>
        <w:t>Náklady spojené s odevzdáním věci, zejména balení a dopravu, nese prodávající</w:t>
      </w:r>
      <w:r>
        <w:rPr>
          <w:color w:val="1A1A1A"/>
          <w:spacing w:val="38"/>
          <w:w w:val="105"/>
          <w:sz w:val="22"/>
        </w:rPr>
        <w:t> </w:t>
      </w:r>
      <w:r>
        <w:rPr>
          <w:rFonts w:ascii="Arial" w:hAnsi="Arial"/>
          <w:color w:val="1A1A1A"/>
          <w:w w:val="105"/>
          <w:sz w:val="19"/>
        </w:rPr>
        <w:t>a</w:t>
      </w:r>
    </w:p>
    <w:p>
      <w:pPr>
        <w:pStyle w:val="BodyText"/>
        <w:spacing w:line="263" w:lineRule="exact"/>
        <w:ind w:left="2465"/>
        <w:rPr>
          <w:sz w:val="23"/>
        </w:rPr>
      </w:pPr>
      <w:r>
        <w:rPr>
          <w:color w:val="1A1A1A"/>
          <w:w w:val="105"/>
        </w:rPr>
        <w:t>náklady spojené s převzetím věci nese </w:t>
      </w:r>
      <w:r>
        <w:rPr>
          <w:color w:val="1A1A1A"/>
          <w:w w:val="105"/>
          <w:sz w:val="23"/>
        </w:rPr>
        <w:t>kupující.</w:t>
      </w:r>
    </w:p>
    <w:p>
      <w:pPr>
        <w:pStyle w:val="ListParagraph"/>
        <w:numPr>
          <w:ilvl w:val="0"/>
          <w:numId w:val="3"/>
        </w:numPr>
        <w:tabs>
          <w:tab w:pos="2464" w:val="left" w:leader="none"/>
        </w:tabs>
        <w:spacing w:line="247" w:lineRule="auto" w:before="139" w:after="0"/>
        <w:ind w:left="2458" w:right="1435" w:hanging="342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0" from="6.73084pt,57.105236pt" to="6.73084pt,9.050470pt" stroked="true" strokeweight=".480774pt" strokecolor="#000000">
            <v:stroke dashstyle="solid"/>
            <w10:wrap type="none"/>
          </v:line>
        </w:pict>
      </w:r>
      <w:r>
        <w:rPr>
          <w:color w:val="1A1A1A"/>
          <w:w w:val="105"/>
          <w:sz w:val="22"/>
        </w:rPr>
        <w:t>O předání </w:t>
      </w:r>
      <w:r>
        <w:rPr>
          <w:color w:val="2A2A2A"/>
          <w:w w:val="105"/>
          <w:sz w:val="22"/>
        </w:rPr>
        <w:t>a převzetí </w:t>
      </w:r>
      <w:r>
        <w:rPr>
          <w:color w:val="3D3D3D"/>
          <w:w w:val="105"/>
          <w:sz w:val="22"/>
        </w:rPr>
        <w:t>věci </w:t>
      </w:r>
      <w:r>
        <w:rPr>
          <w:color w:val="1A1A1A"/>
          <w:w w:val="105"/>
          <w:sz w:val="22"/>
        </w:rPr>
        <w:t>a souvisejících doklad11 bude sepsán protokol podepsaný oběma </w:t>
      </w:r>
      <w:r>
        <w:rPr>
          <w:color w:val="2A2A2A"/>
          <w:w w:val="105"/>
          <w:sz w:val="22"/>
        </w:rPr>
        <w:t>smluvními</w:t>
      </w:r>
      <w:r>
        <w:rPr>
          <w:color w:val="2A2A2A"/>
          <w:spacing w:val="8"/>
          <w:w w:val="105"/>
          <w:sz w:val="22"/>
        </w:rPr>
        <w:t> </w:t>
      </w:r>
      <w:r>
        <w:rPr>
          <w:color w:val="2A2A2A"/>
          <w:w w:val="105"/>
          <w:sz w:val="22"/>
        </w:rPr>
        <w:t>stranami.</w:t>
      </w:r>
    </w:p>
    <w:p>
      <w:pPr>
        <w:pStyle w:val="ListParagraph"/>
        <w:numPr>
          <w:ilvl w:val="0"/>
          <w:numId w:val="3"/>
        </w:numPr>
        <w:tabs>
          <w:tab w:pos="2459" w:val="left" w:leader="none"/>
        </w:tabs>
        <w:spacing w:line="249" w:lineRule="auto" w:before="128" w:after="0"/>
        <w:ind w:left="2449" w:right="1424" w:hanging="333"/>
        <w:jc w:val="both"/>
        <w:rPr>
          <w:sz w:val="22"/>
        </w:rPr>
      </w:pPr>
      <w:r>
        <w:rPr>
          <w:color w:val="1A1A1A"/>
          <w:w w:val="105"/>
          <w:sz w:val="22"/>
        </w:rPr>
        <w:t>Pokud prodávající věci nedoručí vlastními prostředky, ale využije k tomu dopravce, považuje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se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w w:val="105"/>
          <w:sz w:val="22"/>
        </w:rPr>
        <w:t>za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odevzdání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věci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w w:val="105"/>
          <w:sz w:val="22"/>
        </w:rPr>
        <w:t>kupujícímu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až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okamžik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doručení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věci.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Ustanovení§</w:t>
      </w:r>
      <w:r>
        <w:rPr>
          <w:color w:val="1A1A1A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2090 a </w:t>
      </w:r>
      <w:r>
        <w:rPr>
          <w:rFonts w:ascii="Arial" w:hAnsi="Arial"/>
          <w:i/>
          <w:color w:val="1A1A1A"/>
          <w:w w:val="105"/>
          <w:sz w:val="22"/>
        </w:rPr>
        <w:t>§ </w:t>
      </w:r>
      <w:r>
        <w:rPr>
          <w:color w:val="1A1A1A"/>
          <w:w w:val="105"/>
          <w:sz w:val="22"/>
        </w:rPr>
        <w:t>2091 občanského zákoníku se</w:t>
      </w:r>
      <w:r>
        <w:rPr>
          <w:color w:val="1A1A1A"/>
          <w:spacing w:val="2"/>
          <w:w w:val="105"/>
          <w:sz w:val="22"/>
        </w:rPr>
        <w:t> </w:t>
      </w:r>
      <w:r>
        <w:rPr>
          <w:color w:val="1A1A1A"/>
          <w:w w:val="105"/>
          <w:sz w:val="22"/>
        </w:rPr>
        <w:t>nepoužije.</w:t>
      </w:r>
    </w:p>
    <w:p>
      <w:pPr>
        <w:spacing w:after="0" w:line="249" w:lineRule="auto"/>
        <w:jc w:val="both"/>
        <w:rPr>
          <w:sz w:val="22"/>
        </w:rPr>
        <w:sectPr>
          <w:footerReference w:type="default" r:id="rId5"/>
          <w:pgSz w:w="11910" w:h="16840"/>
          <w:pgMar w:footer="988" w:header="0" w:top="1580" w:bottom="1180" w:left="0" w:right="0"/>
          <w:pgNumType w:start="2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Heading4"/>
        <w:spacing w:before="91"/>
        <w:ind w:right="1926"/>
      </w:pPr>
      <w:r>
        <w:rPr>
          <w:color w:val="1D1D1D"/>
          <w:w w:val="105"/>
        </w:rPr>
        <w:t>Článek4</w:t>
      </w:r>
    </w:p>
    <w:p>
      <w:pPr>
        <w:pStyle w:val="BodyText"/>
        <w:rPr>
          <w:b/>
          <w:sz w:val="20"/>
        </w:rPr>
      </w:pPr>
    </w:p>
    <w:p>
      <w:pPr>
        <w:pStyle w:val="Heading6"/>
        <w:ind w:right="1900"/>
      </w:pPr>
      <w:r>
        <w:rPr>
          <w:color w:val="1D1D1D"/>
          <w:w w:val="105"/>
        </w:rPr>
        <w:t>Záruka za jakost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2420" w:val="left" w:leader="none"/>
        </w:tabs>
        <w:spacing w:line="240" w:lineRule="auto" w:before="0" w:after="0"/>
        <w:ind w:left="2407" w:right="0" w:hanging="346"/>
        <w:jc w:val="left"/>
        <w:rPr>
          <w:sz w:val="22"/>
        </w:rPr>
      </w:pPr>
      <w:r>
        <w:rPr>
          <w:color w:val="1D1D1D"/>
          <w:w w:val="105"/>
          <w:sz w:val="22"/>
        </w:rPr>
        <w:t>Prodávající poskytuje na věci následující</w:t>
      </w:r>
      <w:r>
        <w:rPr>
          <w:color w:val="1D1D1D"/>
          <w:spacing w:val="26"/>
          <w:w w:val="105"/>
          <w:sz w:val="22"/>
        </w:rPr>
        <w:t> </w:t>
      </w:r>
      <w:r>
        <w:rPr>
          <w:color w:val="1D1D1D"/>
          <w:w w:val="105"/>
          <w:sz w:val="22"/>
        </w:rPr>
        <w:t>záruku</w:t>
      </w:r>
    </w:p>
    <w:p>
      <w:pPr>
        <w:pStyle w:val="BodyText"/>
        <w:spacing w:before="9"/>
        <w:rPr>
          <w:sz w:val="23"/>
        </w:rPr>
      </w:pPr>
      <w:r>
        <w:rPr/>
        <w:pict>
          <v:line style="position:absolute;mso-position-horizontal-relative:page;mso-position-vertical-relative:paragraph;z-index:1072;mso-wrap-distance-left:0;mso-wrap-distance-right:0" from="343.272827pt,16.400923pt" to="425.965998pt,16.400923pt" stroked="true" strokeweight=".4805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440.389221pt,15.920375pt" to="500.005228pt,15.920375pt" stroked="true" strokeweight=".4805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132.693695pt,16.88147pt" to="165.386344pt,16.88147pt" stroked="true" strokeweight=".480548pt" strokecolor="#000000">
            <v:stroke dashstyle="solid"/>
            <w10:wrap type="topAndBottom"/>
          </v:line>
        </w:pict>
      </w:r>
    </w:p>
    <w:tbl>
      <w:tblPr>
        <w:tblW w:w="0" w:type="auto"/>
        <w:jc w:val="left"/>
        <w:tblInd w:w="2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596"/>
        <w:gridCol w:w="1550"/>
        <w:gridCol w:w="2868"/>
      </w:tblGrid>
      <w:tr>
        <w:trPr>
          <w:trHeight w:val="898" w:hRule="atLeast"/>
        </w:trPr>
        <w:tc>
          <w:tcPr>
            <w:tcW w:w="19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1D1D1D"/>
                <w:sz w:val="19"/>
              </w:rPr>
              <w:t>Věc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5"/>
              <w:rPr>
                <w:b/>
                <w:sz w:val="19"/>
              </w:rPr>
            </w:pPr>
            <w:r>
              <w:rPr>
                <w:b/>
                <w:color w:val="1D1D1D"/>
                <w:w w:val="105"/>
                <w:sz w:val="19"/>
              </w:rPr>
              <w:t>PC</w:t>
            </w:r>
          </w:p>
        </w:tc>
        <w:tc>
          <w:tcPr>
            <w:tcW w:w="15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1D1D1D"/>
                <w:sz w:val="18"/>
              </w:rPr>
              <w:t>Délka</w:t>
            </w:r>
          </w:p>
        </w:tc>
        <w:tc>
          <w:tcPr>
            <w:tcW w:w="15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42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1D1D1D"/>
                <w:w w:val="110"/>
                <w:sz w:val="19"/>
              </w:rPr>
              <w:t>záruční doby</w:t>
            </w:r>
          </w:p>
          <w:p>
            <w:pPr>
              <w:pStyle w:val="TableParagraph"/>
              <w:spacing w:before="118"/>
              <w:ind w:left="178"/>
              <w:rPr>
                <w:rFonts w:ascii="Times New Roman"/>
                <w:sz w:val="20"/>
              </w:rPr>
            </w:pPr>
            <w:r>
              <w:rPr>
                <w:rFonts w:ascii="Times New Roman"/>
                <w:i/>
                <w:color w:val="1D1D1D"/>
                <w:sz w:val="19"/>
              </w:rPr>
              <w:t>5 </w:t>
            </w:r>
            <w:r>
              <w:rPr>
                <w:rFonts w:ascii="Times New Roman"/>
                <w:color w:val="1D1D1D"/>
                <w:sz w:val="20"/>
              </w:rPr>
              <w:t>Jet</w:t>
            </w:r>
          </w:p>
        </w:tc>
        <w:tc>
          <w:tcPr>
            <w:tcW w:w="2868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08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1D1D1D"/>
                <w:w w:val="105"/>
                <w:sz w:val="18"/>
              </w:rPr>
              <w:t>Typ záruky</w:t>
            </w:r>
          </w:p>
          <w:p>
            <w:pPr>
              <w:pStyle w:val="TableParagraph"/>
              <w:spacing w:line="261" w:lineRule="auto" w:before="130"/>
              <w:ind w:left="513" w:right="2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D1D1D"/>
                <w:w w:val="95"/>
                <w:sz w:val="20"/>
              </w:rPr>
              <w:t>Next Business Day On-Site </w:t>
            </w:r>
            <w:r>
              <w:rPr>
                <w:rFonts w:ascii="Times New Roman"/>
                <w:color w:val="1D1D1D"/>
                <w:sz w:val="20"/>
              </w:rPr>
              <w:t>Service</w:t>
            </w:r>
          </w:p>
        </w:tc>
      </w:tr>
      <w:tr>
        <w:trPr>
          <w:trHeight w:val="585" w:hRule="atLeast"/>
        </w:trPr>
        <w:tc>
          <w:tcPr>
            <w:tcW w:w="190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6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D1D1D"/>
                <w:w w:val="110"/>
                <w:sz w:val="19"/>
              </w:rPr>
              <w:t>Monitor</w:t>
            </w:r>
          </w:p>
        </w:tc>
        <w:tc>
          <w:tcPr>
            <w:tcW w:w="31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8"/>
              <w:ind w:left="1718" w:right="10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D1D1D"/>
                <w:sz w:val="20"/>
              </w:rPr>
              <w:t>5 let</w:t>
            </w:r>
          </w:p>
        </w:tc>
        <w:tc>
          <w:tcPr>
            <w:tcW w:w="286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 w:before="33"/>
              <w:ind w:left="475" w:firstLine="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D1D1D"/>
                <w:sz w:val="20"/>
              </w:rPr>
              <w:t>Výměnná servisní služba </w:t>
            </w:r>
            <w:r>
              <w:rPr>
                <w:rFonts w:ascii="Times New Roman" w:hAnsi="Times New Roman"/>
                <w:color w:val="1D1D1D"/>
                <w:w w:val="95"/>
                <w:sz w:val="20"/>
              </w:rPr>
              <w:t>Advanced Exchange Service</w:t>
            </w:r>
          </w:p>
        </w:tc>
      </w:tr>
    </w:tbl>
    <w:p>
      <w:pPr>
        <w:tabs>
          <w:tab w:pos="3633" w:val="left" w:leader="none"/>
          <w:tab w:pos="6288" w:val="left" w:leader="none"/>
        </w:tabs>
        <w:spacing w:before="37"/>
        <w:ind w:left="125" w:right="0" w:firstLine="0"/>
        <w:jc w:val="center"/>
        <w:rPr>
          <w:sz w:val="19"/>
        </w:rPr>
      </w:pPr>
      <w:r>
        <w:rPr/>
        <w:pict>
          <v:line style="position:absolute;mso-position-horizontal-relative:page;mso-position-vertical-relative:paragraph;z-index:1144;mso-wrap-distance-left:0;mso-wrap-distance-right:0" from="125.001305pt,17.264977pt" to="522.120835pt,17.264977pt" stroked="true" strokeweight="1.201369pt" strokecolor="#000000">
            <v:stroke dashstyle="solid"/>
            <w10:wrap type="topAndBottom"/>
          </v:line>
        </w:pict>
      </w:r>
      <w:r>
        <w:rPr>
          <w:b/>
          <w:color w:val="1D1D1D"/>
          <w:sz w:val="18"/>
        </w:rPr>
        <w:t>Kancelářský</w:t>
      </w:r>
      <w:r>
        <w:rPr>
          <w:b/>
          <w:color w:val="1D1D1D"/>
          <w:spacing w:val="27"/>
          <w:sz w:val="18"/>
        </w:rPr>
        <w:t> </w:t>
      </w:r>
      <w:r>
        <w:rPr>
          <w:b/>
          <w:color w:val="1D1D1D"/>
          <w:sz w:val="18"/>
        </w:rPr>
        <w:t>software</w:t>
        <w:tab/>
      </w:r>
      <w:r>
        <w:rPr>
          <w:color w:val="1D1D1D"/>
          <w:position w:val="2"/>
          <w:sz w:val="19"/>
        </w:rPr>
        <w:t>I</w:t>
      </w:r>
      <w:r>
        <w:rPr>
          <w:color w:val="1D1D1D"/>
          <w:spacing w:val="2"/>
          <w:position w:val="2"/>
          <w:sz w:val="19"/>
        </w:rPr>
        <w:t> </w:t>
      </w:r>
      <w:r>
        <w:rPr>
          <w:color w:val="1D1D1D"/>
          <w:position w:val="2"/>
          <w:sz w:val="19"/>
        </w:rPr>
        <w:t>rok</w:t>
        <w:tab/>
      </w:r>
      <w:r>
        <w:rPr>
          <w:color w:val="1D1D1D"/>
          <w:position w:val="3"/>
          <w:sz w:val="19"/>
        </w:rPr>
        <w:t>podpora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2416" w:val="left" w:leader="none"/>
        </w:tabs>
        <w:spacing w:line="254" w:lineRule="auto" w:before="0" w:after="0"/>
        <w:ind w:left="2407" w:right="1485" w:hanging="345"/>
        <w:jc w:val="both"/>
        <w:rPr>
          <w:sz w:val="22"/>
        </w:rPr>
      </w:pPr>
      <w:r>
        <w:rPr>
          <w:color w:val="1D1D1D"/>
          <w:w w:val="105"/>
          <w:sz w:val="22"/>
        </w:rPr>
        <w:t>Záruka dle odst. 1) běží ode dne podpisu předávacího protokolu oběma smluvními stranami.</w:t>
      </w:r>
    </w:p>
    <w:p>
      <w:pPr>
        <w:pStyle w:val="ListParagraph"/>
        <w:numPr>
          <w:ilvl w:val="0"/>
          <w:numId w:val="4"/>
        </w:numPr>
        <w:tabs>
          <w:tab w:pos="2414" w:val="left" w:leader="none"/>
        </w:tabs>
        <w:spacing w:line="249" w:lineRule="auto" w:before="112" w:after="0"/>
        <w:ind w:left="2407" w:right="1471" w:hanging="349"/>
        <w:jc w:val="both"/>
        <w:rPr>
          <w:sz w:val="22"/>
        </w:rPr>
      </w:pPr>
      <w:r>
        <w:rPr>
          <w:color w:val="1D1D1D"/>
          <w:w w:val="105"/>
          <w:sz w:val="22"/>
        </w:rPr>
        <w:t>Jestliže dodatečně vyjde najevo vada nebo vady, na které prodávající kupujícího neupozornil, má kupující právo na bezplatnou výměnu vadné věcí provedenou nejpozději do 10 dnů ode dne oznámení</w:t>
      </w:r>
      <w:r>
        <w:rPr>
          <w:color w:val="1D1D1D"/>
          <w:spacing w:val="-9"/>
          <w:w w:val="105"/>
          <w:sz w:val="22"/>
        </w:rPr>
        <w:t> </w:t>
      </w:r>
      <w:r>
        <w:rPr>
          <w:color w:val="1D1D1D"/>
          <w:w w:val="105"/>
          <w:sz w:val="22"/>
        </w:rPr>
        <w:t>vady.</w:t>
      </w:r>
    </w:p>
    <w:p>
      <w:pPr>
        <w:pStyle w:val="ListParagraph"/>
        <w:numPr>
          <w:ilvl w:val="0"/>
          <w:numId w:val="4"/>
        </w:numPr>
        <w:tabs>
          <w:tab w:pos="2410" w:val="left" w:leader="none"/>
        </w:tabs>
        <w:spacing w:line="249" w:lineRule="auto" w:before="105" w:after="0"/>
        <w:ind w:left="2406" w:right="1455" w:hanging="352"/>
        <w:jc w:val="both"/>
        <w:rPr>
          <w:sz w:val="22"/>
        </w:rPr>
      </w:pPr>
      <w:r>
        <w:rPr>
          <w:color w:val="1D1D1D"/>
          <w:w w:val="105"/>
          <w:sz w:val="22"/>
        </w:rPr>
        <w:t>Právo odstoupit od této Smlouvy má kupující </w:t>
      </w:r>
      <w:r>
        <w:rPr>
          <w:color w:val="1D1D1D"/>
          <w:w w:val="105"/>
          <w:sz w:val="23"/>
        </w:rPr>
        <w:t>i </w:t>
      </w:r>
      <w:r>
        <w:rPr>
          <w:color w:val="1D1D1D"/>
          <w:w w:val="105"/>
          <w:sz w:val="22"/>
        </w:rPr>
        <w:t>tehdy, jestliže jej prodávající ujistil, že věc má mčité vlastnosti, zejména vlastnosti kupujícím vymíněné, anebo prodávající kupujícího</w:t>
      </w:r>
      <w:r>
        <w:rPr>
          <w:color w:val="1D1D1D"/>
          <w:spacing w:val="13"/>
          <w:w w:val="105"/>
          <w:sz w:val="22"/>
        </w:rPr>
        <w:t> </w:t>
      </w:r>
      <w:r>
        <w:rPr>
          <w:color w:val="1D1D1D"/>
          <w:w w:val="105"/>
          <w:sz w:val="22"/>
        </w:rPr>
        <w:t>ujistil,</w:t>
      </w:r>
      <w:r>
        <w:rPr>
          <w:color w:val="1D1D1D"/>
          <w:spacing w:val="-8"/>
          <w:w w:val="105"/>
          <w:sz w:val="22"/>
        </w:rPr>
        <w:t> </w:t>
      </w:r>
      <w:r>
        <w:rPr>
          <w:color w:val="1D1D1D"/>
          <w:w w:val="105"/>
          <w:sz w:val="22"/>
        </w:rPr>
        <w:t>že</w:t>
      </w:r>
      <w:r>
        <w:rPr>
          <w:color w:val="1D1D1D"/>
          <w:spacing w:val="-9"/>
          <w:w w:val="105"/>
          <w:sz w:val="22"/>
        </w:rPr>
        <w:t> </w:t>
      </w:r>
      <w:r>
        <w:rPr>
          <w:color w:val="1D1D1D"/>
          <w:w w:val="105"/>
          <w:sz w:val="22"/>
        </w:rPr>
        <w:t>věc</w:t>
      </w:r>
      <w:r>
        <w:rPr>
          <w:color w:val="1D1D1D"/>
          <w:spacing w:val="-1"/>
          <w:w w:val="105"/>
          <w:sz w:val="22"/>
        </w:rPr>
        <w:t> </w:t>
      </w:r>
      <w:r>
        <w:rPr>
          <w:color w:val="1D1D1D"/>
          <w:w w:val="105"/>
          <w:sz w:val="22"/>
        </w:rPr>
        <w:t>nemá</w:t>
      </w:r>
      <w:r>
        <w:rPr>
          <w:color w:val="1D1D1D"/>
          <w:spacing w:val="-12"/>
          <w:w w:val="105"/>
          <w:sz w:val="22"/>
        </w:rPr>
        <w:t> </w:t>
      </w:r>
      <w:r>
        <w:rPr>
          <w:color w:val="1D1D1D"/>
          <w:w w:val="105"/>
          <w:sz w:val="22"/>
        </w:rPr>
        <w:t>žádné</w:t>
      </w:r>
      <w:r>
        <w:rPr>
          <w:color w:val="1D1D1D"/>
          <w:spacing w:val="-1"/>
          <w:w w:val="105"/>
          <w:sz w:val="22"/>
        </w:rPr>
        <w:t> </w:t>
      </w:r>
      <w:r>
        <w:rPr>
          <w:color w:val="1D1D1D"/>
          <w:w w:val="105"/>
          <w:sz w:val="22"/>
        </w:rPr>
        <w:t>vady,</w:t>
      </w:r>
      <w:r>
        <w:rPr>
          <w:color w:val="1D1D1D"/>
          <w:spacing w:val="1"/>
          <w:w w:val="105"/>
          <w:sz w:val="22"/>
        </w:rPr>
        <w:t> </w:t>
      </w:r>
      <w:r>
        <w:rPr>
          <w:rFonts w:ascii="Arial" w:hAnsi="Arial"/>
          <w:color w:val="1D1D1D"/>
          <w:w w:val="105"/>
          <w:sz w:val="20"/>
        </w:rPr>
        <w:t>a</w:t>
      </w:r>
      <w:r>
        <w:rPr>
          <w:rFonts w:ascii="Arial" w:hAnsi="Arial"/>
          <w:color w:val="1D1D1D"/>
          <w:spacing w:val="-31"/>
          <w:w w:val="105"/>
          <w:sz w:val="20"/>
        </w:rPr>
        <w:t> </w:t>
      </w:r>
      <w:r>
        <w:rPr>
          <w:color w:val="1D1D1D"/>
          <w:w w:val="105"/>
          <w:sz w:val="22"/>
        </w:rPr>
        <w:t>toto ujištění</w:t>
      </w:r>
      <w:r>
        <w:rPr>
          <w:color w:val="1D1D1D"/>
          <w:spacing w:val="-3"/>
          <w:w w:val="105"/>
          <w:sz w:val="22"/>
        </w:rPr>
        <w:t> </w:t>
      </w:r>
      <w:r>
        <w:rPr>
          <w:color w:val="1D1D1D"/>
          <w:w w:val="105"/>
          <w:sz w:val="22"/>
        </w:rPr>
        <w:t>se</w:t>
      </w:r>
      <w:r>
        <w:rPr>
          <w:color w:val="1D1D1D"/>
          <w:spacing w:val="-8"/>
          <w:w w:val="105"/>
          <w:sz w:val="22"/>
        </w:rPr>
        <w:t> </w:t>
      </w:r>
      <w:r>
        <w:rPr>
          <w:color w:val="1D1D1D"/>
          <w:w w:val="105"/>
          <w:sz w:val="22"/>
        </w:rPr>
        <w:t>ukáže</w:t>
      </w:r>
      <w:r>
        <w:rPr>
          <w:color w:val="1D1D1D"/>
          <w:spacing w:val="-5"/>
          <w:w w:val="105"/>
          <w:sz w:val="22"/>
        </w:rPr>
        <w:t> </w:t>
      </w:r>
      <w:r>
        <w:rPr>
          <w:color w:val="1D1D1D"/>
          <w:w w:val="105"/>
          <w:sz w:val="22"/>
        </w:rPr>
        <w:t>nepravdivým.</w:t>
      </w:r>
    </w:p>
    <w:p>
      <w:pPr>
        <w:pStyle w:val="BodyText"/>
        <w:spacing w:before="112"/>
        <w:ind w:left="2403" w:right="1462" w:hanging="345"/>
        <w:jc w:val="both"/>
      </w:pPr>
      <w:r>
        <w:rPr>
          <w:color w:val="1D1D1D"/>
          <w:w w:val="105"/>
          <w:sz w:val="21"/>
        </w:rPr>
        <w:t>S) </w:t>
      </w:r>
      <w:r>
        <w:rPr>
          <w:color w:val="1D1D1D"/>
          <w:w w:val="105"/>
        </w:rPr>
        <w:t>Kupující má právo na úhradu nutných nákladu, které mu vznikly v souvislosti s uplatněním práv z odpovědnosti </w:t>
      </w:r>
      <w:r>
        <w:rPr>
          <w:rFonts w:ascii="Arial" w:hAnsi="Arial"/>
          <w:color w:val="1D1D1D"/>
          <w:w w:val="105"/>
          <w:sz w:val="23"/>
        </w:rPr>
        <w:t>za </w:t>
      </w:r>
      <w:r>
        <w:rPr>
          <w:color w:val="1D1D1D"/>
          <w:w w:val="105"/>
        </w:rPr>
        <w:t>vady.</w:t>
      </w:r>
    </w:p>
    <w:p>
      <w:pPr>
        <w:pStyle w:val="ListParagraph"/>
        <w:numPr>
          <w:ilvl w:val="0"/>
          <w:numId w:val="5"/>
        </w:numPr>
        <w:tabs>
          <w:tab w:pos="2407" w:val="left" w:leader="none"/>
        </w:tabs>
        <w:spacing w:line="247" w:lineRule="auto" w:before="131" w:after="0"/>
        <w:ind w:left="2406" w:right="1470" w:hanging="353"/>
        <w:jc w:val="both"/>
        <w:rPr>
          <w:sz w:val="22"/>
        </w:rPr>
      </w:pPr>
      <w:r>
        <w:rPr>
          <w:color w:val="1D1D1D"/>
          <w:w w:val="105"/>
          <w:sz w:val="22"/>
        </w:rPr>
        <w:t>Vady musí kupující uplatnit u prodávajícího bez zbytečného odkladu poté, co se o</w:t>
      </w:r>
      <w:r>
        <w:rPr>
          <w:color w:val="1D1D1D"/>
          <w:spacing w:val="-39"/>
          <w:w w:val="105"/>
          <w:sz w:val="22"/>
        </w:rPr>
        <w:t> </w:t>
      </w:r>
      <w:r>
        <w:rPr>
          <w:color w:val="1D1D1D"/>
          <w:w w:val="105"/>
          <w:sz w:val="22"/>
        </w:rPr>
        <w:t>nich dozví.</w:t>
      </w:r>
    </w:p>
    <w:p>
      <w:pPr>
        <w:pStyle w:val="ListParagraph"/>
        <w:numPr>
          <w:ilvl w:val="0"/>
          <w:numId w:val="5"/>
        </w:numPr>
        <w:tabs>
          <w:tab w:pos="2408" w:val="left" w:leader="none"/>
        </w:tabs>
        <w:spacing w:line="240" w:lineRule="auto" w:before="118" w:after="0"/>
        <w:ind w:left="2407" w:right="0" w:hanging="353"/>
        <w:jc w:val="left"/>
        <w:rPr>
          <w:sz w:val="22"/>
        </w:rPr>
      </w:pPr>
      <w:r>
        <w:rPr>
          <w:color w:val="1D1D1D"/>
          <w:w w:val="105"/>
          <w:sz w:val="22"/>
        </w:rPr>
        <w:t>Uplatněním práv z odpovědnosti za vady není dotčeno právo na náhradu</w:t>
      </w:r>
      <w:r>
        <w:rPr>
          <w:color w:val="1D1D1D"/>
          <w:spacing w:val="30"/>
          <w:w w:val="105"/>
          <w:sz w:val="22"/>
        </w:rPr>
        <w:t> </w:t>
      </w:r>
      <w:r>
        <w:rPr>
          <w:color w:val="1D1D1D"/>
          <w:w w:val="105"/>
          <w:sz w:val="22"/>
        </w:rPr>
        <w:t>škody.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4"/>
        <w:spacing w:line="444" w:lineRule="auto" w:before="171"/>
        <w:ind w:left="5599" w:right="5348"/>
      </w:pPr>
      <w:r>
        <w:rPr>
          <w:color w:val="1D1D1D"/>
          <w:w w:val="105"/>
        </w:rPr>
        <w:t>Článek S Licence</w:t>
      </w:r>
    </w:p>
    <w:p>
      <w:pPr>
        <w:pStyle w:val="ListParagraph"/>
        <w:numPr>
          <w:ilvl w:val="0"/>
          <w:numId w:val="6"/>
        </w:numPr>
        <w:tabs>
          <w:tab w:pos="2396" w:val="left" w:leader="none"/>
        </w:tabs>
        <w:spacing w:line="252" w:lineRule="auto" w:before="11" w:after="0"/>
        <w:ind w:left="2386" w:right="1459" w:hanging="268"/>
        <w:jc w:val="both"/>
        <w:rPr>
          <w:color w:val="1D1D1D"/>
          <w:sz w:val="22"/>
        </w:rPr>
      </w:pPr>
      <w:r>
        <w:rPr>
          <w:color w:val="1D1D1D"/>
          <w:w w:val="105"/>
          <w:sz w:val="22"/>
        </w:rPr>
        <w:t>Prodávající</w:t>
      </w:r>
      <w:r>
        <w:rPr>
          <w:color w:val="1D1D1D"/>
          <w:spacing w:val="-6"/>
          <w:w w:val="105"/>
          <w:sz w:val="22"/>
        </w:rPr>
        <w:t> </w:t>
      </w:r>
      <w:r>
        <w:rPr>
          <w:color w:val="1D1D1D"/>
          <w:w w:val="105"/>
          <w:sz w:val="22"/>
        </w:rPr>
        <w:t>v</w:t>
      </w:r>
      <w:r>
        <w:rPr>
          <w:color w:val="1D1D1D"/>
          <w:spacing w:val="-11"/>
          <w:w w:val="105"/>
          <w:sz w:val="22"/>
        </w:rPr>
        <w:t> </w:t>
      </w:r>
      <w:r>
        <w:rPr>
          <w:color w:val="1D1D1D"/>
          <w:w w:val="105"/>
          <w:sz w:val="22"/>
        </w:rPr>
        <w:t>rámci</w:t>
      </w:r>
      <w:r>
        <w:rPr>
          <w:color w:val="1D1D1D"/>
          <w:spacing w:val="-8"/>
          <w:w w:val="105"/>
          <w:sz w:val="22"/>
        </w:rPr>
        <w:t> </w:t>
      </w:r>
      <w:r>
        <w:rPr>
          <w:color w:val="1D1D1D"/>
          <w:w w:val="105"/>
          <w:sz w:val="22"/>
        </w:rPr>
        <w:t>plnění</w:t>
      </w:r>
      <w:r>
        <w:rPr>
          <w:color w:val="1D1D1D"/>
          <w:spacing w:val="-8"/>
          <w:w w:val="105"/>
          <w:sz w:val="22"/>
        </w:rPr>
        <w:t> </w:t>
      </w:r>
      <w:r>
        <w:rPr>
          <w:color w:val="1D1D1D"/>
          <w:w w:val="105"/>
          <w:sz w:val="22"/>
        </w:rPr>
        <w:t>předmětu</w:t>
      </w:r>
      <w:r>
        <w:rPr>
          <w:color w:val="1D1D1D"/>
          <w:spacing w:val="-7"/>
          <w:w w:val="105"/>
          <w:sz w:val="22"/>
        </w:rPr>
        <w:t> </w:t>
      </w:r>
      <w:r>
        <w:rPr>
          <w:color w:val="1D1D1D"/>
          <w:w w:val="105"/>
          <w:sz w:val="22"/>
        </w:rPr>
        <w:t>této</w:t>
      </w:r>
      <w:r>
        <w:rPr>
          <w:color w:val="1D1D1D"/>
          <w:spacing w:val="-14"/>
          <w:w w:val="105"/>
          <w:sz w:val="22"/>
        </w:rPr>
        <w:t> </w:t>
      </w:r>
      <w:r>
        <w:rPr>
          <w:color w:val="1D1D1D"/>
          <w:w w:val="105"/>
          <w:sz w:val="22"/>
        </w:rPr>
        <w:t>smlouvy</w:t>
      </w:r>
      <w:r>
        <w:rPr>
          <w:color w:val="1D1D1D"/>
          <w:spacing w:val="-4"/>
          <w:w w:val="105"/>
          <w:sz w:val="22"/>
        </w:rPr>
        <w:t> </w:t>
      </w:r>
      <w:r>
        <w:rPr>
          <w:color w:val="1D1D1D"/>
          <w:w w:val="105"/>
          <w:sz w:val="22"/>
        </w:rPr>
        <w:t>dodává</w:t>
      </w:r>
      <w:r>
        <w:rPr>
          <w:color w:val="1D1D1D"/>
          <w:spacing w:val="-10"/>
          <w:w w:val="105"/>
          <w:sz w:val="22"/>
        </w:rPr>
        <w:t> </w:t>
      </w:r>
      <w:r>
        <w:rPr>
          <w:color w:val="1D1D1D"/>
          <w:w w:val="105"/>
          <w:sz w:val="22"/>
        </w:rPr>
        <w:t>software</w:t>
      </w:r>
      <w:r>
        <w:rPr>
          <w:color w:val="1D1D1D"/>
          <w:spacing w:val="-2"/>
          <w:w w:val="105"/>
          <w:sz w:val="22"/>
        </w:rPr>
        <w:t> </w:t>
      </w:r>
      <w:r>
        <w:rPr>
          <w:color w:val="1D1D1D"/>
          <w:w w:val="105"/>
          <w:sz w:val="22"/>
        </w:rPr>
        <w:t>podléhající</w:t>
      </w:r>
      <w:r>
        <w:rPr>
          <w:color w:val="1D1D1D"/>
          <w:spacing w:val="0"/>
          <w:w w:val="105"/>
          <w:sz w:val="22"/>
        </w:rPr>
        <w:t> </w:t>
      </w:r>
      <w:r>
        <w:rPr>
          <w:color w:val="1D1D1D"/>
          <w:w w:val="105"/>
          <w:sz w:val="22"/>
        </w:rPr>
        <w:t>ochraně</w:t>
      </w:r>
      <w:r>
        <w:rPr>
          <w:color w:val="343434"/>
          <w:w w:val="105"/>
          <w:sz w:val="22"/>
        </w:rPr>
        <w:t> podle</w:t>
      </w:r>
      <w:r>
        <w:rPr>
          <w:color w:val="343434"/>
          <w:spacing w:val="-19"/>
          <w:w w:val="105"/>
          <w:sz w:val="22"/>
        </w:rPr>
        <w:t> </w:t>
      </w:r>
      <w:r>
        <w:rPr>
          <w:color w:val="343434"/>
          <w:w w:val="105"/>
          <w:sz w:val="22"/>
        </w:rPr>
        <w:t>zákona</w:t>
      </w:r>
      <w:r>
        <w:rPr>
          <w:color w:val="343434"/>
          <w:spacing w:val="-19"/>
          <w:w w:val="105"/>
          <w:sz w:val="22"/>
        </w:rPr>
        <w:t> </w:t>
      </w:r>
      <w:r>
        <w:rPr>
          <w:color w:val="1D1D1D"/>
          <w:w w:val="105"/>
          <w:sz w:val="22"/>
        </w:rPr>
        <w:t>č.</w:t>
      </w:r>
      <w:r>
        <w:rPr>
          <w:color w:val="1D1D1D"/>
          <w:spacing w:val="-6"/>
          <w:w w:val="105"/>
          <w:sz w:val="22"/>
        </w:rPr>
        <w:t> </w:t>
      </w:r>
      <w:r>
        <w:rPr>
          <w:color w:val="1D1D1D"/>
          <w:w w:val="105"/>
          <w:sz w:val="24"/>
        </w:rPr>
        <w:t>121/2000</w:t>
      </w:r>
      <w:r>
        <w:rPr>
          <w:color w:val="1D1D1D"/>
          <w:spacing w:val="-16"/>
          <w:w w:val="105"/>
          <w:sz w:val="24"/>
        </w:rPr>
        <w:t> </w:t>
      </w:r>
      <w:r>
        <w:rPr>
          <w:color w:val="1D1D1D"/>
          <w:w w:val="105"/>
          <w:sz w:val="22"/>
        </w:rPr>
        <w:t>Sb.</w:t>
      </w:r>
      <w:r>
        <w:rPr>
          <w:color w:val="1D1D1D"/>
          <w:spacing w:val="-33"/>
          <w:w w:val="105"/>
          <w:sz w:val="22"/>
        </w:rPr>
        <w:t> </w:t>
      </w:r>
      <w:r>
        <w:rPr>
          <w:color w:val="343434"/>
          <w:w w:val="105"/>
          <w:sz w:val="22"/>
        </w:rPr>
        <w:t>(autorský</w:t>
      </w:r>
      <w:r>
        <w:rPr>
          <w:color w:val="343434"/>
          <w:spacing w:val="-10"/>
          <w:w w:val="105"/>
          <w:sz w:val="22"/>
        </w:rPr>
        <w:t> </w:t>
      </w:r>
      <w:r>
        <w:rPr>
          <w:color w:val="1D1D1D"/>
          <w:w w:val="105"/>
          <w:sz w:val="22"/>
        </w:rPr>
        <w:t>zákon)</w:t>
      </w:r>
      <w:r>
        <w:rPr>
          <w:color w:val="1D1D1D"/>
          <w:spacing w:val="-19"/>
          <w:w w:val="105"/>
          <w:sz w:val="22"/>
        </w:rPr>
        <w:t> </w:t>
      </w:r>
      <w:r>
        <w:rPr>
          <w:color w:val="1D1D1D"/>
          <w:w w:val="105"/>
          <w:sz w:val="22"/>
        </w:rPr>
        <w:t>a</w:t>
      </w:r>
      <w:r>
        <w:rPr>
          <w:color w:val="1D1D1D"/>
          <w:spacing w:val="-18"/>
          <w:w w:val="105"/>
          <w:sz w:val="22"/>
        </w:rPr>
        <w:t> </w:t>
      </w:r>
      <w:r>
        <w:rPr>
          <w:color w:val="1D1D1D"/>
          <w:w w:val="105"/>
          <w:sz w:val="22"/>
        </w:rPr>
        <w:t>ustanovení§</w:t>
      </w:r>
      <w:r>
        <w:rPr>
          <w:color w:val="1D1D1D"/>
          <w:spacing w:val="-11"/>
          <w:w w:val="105"/>
          <w:sz w:val="22"/>
        </w:rPr>
        <w:t> </w:t>
      </w:r>
      <w:r>
        <w:rPr>
          <w:color w:val="1D1D1D"/>
          <w:w w:val="105"/>
          <w:sz w:val="22"/>
        </w:rPr>
        <w:t>2358</w:t>
      </w:r>
      <w:r>
        <w:rPr>
          <w:color w:val="1D1D1D"/>
          <w:spacing w:val="-26"/>
          <w:w w:val="105"/>
          <w:sz w:val="22"/>
        </w:rPr>
        <w:t> </w:t>
      </w:r>
      <w:r>
        <w:rPr>
          <w:color w:val="1D1D1D"/>
          <w:w w:val="105"/>
          <w:sz w:val="22"/>
        </w:rPr>
        <w:t>a</w:t>
      </w:r>
      <w:r>
        <w:rPr>
          <w:color w:val="1D1D1D"/>
          <w:spacing w:val="-18"/>
          <w:w w:val="105"/>
          <w:sz w:val="22"/>
        </w:rPr>
        <w:t> </w:t>
      </w:r>
      <w:r>
        <w:rPr>
          <w:color w:val="1D1D1D"/>
          <w:w w:val="105"/>
          <w:sz w:val="22"/>
        </w:rPr>
        <w:t>následující</w:t>
      </w:r>
      <w:r>
        <w:rPr>
          <w:color w:val="1D1D1D"/>
          <w:spacing w:val="-15"/>
          <w:w w:val="105"/>
          <w:sz w:val="22"/>
        </w:rPr>
        <w:t> </w:t>
      </w:r>
      <w:r>
        <w:rPr>
          <w:color w:val="1D1D1D"/>
          <w:w w:val="105"/>
          <w:sz w:val="22"/>
        </w:rPr>
        <w:t>zákona</w:t>
      </w:r>
      <w:r>
        <w:rPr>
          <w:color w:val="343434"/>
          <w:w w:val="105"/>
          <w:sz w:val="22"/>
        </w:rPr>
        <w:t> č. </w:t>
      </w:r>
      <w:r>
        <w:rPr>
          <w:color w:val="1D1D1D"/>
          <w:w w:val="105"/>
          <w:sz w:val="22"/>
        </w:rPr>
        <w:t>89/2012</w:t>
      </w:r>
      <w:r>
        <w:rPr>
          <w:color w:val="484848"/>
          <w:w w:val="105"/>
          <w:sz w:val="22"/>
        </w:rPr>
        <w:t>, </w:t>
      </w:r>
      <w:r>
        <w:rPr>
          <w:color w:val="1D1D1D"/>
          <w:w w:val="105"/>
          <w:sz w:val="22"/>
        </w:rPr>
        <w:t>občanského zákoru1cu, proto poskytuje kupujícímu  licenci (tj. oprávnění</w:t>
      </w:r>
      <w:r>
        <w:rPr>
          <w:color w:val="343434"/>
          <w:w w:val="105"/>
          <w:sz w:val="22"/>
        </w:rPr>
        <w:t> k </w:t>
      </w:r>
      <w:r>
        <w:rPr>
          <w:color w:val="484848"/>
          <w:w w:val="105"/>
          <w:sz w:val="22"/>
        </w:rPr>
        <w:t>v</w:t>
      </w:r>
      <w:r>
        <w:rPr>
          <w:color w:val="1D1D1D"/>
          <w:w w:val="105"/>
          <w:sz w:val="22"/>
        </w:rPr>
        <w:t>ýkonu práva duševního </w:t>
      </w:r>
      <w:r>
        <w:rPr>
          <w:color w:val="343434"/>
          <w:w w:val="105"/>
          <w:sz w:val="22"/>
        </w:rPr>
        <w:t>vlastnictví </w:t>
      </w:r>
      <w:r>
        <w:rPr>
          <w:color w:val="1D1D1D"/>
          <w:w w:val="105"/>
          <w:sz w:val="22"/>
        </w:rPr>
        <w:t>(licenci) v ujednaném rozsahu), a to formou</w:t>
      </w:r>
      <w:r>
        <w:rPr>
          <w:color w:val="343434"/>
          <w:w w:val="105"/>
          <w:sz w:val="22"/>
        </w:rPr>
        <w:t> licenčního </w:t>
      </w:r>
      <w:r>
        <w:rPr>
          <w:color w:val="1D1D1D"/>
          <w:w w:val="105"/>
          <w:sz w:val="22"/>
        </w:rPr>
        <w:t>tůednání </w:t>
      </w:r>
      <w:r>
        <w:rPr>
          <w:color w:val="343434"/>
          <w:w w:val="105"/>
          <w:sz w:val="22"/>
        </w:rPr>
        <w:t>v </w:t>
      </w:r>
      <w:r>
        <w:rPr>
          <w:color w:val="1D1D1D"/>
          <w:w w:val="105"/>
          <w:sz w:val="22"/>
        </w:rPr>
        <w:t>této kupní </w:t>
      </w:r>
      <w:r>
        <w:rPr>
          <w:color w:val="343434"/>
          <w:w w:val="105"/>
          <w:sz w:val="22"/>
        </w:rPr>
        <w:t>smlouvě. </w:t>
      </w:r>
      <w:r>
        <w:rPr>
          <w:color w:val="1D1D1D"/>
          <w:w w:val="105"/>
          <w:sz w:val="22"/>
        </w:rPr>
        <w:t>Prodávající prohlašuje, že se</w:t>
      </w:r>
      <w:r>
        <w:rPr>
          <w:color w:val="1D1D1D"/>
          <w:spacing w:val="-45"/>
          <w:w w:val="105"/>
          <w:sz w:val="22"/>
        </w:rPr>
        <w:t> </w:t>
      </w:r>
      <w:r>
        <w:rPr>
          <w:color w:val="1D1D1D"/>
          <w:w w:val="105"/>
          <w:sz w:val="22"/>
        </w:rPr>
        <w:t>jedná o licenci:</w:t>
      </w:r>
    </w:p>
    <w:p>
      <w:pPr>
        <w:pStyle w:val="ListParagraph"/>
        <w:numPr>
          <w:ilvl w:val="1"/>
          <w:numId w:val="6"/>
        </w:numPr>
        <w:tabs>
          <w:tab w:pos="3413" w:val="left" w:leader="none"/>
        </w:tabs>
        <w:spacing w:line="254" w:lineRule="auto" w:before="7" w:after="0"/>
        <w:ind w:left="3416" w:right="1453" w:hanging="352"/>
        <w:jc w:val="left"/>
        <w:rPr>
          <w:sz w:val="22"/>
        </w:rPr>
      </w:pPr>
      <w:r>
        <w:rPr>
          <w:color w:val="1D1D1D"/>
          <w:w w:val="105"/>
          <w:sz w:val="22"/>
        </w:rPr>
        <w:t>nevýhradní licenci k veškerým známým způsobům užití takového díla, a to v rozsahu minimálně nezbytném pro řádné užívání dila</w:t>
      </w:r>
      <w:r>
        <w:rPr>
          <w:color w:val="1D1D1D"/>
          <w:spacing w:val="12"/>
          <w:w w:val="105"/>
          <w:sz w:val="22"/>
        </w:rPr>
        <w:t> </w:t>
      </w:r>
      <w:r>
        <w:rPr>
          <w:color w:val="1D1D1D"/>
          <w:w w:val="105"/>
          <w:sz w:val="22"/>
        </w:rPr>
        <w:t>kupujícím;</w:t>
      </w:r>
    </w:p>
    <w:p>
      <w:pPr>
        <w:pStyle w:val="ListParagraph"/>
        <w:numPr>
          <w:ilvl w:val="1"/>
          <w:numId w:val="6"/>
        </w:numPr>
        <w:tabs>
          <w:tab w:pos="3422" w:val="left" w:leader="none"/>
        </w:tabs>
        <w:spacing w:line="254" w:lineRule="auto" w:before="7" w:after="0"/>
        <w:ind w:left="3421" w:right="1448" w:hanging="353"/>
        <w:jc w:val="left"/>
        <w:rPr>
          <w:sz w:val="22"/>
        </w:rPr>
      </w:pPr>
      <w:r>
        <w:rPr>
          <w:color w:val="1D1D1D"/>
          <w:w w:val="105"/>
          <w:sz w:val="22"/>
        </w:rPr>
        <w:t>licenci neomezenou územním či množstevním rozsahem a rovněž tak neomezenou způsobem nebo rozsahem</w:t>
      </w:r>
      <w:r>
        <w:rPr>
          <w:color w:val="1D1D1D"/>
          <w:spacing w:val="38"/>
          <w:w w:val="105"/>
          <w:sz w:val="22"/>
        </w:rPr>
        <w:t> </w:t>
      </w:r>
      <w:r>
        <w:rPr>
          <w:color w:val="1D1D1D"/>
          <w:w w:val="105"/>
          <w:sz w:val="22"/>
        </w:rPr>
        <w:t>užití;</w:t>
      </w:r>
    </w:p>
    <w:p>
      <w:pPr>
        <w:pStyle w:val="ListParagraph"/>
        <w:numPr>
          <w:ilvl w:val="1"/>
          <w:numId w:val="6"/>
        </w:numPr>
        <w:tabs>
          <w:tab w:pos="3412" w:val="left" w:leader="none"/>
        </w:tabs>
        <w:spacing w:line="250" w:lineRule="exact" w:before="0" w:after="0"/>
        <w:ind w:left="3411" w:right="0" w:hanging="347"/>
        <w:jc w:val="left"/>
        <w:rPr>
          <w:sz w:val="22"/>
        </w:rPr>
      </w:pPr>
      <w:r>
        <w:rPr>
          <w:color w:val="1D1D1D"/>
          <w:w w:val="105"/>
          <w:sz w:val="22"/>
        </w:rPr>
        <w:t>licenci udělenou na dobu</w:t>
      </w:r>
      <w:r>
        <w:rPr>
          <w:color w:val="1D1D1D"/>
          <w:spacing w:val="-10"/>
          <w:w w:val="105"/>
          <w:sz w:val="22"/>
        </w:rPr>
        <w:t> </w:t>
      </w:r>
      <w:r>
        <w:rPr>
          <w:color w:val="1D1D1D"/>
          <w:w w:val="105"/>
          <w:sz w:val="22"/>
        </w:rPr>
        <w:t>určitou,</w:t>
      </w:r>
    </w:p>
    <w:p>
      <w:pPr>
        <w:pStyle w:val="ListParagraph"/>
        <w:numPr>
          <w:ilvl w:val="1"/>
          <w:numId w:val="6"/>
        </w:numPr>
        <w:tabs>
          <w:tab w:pos="3417" w:val="left" w:leader="none"/>
        </w:tabs>
        <w:spacing w:line="249" w:lineRule="auto" w:before="11" w:after="0"/>
        <w:ind w:left="3414" w:right="1457" w:hanging="350"/>
        <w:jc w:val="left"/>
        <w:rPr>
          <w:sz w:val="22"/>
        </w:rPr>
      </w:pPr>
      <w:r>
        <w:rPr>
          <w:color w:val="1D1D1D"/>
          <w:w w:val="105"/>
          <w:sz w:val="22"/>
        </w:rPr>
        <w:t>licenci převoditelnou a postupiteh1ou, </w:t>
      </w:r>
      <w:r>
        <w:rPr>
          <w:rFonts w:ascii="Arial" w:hAnsi="Arial"/>
          <w:color w:val="1D1D1D"/>
          <w:w w:val="105"/>
          <w:sz w:val="22"/>
        </w:rPr>
        <w:t>tj. </w:t>
      </w:r>
      <w:r>
        <w:rPr>
          <w:color w:val="1D1D1D"/>
          <w:w w:val="105"/>
          <w:sz w:val="22"/>
        </w:rPr>
        <w:t>která je udělena s právem postoupení licence třetí</w:t>
      </w:r>
      <w:r>
        <w:rPr>
          <w:color w:val="1D1D1D"/>
          <w:spacing w:val="2"/>
          <w:w w:val="105"/>
          <w:sz w:val="22"/>
        </w:rPr>
        <w:t> </w:t>
      </w:r>
      <w:r>
        <w:rPr>
          <w:color w:val="1D1D1D"/>
          <w:w w:val="105"/>
          <w:sz w:val="22"/>
        </w:rPr>
        <w:t>osobě</w:t>
      </w:r>
    </w:p>
    <w:p>
      <w:pPr>
        <w:pStyle w:val="ListParagraph"/>
        <w:numPr>
          <w:ilvl w:val="1"/>
          <w:numId w:val="6"/>
        </w:numPr>
        <w:tabs>
          <w:tab w:pos="3407" w:val="left" w:leader="none"/>
        </w:tabs>
        <w:spacing w:line="240" w:lineRule="auto" w:before="2" w:after="0"/>
        <w:ind w:left="3406" w:right="0" w:hanging="343"/>
        <w:jc w:val="left"/>
        <w:rPr>
          <w:sz w:val="22"/>
        </w:rPr>
      </w:pPr>
      <w:r>
        <w:rPr>
          <w:color w:val="1D1D1D"/>
          <w:w w:val="105"/>
          <w:sz w:val="22"/>
        </w:rPr>
        <w:t>licenci, kterou není kupující povinen</w:t>
      </w:r>
      <w:r>
        <w:rPr>
          <w:color w:val="1D1D1D"/>
          <w:spacing w:val="30"/>
          <w:w w:val="105"/>
          <w:sz w:val="22"/>
        </w:rPr>
        <w:t> </w:t>
      </w:r>
      <w:r>
        <w:rPr>
          <w:color w:val="1D1D1D"/>
          <w:w w:val="105"/>
          <w:sz w:val="22"/>
        </w:rPr>
        <w:t>využít.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88" w:top="1580" w:bottom="1220" w:left="0" w:right="0"/>
        </w:sectPr>
      </w:pPr>
    </w:p>
    <w:p>
      <w:pPr>
        <w:pStyle w:val="BodyText"/>
        <w:spacing w:before="7"/>
        <w:rPr>
          <w:sz w:val="18"/>
        </w:rPr>
      </w:pPr>
      <w:r>
        <w:rPr/>
        <w:pict>
          <v:line style="position:absolute;mso-position-horizontal-relative:page;mso-position-vertical-relative:page;z-index:1216" from="12.500131pt,807.320068pt" to="12.500131pt,841.68006pt" stroked="true" strokeweight=".480774pt" strokecolor="#000000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6"/>
        </w:numPr>
        <w:tabs>
          <w:tab w:pos="2539" w:val="left" w:leader="none"/>
        </w:tabs>
        <w:spacing w:line="240" w:lineRule="auto" w:before="92" w:after="0"/>
        <w:ind w:left="2538" w:right="0" w:hanging="274"/>
        <w:jc w:val="left"/>
        <w:rPr>
          <w:color w:val="1A1A1A"/>
          <w:sz w:val="22"/>
        </w:rPr>
      </w:pPr>
      <w:r>
        <w:rPr>
          <w:color w:val="1A1A1A"/>
          <w:w w:val="105"/>
          <w:sz w:val="22"/>
        </w:rPr>
        <w:t>Licence je poskytnutá v maximálním rozsahu povoleném platnými právními</w:t>
      </w:r>
      <w:r>
        <w:rPr>
          <w:color w:val="1A1A1A"/>
          <w:spacing w:val="22"/>
          <w:w w:val="105"/>
          <w:sz w:val="22"/>
        </w:rPr>
        <w:t> </w:t>
      </w:r>
      <w:r>
        <w:rPr>
          <w:color w:val="1A1A1A"/>
          <w:w w:val="105"/>
          <w:sz w:val="22"/>
        </w:rPr>
        <w:t>předpisy.</w:t>
      </w:r>
    </w:p>
    <w:p>
      <w:pPr>
        <w:pStyle w:val="ListParagraph"/>
        <w:numPr>
          <w:ilvl w:val="0"/>
          <w:numId w:val="6"/>
        </w:numPr>
        <w:tabs>
          <w:tab w:pos="2540" w:val="left" w:leader="none"/>
        </w:tabs>
        <w:spacing w:line="249" w:lineRule="auto" w:before="131" w:after="0"/>
        <w:ind w:left="2546" w:right="1405" w:hanging="276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Prodávající prohlašuje,  že odměna za poskytnutí  licence kupujícímu  je již zahrnuta v kupní ceně za poskytnuté plnění dle této kupní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w w:val="105"/>
          <w:sz w:val="22"/>
        </w:rPr>
        <w:t>smlouvy.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6"/>
        <w:ind w:left="5750"/>
        <w:jc w:val="left"/>
      </w:pPr>
      <w:r>
        <w:rPr>
          <w:color w:val="1A1A1A"/>
          <w:w w:val="110"/>
        </w:rPr>
        <w:t>Článek6</w:t>
      </w:r>
    </w:p>
    <w:p>
      <w:pPr>
        <w:spacing w:before="11"/>
        <w:ind w:left="2129" w:right="1671" w:firstLine="0"/>
        <w:jc w:val="center"/>
        <w:rPr>
          <w:b/>
          <w:sz w:val="22"/>
        </w:rPr>
      </w:pPr>
      <w:r>
        <w:rPr>
          <w:b/>
          <w:color w:val="1A1A1A"/>
          <w:sz w:val="22"/>
        </w:rPr>
        <w:t>Ukončení smlouvy odstoupením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2560" w:val="left" w:leader="none"/>
        </w:tabs>
        <w:spacing w:line="242" w:lineRule="auto" w:before="1" w:after="0"/>
        <w:ind w:left="2546" w:right="1374" w:hanging="335"/>
        <w:jc w:val="both"/>
        <w:rPr>
          <w:rFonts w:ascii="Arial" w:hAnsi="Arial"/>
          <w:color w:val="1A1A1A"/>
          <w:sz w:val="22"/>
        </w:rPr>
      </w:pPr>
      <w:r>
        <w:rPr>
          <w:color w:val="1A1A1A"/>
          <w:w w:val="105"/>
          <w:sz w:val="22"/>
        </w:rPr>
        <w:t>Od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této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smlouvy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může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kterákoli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strana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odstoupit,</w:t>
      </w:r>
      <w:r>
        <w:rPr>
          <w:color w:val="1A1A1A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pokud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dojde</w:t>
      </w:r>
      <w:r>
        <w:rPr>
          <w:color w:val="1A1A1A"/>
          <w:spacing w:val="-21"/>
          <w:w w:val="105"/>
          <w:sz w:val="22"/>
        </w:rPr>
        <w:t> </w:t>
      </w:r>
      <w:r>
        <w:rPr>
          <w:rFonts w:ascii="Arial" w:hAnsi="Arial"/>
          <w:color w:val="1A1A1A"/>
          <w:w w:val="105"/>
          <w:sz w:val="22"/>
        </w:rPr>
        <w:t>k</w:t>
      </w:r>
      <w:r>
        <w:rPr>
          <w:rFonts w:ascii="Arial" w:hAnsi="Arial"/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podstatnému</w:t>
      </w:r>
      <w:r>
        <w:rPr>
          <w:color w:val="1A1A1A"/>
          <w:spacing w:val="3"/>
          <w:w w:val="105"/>
          <w:sz w:val="22"/>
        </w:rPr>
        <w:t> </w:t>
      </w:r>
      <w:r>
        <w:rPr>
          <w:color w:val="1A1A1A"/>
          <w:w w:val="105"/>
          <w:sz w:val="22"/>
        </w:rPr>
        <w:t>porušení smluvních povinností stranou druhou nebo v případě, že dojde </w:t>
      </w:r>
      <w:r>
        <w:rPr>
          <w:color w:val="1A1A1A"/>
          <w:w w:val="105"/>
          <w:sz w:val="24"/>
        </w:rPr>
        <w:t>k </w:t>
      </w:r>
      <w:r>
        <w:rPr>
          <w:color w:val="1A1A1A"/>
          <w:w w:val="105"/>
          <w:sz w:val="22"/>
        </w:rPr>
        <w:t>nepodstatnému porušení  smluvních  povinností  a  prodlévající  strana  nesplní  svoji  povinnost  </w:t>
      </w:r>
      <w:r>
        <w:rPr>
          <w:color w:val="1A1A1A"/>
          <w:w w:val="105"/>
          <w:sz w:val="24"/>
        </w:rPr>
        <w:t>ani </w:t>
      </w:r>
      <w:r>
        <w:rPr>
          <w:color w:val="1A1A1A"/>
          <w:w w:val="105"/>
          <w:sz w:val="22"/>
        </w:rPr>
        <w:t>v dodatečně stanovené přiměřené lhůtě. Účinky odstoupení od této smlouvy nastanou dnem, kdy bude písemné odstoupení strany odstupující druhé straně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w w:val="105"/>
          <w:sz w:val="22"/>
        </w:rPr>
        <w:t>doručeno.</w:t>
      </w:r>
    </w:p>
    <w:p>
      <w:pPr>
        <w:pStyle w:val="ListParagraph"/>
        <w:numPr>
          <w:ilvl w:val="0"/>
          <w:numId w:val="7"/>
        </w:numPr>
        <w:tabs>
          <w:tab w:pos="2545" w:val="left" w:leader="none"/>
        </w:tabs>
        <w:spacing w:line="252" w:lineRule="exact" w:before="132" w:after="0"/>
        <w:ind w:left="2544" w:right="0" w:hanging="347"/>
        <w:jc w:val="left"/>
        <w:rPr>
          <w:color w:val="1A1A1A"/>
          <w:sz w:val="22"/>
        </w:rPr>
      </w:pPr>
      <w:r>
        <w:rPr>
          <w:color w:val="1A1A1A"/>
          <w:w w:val="105"/>
          <w:sz w:val="22"/>
        </w:rPr>
        <w:t>Smluvní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strany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výslovně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sjednávají,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že</w:t>
      </w:r>
      <w:r>
        <w:rPr>
          <w:color w:val="1A1A1A"/>
          <w:spacing w:val="-16"/>
          <w:w w:val="105"/>
          <w:sz w:val="22"/>
        </w:rPr>
        <w:t> </w:t>
      </w:r>
      <w:r>
        <w:rPr>
          <w:rFonts w:ascii="Arial" w:hAnsi="Arial"/>
          <w:color w:val="1A1A1A"/>
          <w:w w:val="105"/>
          <w:sz w:val="20"/>
        </w:rPr>
        <w:t>za</w:t>
      </w:r>
      <w:r>
        <w:rPr>
          <w:rFonts w:ascii="Arial" w:hAnsi="Arial"/>
          <w:color w:val="1A1A1A"/>
          <w:spacing w:val="-22"/>
          <w:w w:val="105"/>
          <w:sz w:val="20"/>
        </w:rPr>
        <w:t> </w:t>
      </w:r>
      <w:r>
        <w:rPr>
          <w:color w:val="1A1A1A"/>
          <w:w w:val="105"/>
          <w:sz w:val="22"/>
        </w:rPr>
        <w:t>podstatné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porušení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této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smlouvy</w:t>
      </w:r>
      <w:r>
        <w:rPr>
          <w:color w:val="1A1A1A"/>
          <w:spacing w:val="3"/>
          <w:w w:val="105"/>
          <w:sz w:val="22"/>
        </w:rPr>
        <w:t> </w:t>
      </w:r>
      <w:r>
        <w:rPr>
          <w:color w:val="1A1A1A"/>
          <w:w w:val="105"/>
          <w:sz w:val="22"/>
        </w:rPr>
        <w:t>ve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smyslu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§</w:t>
      </w:r>
    </w:p>
    <w:p>
      <w:pPr>
        <w:spacing w:line="275" w:lineRule="exact" w:before="0"/>
        <w:ind w:left="2539" w:right="0" w:firstLine="0"/>
        <w:jc w:val="left"/>
        <w:rPr>
          <w:sz w:val="22"/>
        </w:rPr>
      </w:pPr>
      <w:r>
        <w:rPr>
          <w:color w:val="1A1A1A"/>
          <w:w w:val="105"/>
          <w:sz w:val="24"/>
        </w:rPr>
        <w:t>1977 </w:t>
      </w:r>
      <w:r>
        <w:rPr>
          <w:color w:val="1A1A1A"/>
          <w:w w:val="105"/>
          <w:sz w:val="22"/>
        </w:rPr>
        <w:t>a§ </w:t>
      </w:r>
      <w:r>
        <w:rPr>
          <w:color w:val="1A1A1A"/>
          <w:w w:val="105"/>
          <w:sz w:val="24"/>
        </w:rPr>
        <w:t>2106 </w:t>
      </w:r>
      <w:r>
        <w:rPr>
          <w:color w:val="1A1A1A"/>
          <w:w w:val="105"/>
          <w:sz w:val="22"/>
        </w:rPr>
        <w:t>zákona č. </w:t>
      </w:r>
      <w:r>
        <w:rPr>
          <w:color w:val="1A1A1A"/>
          <w:w w:val="105"/>
          <w:sz w:val="24"/>
        </w:rPr>
        <w:t>89/2012 </w:t>
      </w:r>
      <w:r>
        <w:rPr>
          <w:color w:val="1A1A1A"/>
          <w:w w:val="105"/>
          <w:sz w:val="22"/>
        </w:rPr>
        <w:t>Sb., občanského zákoníku, se považuje:</w:t>
      </w:r>
    </w:p>
    <w:p>
      <w:pPr>
        <w:pStyle w:val="ListParagraph"/>
        <w:numPr>
          <w:ilvl w:val="1"/>
          <w:numId w:val="7"/>
        </w:numPr>
        <w:tabs>
          <w:tab w:pos="2901" w:val="left" w:leader="none"/>
          <w:tab w:pos="2902" w:val="left" w:leader="none"/>
        </w:tabs>
        <w:spacing w:line="232" w:lineRule="auto" w:before="147" w:after="0"/>
        <w:ind w:left="2899" w:right="1366" w:hanging="344"/>
        <w:jc w:val="left"/>
        <w:rPr>
          <w:color w:val="2B2B2B"/>
          <w:sz w:val="22"/>
        </w:rPr>
      </w:pPr>
      <w:r>
        <w:rPr>
          <w:color w:val="1A1A1A"/>
          <w:w w:val="105"/>
          <w:sz w:val="22"/>
        </w:rPr>
        <w:t>dodání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zboží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w w:val="105"/>
          <w:sz w:val="22"/>
        </w:rPr>
        <w:t>s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nevyhovujícími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technickými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parametry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w w:val="105"/>
          <w:sz w:val="22"/>
        </w:rPr>
        <w:t>požadovanými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kupujícím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dle přílohy </w:t>
      </w:r>
      <w:r>
        <w:rPr>
          <w:color w:val="1A1A1A"/>
          <w:w w:val="105"/>
          <w:sz w:val="24"/>
        </w:rPr>
        <w:t>č. </w:t>
      </w:r>
      <w:r>
        <w:rPr>
          <w:color w:val="1A1A1A"/>
          <w:w w:val="105"/>
          <w:sz w:val="23"/>
        </w:rPr>
        <w:t>1 </w:t>
      </w:r>
      <w:r>
        <w:rPr>
          <w:color w:val="1A1A1A"/>
          <w:w w:val="105"/>
          <w:sz w:val="22"/>
        </w:rPr>
        <w:t>této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smlouvy</w:t>
      </w:r>
    </w:p>
    <w:p>
      <w:pPr>
        <w:pStyle w:val="ListParagraph"/>
        <w:numPr>
          <w:ilvl w:val="1"/>
          <w:numId w:val="7"/>
        </w:numPr>
        <w:tabs>
          <w:tab w:pos="2899" w:val="left" w:leader="none"/>
          <w:tab w:pos="2900" w:val="left" w:leader="none"/>
        </w:tabs>
        <w:spacing w:line="240" w:lineRule="auto" w:before="29" w:after="0"/>
        <w:ind w:left="2899" w:right="0" w:hanging="349"/>
        <w:jc w:val="left"/>
        <w:rPr>
          <w:color w:val="1A1A1A"/>
          <w:sz w:val="22"/>
        </w:rPr>
      </w:pPr>
      <w:r>
        <w:rPr>
          <w:color w:val="1A1A1A"/>
          <w:w w:val="105"/>
          <w:sz w:val="22"/>
        </w:rPr>
        <w:t>prodlení s termínem dodání delším </w:t>
      </w:r>
      <w:r>
        <w:rPr>
          <w:color w:val="2B2B2B"/>
          <w:w w:val="105"/>
          <w:sz w:val="22"/>
        </w:rPr>
        <w:t>než </w:t>
      </w:r>
      <w:r>
        <w:rPr>
          <w:color w:val="1A1A1A"/>
          <w:w w:val="105"/>
          <w:sz w:val="21"/>
        </w:rPr>
        <w:t>15</w:t>
      </w:r>
      <w:r>
        <w:rPr>
          <w:color w:val="1A1A1A"/>
          <w:spacing w:val="7"/>
          <w:w w:val="105"/>
          <w:sz w:val="21"/>
        </w:rPr>
        <w:t> </w:t>
      </w:r>
      <w:r>
        <w:rPr>
          <w:color w:val="1A1A1A"/>
          <w:w w:val="105"/>
          <w:sz w:val="22"/>
        </w:rPr>
        <w:t>dní</w:t>
      </w:r>
    </w:p>
    <w:p>
      <w:pPr>
        <w:pStyle w:val="ListParagraph"/>
        <w:numPr>
          <w:ilvl w:val="1"/>
          <w:numId w:val="7"/>
        </w:numPr>
        <w:tabs>
          <w:tab w:pos="2897" w:val="left" w:leader="none"/>
          <w:tab w:pos="2898" w:val="left" w:leader="none"/>
        </w:tabs>
        <w:spacing w:line="240" w:lineRule="auto" w:before="12" w:after="0"/>
        <w:ind w:left="2897" w:right="0" w:hanging="347"/>
        <w:jc w:val="left"/>
        <w:rPr>
          <w:color w:val="2B2B2B"/>
          <w:sz w:val="22"/>
        </w:rPr>
      </w:pPr>
      <w:r>
        <w:rPr>
          <w:color w:val="1A1A1A"/>
          <w:w w:val="105"/>
          <w:sz w:val="22"/>
        </w:rPr>
        <w:t>nepravdivost prohlášení prodávajícího dle čl. </w:t>
      </w:r>
      <w:r>
        <w:rPr>
          <w:color w:val="1A1A1A"/>
          <w:w w:val="105"/>
          <w:sz w:val="23"/>
        </w:rPr>
        <w:t>1. </w:t>
      </w:r>
      <w:r>
        <w:rPr>
          <w:color w:val="1A1A1A"/>
          <w:w w:val="105"/>
          <w:sz w:val="22"/>
        </w:rPr>
        <w:t>odst. </w:t>
      </w:r>
      <w:r>
        <w:rPr>
          <w:color w:val="1A1A1A"/>
          <w:w w:val="105"/>
          <w:sz w:val="23"/>
        </w:rPr>
        <w:t>2 </w:t>
      </w:r>
      <w:r>
        <w:rPr>
          <w:color w:val="1A1A1A"/>
          <w:w w:val="105"/>
          <w:sz w:val="22"/>
        </w:rPr>
        <w:t>této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smlouvy</w:t>
      </w:r>
    </w:p>
    <w:p>
      <w:pPr>
        <w:pStyle w:val="ListParagraph"/>
        <w:numPr>
          <w:ilvl w:val="1"/>
          <w:numId w:val="7"/>
        </w:numPr>
        <w:tabs>
          <w:tab w:pos="2896" w:val="left" w:leader="none"/>
          <w:tab w:pos="2897" w:val="left" w:leader="none"/>
        </w:tabs>
        <w:spacing w:line="252" w:lineRule="exact" w:before="23" w:after="0"/>
        <w:ind w:left="2896" w:right="0" w:hanging="346"/>
        <w:jc w:val="left"/>
        <w:rPr>
          <w:color w:val="1A1A1A"/>
          <w:sz w:val="22"/>
        </w:rPr>
      </w:pPr>
      <w:r>
        <w:rPr>
          <w:color w:val="1A1A1A"/>
          <w:w w:val="105"/>
          <w:sz w:val="22"/>
        </w:rPr>
        <w:t>opakované prodlení s odstraněním vad dle čl. 4. této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smlouvy</w:t>
      </w:r>
    </w:p>
    <w:p>
      <w:pPr>
        <w:pStyle w:val="ListParagraph"/>
        <w:numPr>
          <w:ilvl w:val="1"/>
          <w:numId w:val="7"/>
        </w:numPr>
        <w:tabs>
          <w:tab w:pos="2896" w:val="left" w:leader="none"/>
        </w:tabs>
        <w:spacing w:line="242" w:lineRule="auto" w:before="0" w:after="0"/>
        <w:ind w:left="2896" w:right="1363" w:hanging="346"/>
        <w:jc w:val="both"/>
        <w:rPr>
          <w:color w:val="2B2B2B"/>
          <w:sz w:val="22"/>
        </w:rPr>
      </w:pPr>
      <w:r>
        <w:rPr/>
        <w:pict>
          <v:line style="position:absolute;mso-position-horizontal-relative:page;mso-position-vertical-relative:paragraph;z-index:1168" from="5.769291pt,50.594444pt" to="5.769291pt,1.578583pt" stroked="true" strokeweight=".961549pt" strokecolor="#000000">
            <v:stroke dashstyle="solid"/>
            <w10:wrap type="none"/>
          </v:line>
        </w:pict>
      </w:r>
      <w:r>
        <w:rPr>
          <w:color w:val="1A1A1A"/>
          <w:w w:val="105"/>
          <w:sz w:val="22"/>
        </w:rPr>
        <w:t>prodlení s provedením výměny předmětu koupě delším než </w:t>
      </w:r>
      <w:r>
        <w:rPr>
          <w:color w:val="1A1A1A"/>
          <w:spacing w:val="-3"/>
          <w:w w:val="105"/>
          <w:sz w:val="25"/>
        </w:rPr>
        <w:t>1O </w:t>
      </w:r>
      <w:r>
        <w:rPr>
          <w:color w:val="1A1A1A"/>
          <w:w w:val="105"/>
          <w:sz w:val="22"/>
        </w:rPr>
        <w:t>dní ode dne oznámení neodstranitelné vady anebo vady, která se vyskytla na předmětu koupě opakovaně</w:t>
      </w:r>
    </w:p>
    <w:p>
      <w:pPr>
        <w:pStyle w:val="ListParagraph"/>
        <w:numPr>
          <w:ilvl w:val="1"/>
          <w:numId w:val="7"/>
        </w:numPr>
        <w:tabs>
          <w:tab w:pos="2899" w:val="left" w:leader="none"/>
          <w:tab w:pos="2900" w:val="left" w:leader="none"/>
        </w:tabs>
        <w:spacing w:line="240" w:lineRule="auto" w:before="33" w:after="0"/>
        <w:ind w:left="2899" w:right="0" w:hanging="354"/>
        <w:jc w:val="left"/>
        <w:rPr>
          <w:color w:val="2B2B2B"/>
          <w:sz w:val="22"/>
        </w:rPr>
      </w:pPr>
      <w:r>
        <w:rPr>
          <w:color w:val="1A1A1A"/>
          <w:w w:val="105"/>
          <w:sz w:val="22"/>
        </w:rPr>
        <w:t>zahájení insolvenčru'bo řízení u prodávajícího nebo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kupujícího</w:t>
      </w:r>
    </w:p>
    <w:p>
      <w:pPr>
        <w:pStyle w:val="ListParagraph"/>
        <w:numPr>
          <w:ilvl w:val="1"/>
          <w:numId w:val="7"/>
        </w:numPr>
        <w:tabs>
          <w:tab w:pos="2895" w:val="left" w:leader="none"/>
        </w:tabs>
        <w:spacing w:line="249" w:lineRule="auto" w:before="26" w:after="0"/>
        <w:ind w:left="2899" w:right="1357" w:hanging="349"/>
        <w:jc w:val="both"/>
        <w:rPr>
          <w:color w:val="2B2B2B"/>
          <w:sz w:val="22"/>
        </w:rPr>
      </w:pPr>
      <w:r>
        <w:rPr>
          <w:color w:val="1A1A1A"/>
          <w:w w:val="105"/>
          <w:sz w:val="22"/>
        </w:rPr>
        <w:t>zjištění závažné vady v nabídce prodávajícího učiněné v rámci zadávacího řízení k zadání veřejné zakázky, pokud by taková vada měla za následek vyřazení prodávajícího ze zadávacího řízení veřejné</w:t>
      </w:r>
      <w:r>
        <w:rPr>
          <w:color w:val="1A1A1A"/>
          <w:spacing w:val="13"/>
          <w:w w:val="105"/>
          <w:sz w:val="22"/>
        </w:rPr>
        <w:t> </w:t>
      </w:r>
      <w:r>
        <w:rPr>
          <w:color w:val="1A1A1A"/>
          <w:w w:val="105"/>
          <w:sz w:val="22"/>
        </w:rPr>
        <w:t>zakázky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2541" w:val="left" w:leader="none"/>
        </w:tabs>
        <w:spacing w:line="244" w:lineRule="auto" w:before="0" w:after="0"/>
        <w:ind w:left="2532" w:right="1365" w:hanging="330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Odstoupením od </w:t>
      </w:r>
      <w:r>
        <w:rPr>
          <w:color w:val="2B2B2B"/>
          <w:w w:val="105"/>
          <w:sz w:val="22"/>
        </w:rPr>
        <w:t>smlouvy </w:t>
      </w:r>
      <w:r>
        <w:rPr>
          <w:color w:val="1A1A1A"/>
          <w:w w:val="105"/>
          <w:sz w:val="22"/>
        </w:rPr>
        <w:t>zanikají </w:t>
      </w:r>
      <w:r>
        <w:rPr>
          <w:color w:val="2B2B2B"/>
          <w:w w:val="105"/>
          <w:sz w:val="22"/>
        </w:rPr>
        <w:t>všechna práva </w:t>
      </w:r>
      <w:r>
        <w:rPr>
          <w:rFonts w:ascii="Arial" w:hAnsi="Arial"/>
          <w:color w:val="2B2B2B"/>
          <w:w w:val="105"/>
          <w:sz w:val="20"/>
        </w:rPr>
        <w:t>a </w:t>
      </w:r>
      <w:r>
        <w:rPr>
          <w:color w:val="2B2B2B"/>
          <w:w w:val="105"/>
          <w:sz w:val="22"/>
        </w:rPr>
        <w:t>povinnosti </w:t>
      </w:r>
      <w:r>
        <w:rPr>
          <w:color w:val="1A1A1A"/>
          <w:w w:val="105"/>
          <w:sz w:val="22"/>
        </w:rPr>
        <w:t>stran ze </w:t>
      </w:r>
      <w:r>
        <w:rPr>
          <w:color w:val="2B2B2B"/>
          <w:w w:val="105"/>
          <w:sz w:val="22"/>
        </w:rPr>
        <w:t>smlouvy.</w:t>
      </w:r>
      <w:r>
        <w:rPr>
          <w:color w:val="1A1A1A"/>
          <w:w w:val="105"/>
          <w:sz w:val="22"/>
        </w:rPr>
        <w:t> Odstoupení </w:t>
      </w:r>
      <w:r>
        <w:rPr>
          <w:color w:val="2B2B2B"/>
          <w:w w:val="105"/>
          <w:sz w:val="22"/>
        </w:rPr>
        <w:t>od </w:t>
      </w:r>
      <w:r>
        <w:rPr>
          <w:color w:val="1A1A1A"/>
          <w:w w:val="105"/>
          <w:sz w:val="22"/>
        </w:rPr>
        <w:t>smlouvy </w:t>
      </w:r>
      <w:r>
        <w:rPr>
          <w:color w:val="2B2B2B"/>
          <w:w w:val="105"/>
          <w:sz w:val="22"/>
        </w:rPr>
        <w:t>se </w:t>
      </w:r>
      <w:r>
        <w:rPr>
          <w:color w:val="1A1A1A"/>
          <w:w w:val="105"/>
          <w:sz w:val="22"/>
        </w:rPr>
        <w:t>však </w:t>
      </w:r>
      <w:r>
        <w:rPr>
          <w:color w:val="2B2B2B"/>
          <w:w w:val="105"/>
          <w:sz w:val="22"/>
        </w:rPr>
        <w:t>nedotýká </w:t>
      </w:r>
      <w:r>
        <w:rPr>
          <w:color w:val="1A1A1A"/>
          <w:w w:val="105"/>
          <w:sz w:val="22"/>
        </w:rPr>
        <w:t>nároku </w:t>
      </w:r>
      <w:r>
        <w:rPr>
          <w:color w:val="2B2B2B"/>
          <w:w w:val="105"/>
          <w:sz w:val="22"/>
        </w:rPr>
        <w:t>na náhradu škody </w:t>
      </w:r>
      <w:r>
        <w:rPr>
          <w:color w:val="1A1A1A"/>
          <w:w w:val="105"/>
          <w:sz w:val="22"/>
        </w:rPr>
        <w:t>vzniklé porušením smlouvy.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6"/>
        <w:spacing w:line="470" w:lineRule="auto"/>
        <w:ind w:left="5126" w:right="4251" w:firstLine="634"/>
        <w:jc w:val="left"/>
      </w:pPr>
      <w:r>
        <w:rPr>
          <w:color w:val="1A1A1A"/>
          <w:w w:val="105"/>
        </w:rPr>
        <w:t>Článek 7 Závěrečná ustanovení</w:t>
      </w:r>
    </w:p>
    <w:p>
      <w:pPr>
        <w:pStyle w:val="ListParagraph"/>
        <w:numPr>
          <w:ilvl w:val="0"/>
          <w:numId w:val="8"/>
        </w:numPr>
        <w:tabs>
          <w:tab w:pos="2546" w:val="left" w:leader="none"/>
        </w:tabs>
        <w:spacing w:line="254" w:lineRule="auto" w:before="37" w:after="0"/>
        <w:ind w:left="2535" w:right="1368" w:hanging="331"/>
        <w:jc w:val="both"/>
        <w:rPr>
          <w:rFonts w:ascii="Arial" w:hAnsi="Arial"/>
          <w:color w:val="1A1A1A"/>
          <w:sz w:val="20"/>
        </w:rPr>
      </w:pPr>
      <w:r>
        <w:rPr/>
        <w:pict>
          <v:line style="position:absolute;mso-position-horizontal-relative:page;mso-position-vertical-relative:paragraph;z-index:1192" from="9.855872pt,107.50848pt" to="9.855872pt,2.749091pt" stroked="true" strokeweight=".480774pt" strokecolor="#000000">
            <v:stroke dashstyle="solid"/>
            <w10:wrap type="none"/>
          </v:line>
        </w:pict>
      </w:r>
      <w:r>
        <w:rPr>
          <w:color w:val="1A1A1A"/>
          <w:w w:val="105"/>
          <w:sz w:val="22"/>
        </w:rPr>
        <w:t>Změny této smlouvy jsou</w:t>
      </w:r>
      <w:r>
        <w:rPr>
          <w:color w:val="1A1A1A"/>
          <w:spacing w:val="-43"/>
          <w:w w:val="105"/>
          <w:sz w:val="22"/>
        </w:rPr>
        <w:t> </w:t>
      </w:r>
      <w:r>
        <w:rPr>
          <w:color w:val="1A1A1A"/>
          <w:w w:val="105"/>
          <w:sz w:val="22"/>
        </w:rPr>
        <w:t>možné pouze písemnými číslovanými dodatky podepsanými oprávněnými zástupci obou</w:t>
      </w:r>
      <w:r>
        <w:rPr>
          <w:color w:val="1A1A1A"/>
          <w:spacing w:val="-36"/>
          <w:w w:val="105"/>
          <w:sz w:val="22"/>
        </w:rPr>
        <w:t> </w:t>
      </w:r>
      <w:r>
        <w:rPr>
          <w:color w:val="1A1A1A"/>
          <w:w w:val="105"/>
          <w:sz w:val="22"/>
        </w:rPr>
        <w:t>stran.</w:t>
      </w:r>
    </w:p>
    <w:p>
      <w:pPr>
        <w:pStyle w:val="ListParagraph"/>
        <w:numPr>
          <w:ilvl w:val="0"/>
          <w:numId w:val="8"/>
        </w:numPr>
        <w:tabs>
          <w:tab w:pos="2550" w:val="left" w:leader="none"/>
        </w:tabs>
        <w:spacing w:line="247" w:lineRule="auto" w:before="108" w:after="0"/>
        <w:ind w:left="2546" w:right="1355" w:hanging="349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Prodávající nemůže převést smlouvu na </w:t>
      </w:r>
      <w:r>
        <w:rPr>
          <w:color w:val="1A1A1A"/>
          <w:w w:val="105"/>
          <w:sz w:val="24"/>
        </w:rPr>
        <w:t>jiný </w:t>
      </w:r>
      <w:r>
        <w:rPr>
          <w:color w:val="1A1A1A"/>
          <w:w w:val="105"/>
          <w:sz w:val="22"/>
        </w:rPr>
        <w:t>subjekt bez předchozího písemného souhlasu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kupujícího.</w:t>
      </w:r>
    </w:p>
    <w:p>
      <w:pPr>
        <w:pStyle w:val="ListParagraph"/>
        <w:numPr>
          <w:ilvl w:val="0"/>
          <w:numId w:val="8"/>
        </w:numPr>
        <w:tabs>
          <w:tab w:pos="2551" w:val="left" w:leader="none"/>
        </w:tabs>
        <w:spacing w:line="252" w:lineRule="auto" w:before="118" w:after="0"/>
        <w:ind w:left="2548" w:right="1337" w:hanging="351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Obě strany souhlasně prohlašují, že si smlouvu přečetly a </w:t>
      </w:r>
      <w:r>
        <w:rPr>
          <w:i/>
          <w:color w:val="1A1A1A"/>
          <w:w w:val="105"/>
          <w:sz w:val="23"/>
        </w:rPr>
        <w:t>že </w:t>
      </w:r>
      <w:r>
        <w:rPr>
          <w:color w:val="1A1A1A"/>
          <w:w w:val="105"/>
          <w:sz w:val="22"/>
        </w:rPr>
        <w:t>tato byla ujednána na základě svobodné vůle, nebyla uzavřena </w:t>
      </w:r>
      <w:r>
        <w:rPr>
          <w:color w:val="2B2B2B"/>
          <w:w w:val="105"/>
          <w:sz w:val="22"/>
        </w:rPr>
        <w:t>v tísni ani za jednostranně </w:t>
      </w:r>
      <w:r>
        <w:rPr>
          <w:color w:val="1A1A1A"/>
          <w:w w:val="105"/>
          <w:sz w:val="22"/>
        </w:rPr>
        <w:t>nevýhodných podmínek. Na důkaz toho připojují podpisy </w:t>
      </w:r>
      <w:r>
        <w:rPr>
          <w:color w:val="2B2B2B"/>
          <w:w w:val="105"/>
          <w:sz w:val="22"/>
        </w:rPr>
        <w:t>svých oprávněných</w:t>
      </w:r>
      <w:r>
        <w:rPr>
          <w:color w:val="2B2B2B"/>
          <w:spacing w:val="11"/>
          <w:w w:val="105"/>
          <w:sz w:val="22"/>
        </w:rPr>
        <w:t> </w:t>
      </w:r>
      <w:r>
        <w:rPr>
          <w:color w:val="2B2B2B"/>
          <w:w w:val="105"/>
          <w:sz w:val="22"/>
        </w:rPr>
        <w:t>zástupců.</w:t>
      </w:r>
    </w:p>
    <w:p>
      <w:pPr>
        <w:pStyle w:val="ListParagraph"/>
        <w:numPr>
          <w:ilvl w:val="0"/>
          <w:numId w:val="8"/>
        </w:numPr>
        <w:tabs>
          <w:tab w:pos="2540" w:val="left" w:leader="none"/>
        </w:tabs>
        <w:spacing w:line="240" w:lineRule="auto" w:before="117" w:after="0"/>
        <w:ind w:left="2539" w:right="0" w:hanging="341"/>
        <w:jc w:val="left"/>
        <w:rPr>
          <w:color w:val="1A1A1A"/>
          <w:sz w:val="22"/>
        </w:rPr>
      </w:pPr>
      <w:r>
        <w:rPr>
          <w:color w:val="2B2B2B"/>
          <w:w w:val="105"/>
          <w:sz w:val="22"/>
        </w:rPr>
        <w:t>Kupní smlouva </w:t>
      </w:r>
      <w:r>
        <w:rPr>
          <w:color w:val="1A1A1A"/>
          <w:w w:val="105"/>
          <w:sz w:val="22"/>
        </w:rPr>
        <w:t>je vyhotovena ve 2 výtiscích, z nichž každá smluvní strana obdrží</w:t>
      </w:r>
      <w:r>
        <w:rPr>
          <w:color w:val="1A1A1A"/>
          <w:spacing w:val="-11"/>
          <w:w w:val="105"/>
          <w:sz w:val="22"/>
        </w:rPr>
        <w:t> </w:t>
      </w:r>
      <w:r>
        <w:rPr>
          <w:rFonts w:ascii="Arial" w:hAnsi="Arial"/>
          <w:color w:val="1A1A1A"/>
          <w:w w:val="105"/>
          <w:sz w:val="22"/>
        </w:rPr>
        <w:t>po</w:t>
      </w:r>
    </w:p>
    <w:p>
      <w:pPr>
        <w:pStyle w:val="BodyText"/>
        <w:spacing w:before="7"/>
        <w:ind w:left="2536"/>
      </w:pPr>
      <w:r>
        <w:rPr>
          <w:color w:val="2B2B2B"/>
          <w:w w:val="105"/>
        </w:rPr>
        <w:t>jednom výtisku.</w:t>
      </w:r>
    </w:p>
    <w:p>
      <w:pPr>
        <w:spacing w:after="0"/>
        <w:sectPr>
          <w:pgSz w:w="11910" w:h="16840"/>
          <w:pgMar w:header="0" w:footer="988" w:top="1580" w:bottom="1180" w:left="0" w:right="0"/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2369" w:val="left" w:leader="none"/>
        </w:tabs>
        <w:spacing w:line="240" w:lineRule="auto" w:before="91" w:after="0"/>
        <w:ind w:left="2368" w:right="0" w:hanging="345"/>
        <w:jc w:val="left"/>
        <w:rPr>
          <w:color w:val="212121"/>
          <w:sz w:val="22"/>
        </w:rPr>
      </w:pPr>
      <w:r>
        <w:rPr>
          <w:color w:val="212121"/>
          <w:w w:val="105"/>
          <w:sz w:val="22"/>
        </w:rPr>
        <w:t>Tato smlouva se řídí právním řádem České</w:t>
      </w:r>
      <w:r>
        <w:rPr>
          <w:color w:val="212121"/>
          <w:spacing w:val="-20"/>
          <w:w w:val="105"/>
          <w:sz w:val="22"/>
        </w:rPr>
        <w:t> </w:t>
      </w:r>
      <w:r>
        <w:rPr>
          <w:color w:val="212121"/>
          <w:w w:val="105"/>
          <w:sz w:val="22"/>
        </w:rPr>
        <w:t>republiky.</w:t>
      </w:r>
    </w:p>
    <w:p>
      <w:pPr>
        <w:pStyle w:val="ListParagraph"/>
        <w:numPr>
          <w:ilvl w:val="0"/>
          <w:numId w:val="8"/>
        </w:numPr>
        <w:tabs>
          <w:tab w:pos="2369" w:val="left" w:leader="none"/>
        </w:tabs>
        <w:spacing w:line="254" w:lineRule="auto" w:before="126" w:after="0"/>
        <w:ind w:left="2374" w:right="1515" w:hanging="345"/>
        <w:jc w:val="left"/>
        <w:rPr>
          <w:color w:val="212121"/>
          <w:sz w:val="22"/>
        </w:rPr>
      </w:pPr>
      <w:r>
        <w:rPr/>
        <w:pict>
          <v:line style="position:absolute;mso-position-horizontal-relative:page;mso-position-vertical-relative:paragraph;z-index:1288" from=".721161pt,55.734271pt" to=".721161pt,15.368268pt" stroked="true" strokeweight=".721161pt" strokecolor="#000000">
            <v:stroke dashstyle="solid"/>
            <w10:wrap type="none"/>
          </v:line>
        </w:pict>
      </w:r>
      <w:r>
        <w:rPr>
          <w:color w:val="212121"/>
          <w:w w:val="105"/>
          <w:sz w:val="22"/>
        </w:rPr>
        <w:t>Nedílnou součástí smlouvy je nabídka technického řešení a položkový rozpočet uvedená v příloze číslo 1 k této</w:t>
      </w:r>
      <w:r>
        <w:rPr>
          <w:color w:val="212121"/>
          <w:spacing w:val="-28"/>
          <w:w w:val="105"/>
          <w:sz w:val="22"/>
        </w:rPr>
        <w:t> </w:t>
      </w:r>
      <w:r>
        <w:rPr>
          <w:color w:val="212121"/>
          <w:w w:val="105"/>
          <w:sz w:val="22"/>
        </w:rPr>
        <w:t>smlouvě.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3119" w:val="left" w:leader="none"/>
          <w:tab w:pos="3684" w:val="left" w:leader="none"/>
        </w:tabs>
        <w:spacing w:before="204"/>
        <w:ind w:left="1675" w:right="0" w:firstLine="0"/>
        <w:jc w:val="left"/>
        <w:rPr>
          <w:rFonts w:ascii="Arial"/>
          <w:i/>
          <w:sz w:val="45"/>
        </w:rPr>
      </w:pPr>
      <w:r>
        <w:rPr/>
        <w:drawing>
          <wp:anchor distT="0" distB="0" distL="0" distR="0" allowOverlap="1" layoutInCell="1" locked="0" behindDoc="1" simplePos="0" relativeHeight="268419191">
            <wp:simplePos x="0" y="0"/>
            <wp:positionH relativeFrom="page">
              <wp:posOffset>1721844</wp:posOffset>
            </wp:positionH>
            <wp:positionV relativeFrom="paragraph">
              <wp:posOffset>464701</wp:posOffset>
            </wp:positionV>
            <wp:extent cx="317503" cy="42415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3" cy="4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4518315</wp:posOffset>
            </wp:positionH>
            <wp:positionV relativeFrom="paragraph">
              <wp:posOffset>306025</wp:posOffset>
            </wp:positionV>
            <wp:extent cx="1886702" cy="1400627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702" cy="140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z w:val="22"/>
        </w:rPr>
        <w:t>V</w:t>
      </w:r>
      <w:r>
        <w:rPr>
          <w:color w:val="212121"/>
          <w:spacing w:val="7"/>
          <w:sz w:val="22"/>
        </w:rPr>
        <w:t> </w:t>
      </w:r>
      <w:r>
        <w:rPr>
          <w:color w:val="212121"/>
          <w:sz w:val="22"/>
        </w:rPr>
        <w:t>Praze</w:t>
      </w:r>
      <w:r>
        <w:rPr>
          <w:color w:val="212121"/>
          <w:spacing w:val="11"/>
          <w:sz w:val="22"/>
        </w:rPr>
        <w:t> </w:t>
      </w:r>
      <w:r>
        <w:rPr>
          <w:color w:val="212121"/>
          <w:sz w:val="22"/>
        </w:rPr>
        <w:t>dne:</w:t>
        <w:tab/>
      </w:r>
      <w:r>
        <w:rPr>
          <w:i/>
          <w:color w:val="212121"/>
          <w:sz w:val="25"/>
        </w:rPr>
        <w:t>jQ.</w:t>
        <w:tab/>
      </w:r>
      <w:r>
        <w:rPr>
          <w:rFonts w:ascii="Arial"/>
          <w:i/>
          <w:color w:val="212121"/>
          <w:w w:val="90"/>
          <w:sz w:val="31"/>
        </w:rPr>
        <w:t>tJ()</w:t>
      </w:r>
      <w:r>
        <w:rPr>
          <w:rFonts w:ascii="Arial"/>
          <w:i/>
          <w:color w:val="212121"/>
          <w:spacing w:val="-53"/>
          <w:w w:val="90"/>
          <w:sz w:val="31"/>
        </w:rPr>
        <w:t> </w:t>
      </w:r>
      <w:r>
        <w:rPr>
          <w:rFonts w:ascii="Arial"/>
          <w:i/>
          <w:color w:val="212121"/>
          <w:w w:val="90"/>
          <w:sz w:val="45"/>
        </w:rPr>
        <w:t>IJ</w:t>
      </w:r>
    </w:p>
    <w:p>
      <w:pPr>
        <w:spacing w:line="757" w:lineRule="exact" w:before="39"/>
        <w:ind w:left="1608" w:right="0" w:firstLine="0"/>
        <w:jc w:val="left"/>
        <w:rPr>
          <w:rFonts w:ascii="Arial" w:hAnsi="Arial"/>
          <w:i/>
          <w:sz w:val="80"/>
        </w:rPr>
      </w:pPr>
      <w:r>
        <w:rPr>
          <w:rFonts w:ascii="Arial" w:hAnsi="Arial"/>
          <w:color w:val="212121"/>
          <w:w w:val="60"/>
          <w:sz w:val="80"/>
        </w:rPr>
        <w:t>·</w:t>
      </w:r>
      <w:r>
        <w:rPr>
          <w:rFonts w:ascii="Arial" w:hAnsi="Arial"/>
          <w:color w:val="484646"/>
          <w:w w:val="60"/>
          <w:sz w:val="80"/>
        </w:rPr>
        <w:t>········</w:t>
      </w:r>
      <w:r>
        <w:rPr>
          <w:rFonts w:ascii="Arial" w:hAnsi="Arial"/>
          <w:color w:val="7B7B7B"/>
          <w:w w:val="60"/>
          <w:sz w:val="80"/>
        </w:rPr>
        <w:t>·</w:t>
      </w:r>
      <w:r>
        <w:rPr>
          <w:rFonts w:ascii="Arial" w:hAnsi="Arial"/>
          <w:color w:val="484646"/>
          <w:w w:val="60"/>
          <w:sz w:val="80"/>
        </w:rPr>
        <w:t>··</w:t>
      </w:r>
      <w:r>
        <w:rPr>
          <w:rFonts w:ascii="Arial" w:hAnsi="Arial"/>
          <w:i/>
          <w:color w:val="383836"/>
          <w:w w:val="60"/>
          <w:sz w:val="80"/>
        </w:rPr>
        <w:t>...</w:t>
      </w:r>
      <w:r>
        <w:rPr>
          <w:rFonts w:ascii="Arial" w:hAnsi="Arial"/>
          <w:i/>
          <w:color w:val="484646"/>
          <w:w w:val="60"/>
          <w:sz w:val="80"/>
        </w:rPr>
        <w:t>:ft:.&lt;.ťÍ..</w:t>
      </w:r>
    </w:p>
    <w:p>
      <w:pPr>
        <w:spacing w:line="266" w:lineRule="exact" w:before="0"/>
        <w:ind w:left="1658" w:right="0" w:firstLine="0"/>
        <w:jc w:val="left"/>
        <w:rPr>
          <w:sz w:val="22"/>
        </w:rPr>
      </w:pPr>
      <w:r>
        <w:rPr>
          <w:b/>
          <w:color w:val="212121"/>
          <w:spacing w:val="-1"/>
          <w:w w:val="101"/>
          <w:sz w:val="24"/>
        </w:rPr>
        <w:t>Ing</w:t>
      </w:r>
      <w:r>
        <w:rPr>
          <w:b/>
          <w:color w:val="212121"/>
          <w:w w:val="101"/>
          <w:sz w:val="24"/>
        </w:rPr>
        <w:t>.</w:t>
      </w:r>
      <w:r>
        <w:rPr>
          <w:b/>
          <w:color w:val="212121"/>
          <w:spacing w:val="-7"/>
          <w:sz w:val="24"/>
        </w:rPr>
        <w:t> </w:t>
      </w:r>
      <w:r>
        <w:rPr>
          <w:b/>
          <w:color w:val="212121"/>
          <w:spacing w:val="-1"/>
          <w:w w:val="101"/>
          <w:sz w:val="23"/>
        </w:rPr>
        <w:t>Pav</w:t>
      </w:r>
      <w:r>
        <w:rPr>
          <w:b/>
          <w:color w:val="212121"/>
          <w:w w:val="101"/>
          <w:sz w:val="23"/>
        </w:rPr>
        <w:t>e</w:t>
      </w:r>
      <w:r>
        <w:rPr>
          <w:b/>
          <w:color w:val="212121"/>
          <w:sz w:val="23"/>
        </w:rPr>
        <w:t> </w:t>
      </w:r>
      <w:r>
        <w:rPr>
          <w:b/>
          <w:color w:val="212121"/>
          <w:spacing w:val="-5"/>
          <w:sz w:val="23"/>
        </w:rPr>
        <w:t> </w:t>
      </w:r>
      <w:r>
        <w:rPr>
          <w:rFonts w:ascii="Arial" w:hAnsi="Arial"/>
          <w:b/>
          <w:color w:val="212121"/>
          <w:spacing w:val="-25"/>
          <w:w w:val="59"/>
          <w:position w:val="13"/>
          <w:sz w:val="8"/>
        </w:rPr>
        <w:t>w</w:t>
      </w:r>
      <w:r>
        <w:rPr>
          <w:b/>
          <w:color w:val="212121"/>
          <w:spacing w:val="-1"/>
          <w:w w:val="99"/>
          <w:sz w:val="23"/>
        </w:rPr>
        <w:t>Strůbl</w:t>
      </w:r>
      <w:r>
        <w:rPr>
          <w:b/>
          <w:color w:val="212121"/>
          <w:w w:val="99"/>
          <w:sz w:val="23"/>
        </w:rPr>
        <w:t>,</w:t>
      </w:r>
      <w:r>
        <w:rPr>
          <w:b/>
          <w:color w:val="212121"/>
          <w:spacing w:val="12"/>
          <w:sz w:val="23"/>
        </w:rPr>
        <w:t> </w:t>
      </w:r>
      <w:r>
        <w:rPr>
          <w:color w:val="383836"/>
          <w:w w:val="102"/>
          <w:sz w:val="22"/>
        </w:rPr>
        <w:t>ředit</w:t>
      </w:r>
      <w:r>
        <w:rPr>
          <w:color w:val="383836"/>
          <w:spacing w:val="-41"/>
          <w:w w:val="102"/>
          <w:sz w:val="22"/>
        </w:rPr>
        <w:t>e</w:t>
      </w:r>
      <w:r>
        <w:rPr>
          <w:rFonts w:ascii="Arial" w:hAnsi="Arial"/>
          <w:color w:val="9AA1A5"/>
          <w:w w:val="59"/>
          <w:position w:val="13"/>
          <w:sz w:val="8"/>
        </w:rPr>
        <w:t>'</w:t>
      </w:r>
      <w:r>
        <w:rPr>
          <w:rFonts w:ascii="Arial" w:hAnsi="Arial"/>
          <w:color w:val="9AA1A5"/>
          <w:spacing w:val="-4"/>
          <w:position w:val="13"/>
          <w:sz w:val="8"/>
        </w:rPr>
        <w:t> </w:t>
      </w:r>
      <w:r>
        <w:rPr>
          <w:color w:val="383836"/>
          <w:w w:val="102"/>
          <w:sz w:val="22"/>
        </w:rPr>
        <w:t>l</w:t>
      </w:r>
    </w:p>
    <w:p>
      <w:pPr>
        <w:spacing w:after="0" w:line="266" w:lineRule="exact"/>
        <w:jc w:val="left"/>
        <w:rPr>
          <w:sz w:val="22"/>
        </w:rPr>
        <w:sectPr>
          <w:pgSz w:w="11910" w:h="16840"/>
          <w:pgMar w:header="0" w:footer="988" w:top="1580" w:bottom="1220" w:left="0" w:right="0"/>
        </w:sectPr>
      </w:pPr>
    </w:p>
    <w:p>
      <w:pPr>
        <w:tabs>
          <w:tab w:pos="2716" w:val="left" w:leader="none"/>
        </w:tabs>
        <w:spacing w:before="40"/>
        <w:ind w:left="2350" w:right="0" w:firstLine="0"/>
        <w:jc w:val="left"/>
        <w:rPr>
          <w:sz w:val="22"/>
        </w:rPr>
      </w:pPr>
      <w:r>
        <w:rPr>
          <w:rFonts w:ascii="Arial" w:hAnsi="Arial"/>
          <w:color w:val="383836"/>
          <w:w w:val="110"/>
          <w:sz w:val="23"/>
        </w:rPr>
        <w:t>k</w:t>
        <w:tab/>
      </w:r>
      <w:r>
        <w:rPr>
          <w:color w:val="212121"/>
          <w:spacing w:val="-3"/>
          <w:w w:val="110"/>
          <w:sz w:val="22"/>
        </w:rPr>
        <w:t>u</w:t>
      </w:r>
      <w:r>
        <w:rPr>
          <w:color w:val="484646"/>
          <w:spacing w:val="-3"/>
          <w:w w:val="110"/>
          <w:sz w:val="22"/>
        </w:rPr>
        <w:t>j</w:t>
      </w:r>
      <w:r>
        <w:rPr>
          <w:color w:val="212121"/>
          <w:spacing w:val="-3"/>
          <w:w w:val="110"/>
          <w:sz w:val="22"/>
        </w:rPr>
        <w:t>ící</w:t>
      </w:r>
    </w:p>
    <w:p>
      <w:pPr>
        <w:spacing w:before="138"/>
        <w:ind w:left="2062" w:right="20" w:firstLine="0"/>
        <w:jc w:val="center"/>
        <w:rPr>
          <w:b/>
          <w:sz w:val="16"/>
        </w:rPr>
      </w:pPr>
      <w:r>
        <w:rPr>
          <w:b/>
          <w:color w:val="383836"/>
          <w:w w:val="105"/>
          <w:sz w:val="16"/>
        </w:rPr>
        <w:t>ÚSlav </w:t>
      </w:r>
      <w:r>
        <w:rPr>
          <w:b/>
          <w:color w:val="212121"/>
          <w:w w:val="105"/>
          <w:sz w:val="16"/>
        </w:rPr>
        <w:t>pro odborné zjiilt'ováal</w:t>
      </w:r>
    </w:p>
    <w:p>
      <w:pPr>
        <w:pStyle w:val="ListParagraph"/>
        <w:numPr>
          <w:ilvl w:val="0"/>
          <w:numId w:val="9"/>
        </w:numPr>
        <w:tabs>
          <w:tab w:pos="2438" w:val="left" w:leader="none"/>
        </w:tabs>
        <w:spacing w:line="240" w:lineRule="auto" w:before="17" w:after="0"/>
        <w:ind w:left="2437" w:right="0" w:hanging="99"/>
        <w:jc w:val="left"/>
        <w:rPr>
          <w:rFonts w:ascii="Arial" w:hAnsi="Arial"/>
          <w:sz w:val="15"/>
        </w:rPr>
      </w:pPr>
      <w:r>
        <w:rPr>
          <w:rFonts w:ascii="Arial" w:hAnsi="Arial"/>
          <w:color w:val="383836"/>
          <w:spacing w:val="5"/>
          <w:w w:val="105"/>
          <w:sz w:val="15"/>
        </w:rPr>
        <w:t>p</w:t>
      </w:r>
      <w:r>
        <w:rPr>
          <w:rFonts w:ascii="Arial" w:hAnsi="Arial"/>
          <w:color w:val="595959"/>
          <w:spacing w:val="5"/>
          <w:w w:val="105"/>
          <w:sz w:val="15"/>
        </w:rPr>
        <w:t>i </w:t>
      </w:r>
      <w:r>
        <w:rPr>
          <w:rFonts w:ascii="Arial" w:hAnsi="Arial"/>
          <w:color w:val="595959"/>
          <w:w w:val="105"/>
          <w:sz w:val="15"/>
        </w:rPr>
        <w:t>ičin </w:t>
      </w:r>
      <w:r>
        <w:rPr>
          <w:rFonts w:ascii="Arial" w:hAnsi="Arial"/>
          <w:color w:val="383836"/>
          <w:w w:val="105"/>
          <w:sz w:val="15"/>
        </w:rPr>
        <w:t>l </w:t>
      </w:r>
      <w:r>
        <w:rPr>
          <w:rFonts w:ascii="Arial" w:hAnsi="Arial"/>
          <w:color w:val="595959"/>
          <w:spacing w:val="5"/>
          <w:w w:val="105"/>
          <w:sz w:val="15"/>
        </w:rPr>
        <w:t>e</w:t>
      </w:r>
      <w:r>
        <w:rPr>
          <w:rFonts w:ascii="Arial" w:hAnsi="Arial"/>
          <w:color w:val="383836"/>
          <w:spacing w:val="5"/>
          <w:w w:val="105"/>
          <w:sz w:val="15"/>
        </w:rPr>
        <w:t>c </w:t>
      </w:r>
      <w:r>
        <w:rPr>
          <w:rFonts w:ascii="Arial" w:hAnsi="Arial"/>
          <w:color w:val="6B6969"/>
          <w:spacing w:val="1"/>
          <w:w w:val="105"/>
          <w:sz w:val="15"/>
        </w:rPr>
        <w:t>ý</w:t>
      </w:r>
      <w:r>
        <w:rPr>
          <w:rFonts w:ascii="Arial" w:hAnsi="Arial"/>
          <w:color w:val="383836"/>
          <w:spacing w:val="1"/>
          <w:w w:val="105"/>
          <w:sz w:val="15"/>
        </w:rPr>
        <w:t>ch</w:t>
      </w:r>
      <w:r>
        <w:rPr>
          <w:rFonts w:ascii="Arial" w:hAnsi="Arial"/>
          <w:color w:val="383836"/>
          <w:spacing w:val="2"/>
          <w:w w:val="105"/>
          <w:sz w:val="15"/>
        </w:rPr>
        <w:t> </w:t>
      </w:r>
      <w:r>
        <w:rPr>
          <w:rFonts w:ascii="Arial" w:hAnsi="Arial"/>
          <w:color w:val="212121"/>
          <w:w w:val="105"/>
          <w:sz w:val="15"/>
        </w:rPr>
        <w:t>n</w:t>
      </w:r>
      <w:r>
        <w:rPr>
          <w:rFonts w:ascii="Arial" w:hAnsi="Arial"/>
          <w:color w:val="484646"/>
          <w:w w:val="105"/>
          <w:sz w:val="15"/>
        </w:rPr>
        <w:t>eh</w:t>
      </w:r>
      <w:r>
        <w:rPr>
          <w:rFonts w:ascii="Arial" w:hAnsi="Arial"/>
          <w:color w:val="212121"/>
          <w:w w:val="105"/>
          <w:sz w:val="15"/>
        </w:rPr>
        <w:t>o</w:t>
      </w:r>
      <w:r>
        <w:rPr>
          <w:rFonts w:ascii="Arial" w:hAnsi="Arial"/>
          <w:color w:val="595959"/>
          <w:w w:val="105"/>
          <w:sz w:val="15"/>
        </w:rPr>
        <w:t>d</w:t>
      </w:r>
    </w:p>
    <w:p>
      <w:pPr>
        <w:spacing w:line="220" w:lineRule="exact" w:before="16"/>
        <w:ind w:left="2043" w:right="20" w:firstLine="0"/>
        <w:jc w:val="center"/>
        <w:rPr>
          <w:sz w:val="18"/>
        </w:rPr>
      </w:pPr>
      <w:r>
        <w:rPr>
          <w:color w:val="212121"/>
          <w:w w:val="105"/>
          <w:sz w:val="16"/>
        </w:rPr>
        <w:t>ICO </w:t>
      </w:r>
      <w:r>
        <w:rPr>
          <w:color w:val="595959"/>
          <w:w w:val="105"/>
          <w:sz w:val="16"/>
        </w:rPr>
        <w:t>7</w:t>
      </w:r>
      <w:r>
        <w:rPr>
          <w:color w:val="383836"/>
          <w:w w:val="105"/>
          <w:sz w:val="16"/>
        </w:rPr>
        <w:t>0 </w:t>
      </w:r>
      <w:r>
        <w:rPr>
          <w:color w:val="6B6969"/>
          <w:w w:val="105"/>
          <w:sz w:val="16"/>
        </w:rPr>
        <w:t>99094 </w:t>
      </w:r>
      <w:r>
        <w:rPr>
          <w:color w:val="484646"/>
          <w:w w:val="105"/>
          <w:sz w:val="16"/>
        </w:rPr>
        <w:t>3, </w:t>
      </w:r>
      <w:r>
        <w:rPr>
          <w:color w:val="383836"/>
          <w:w w:val="105"/>
          <w:sz w:val="15"/>
        </w:rPr>
        <w:t>tel. </w:t>
      </w:r>
      <w:r>
        <w:rPr>
          <w:color w:val="595959"/>
          <w:w w:val="105"/>
          <w:sz w:val="16"/>
        </w:rPr>
        <w:t>266 </w:t>
      </w:r>
      <w:r>
        <w:rPr>
          <w:color w:val="484646"/>
          <w:w w:val="105"/>
          <w:sz w:val="16"/>
        </w:rPr>
        <w:t>199 </w:t>
      </w:r>
      <w:r>
        <w:rPr>
          <w:color w:val="383836"/>
          <w:w w:val="105"/>
          <w:sz w:val="16"/>
        </w:rPr>
        <w:t>2</w:t>
      </w:r>
      <w:r>
        <w:rPr>
          <w:color w:val="383836"/>
          <w:w w:val="105"/>
          <w:position w:val="-4"/>
          <w:sz w:val="18"/>
        </w:rPr>
        <w:t>31</w:t>
      </w:r>
    </w:p>
    <w:p>
      <w:pPr>
        <w:spacing w:line="180" w:lineRule="exact" w:before="0"/>
        <w:ind w:left="2035" w:right="20" w:firstLine="0"/>
        <w:jc w:val="center"/>
        <w:rPr>
          <w:rFonts w:ascii="Arial"/>
          <w:sz w:val="15"/>
        </w:rPr>
      </w:pPr>
      <w:r>
        <w:rPr>
          <w:rFonts w:ascii="Arial"/>
          <w:color w:val="212121"/>
          <w:w w:val="105"/>
          <w:sz w:val="15"/>
        </w:rPr>
        <w:t>19 </w:t>
      </w:r>
      <w:r>
        <w:rPr>
          <w:rFonts w:ascii="Arial"/>
          <w:color w:val="484646"/>
          <w:w w:val="105"/>
          <w:sz w:val="15"/>
        </w:rPr>
        <w:t>9 </w:t>
      </w:r>
      <w:r>
        <w:rPr>
          <w:rFonts w:ascii="Arial"/>
          <w:color w:val="212121"/>
          <w:w w:val="105"/>
          <w:sz w:val="15"/>
        </w:rPr>
        <w:t>01 </w:t>
      </w:r>
      <w:r>
        <w:rPr>
          <w:rFonts w:ascii="Arial"/>
          <w:color w:val="484646"/>
          <w:w w:val="105"/>
          <w:sz w:val="15"/>
        </w:rPr>
        <w:t>Bcronov;,ch </w:t>
      </w:r>
      <w:r>
        <w:rPr>
          <w:b/>
          <w:color w:val="383836"/>
          <w:w w:val="105"/>
          <w:sz w:val="16"/>
        </w:rPr>
        <w:t>130, </w:t>
      </w:r>
      <w:r>
        <w:rPr>
          <w:b/>
          <w:color w:val="212121"/>
          <w:w w:val="105"/>
          <w:sz w:val="16"/>
        </w:rPr>
        <w:t>Pr</w:t>
      </w:r>
      <w:r>
        <w:rPr>
          <w:b/>
          <w:color w:val="484646"/>
          <w:w w:val="105"/>
          <w:sz w:val="16"/>
        </w:rPr>
        <w:t>a.</w:t>
      </w:r>
      <w:r>
        <w:rPr>
          <w:b/>
          <w:color w:val="212121"/>
          <w:w w:val="105"/>
          <w:sz w:val="16"/>
        </w:rPr>
        <w:t>ha </w:t>
      </w:r>
      <w:r>
        <w:rPr>
          <w:rFonts w:ascii="Arial"/>
          <w:color w:val="212121"/>
          <w:w w:val="105"/>
          <w:position w:val="-4"/>
          <w:sz w:val="15"/>
        </w:rPr>
        <w:t>99</w:t>
      </w:r>
    </w:p>
    <w:p>
      <w:pPr>
        <w:spacing w:line="197" w:lineRule="exact" w:before="0"/>
        <w:ind w:left="0" w:right="1195" w:firstLine="0"/>
        <w:jc w:val="right"/>
        <w:rPr>
          <w:sz w:val="20"/>
        </w:rPr>
      </w:pPr>
      <w:r>
        <w:rPr>
          <w:rFonts w:ascii="Arial"/>
          <w:color w:val="383836"/>
          <w:sz w:val="14"/>
        </w:rPr>
        <w:t>(1 </w:t>
      </w:r>
      <w:r>
        <w:rPr>
          <w:color w:val="212121"/>
          <w:sz w:val="20"/>
        </w:rPr>
        <w:t>i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1"/>
        <w:ind w:left="2495" w:right="0" w:firstLine="0"/>
        <w:jc w:val="left"/>
        <w:rPr>
          <w:b/>
          <w:sz w:val="18"/>
        </w:rPr>
      </w:pPr>
      <w:r>
        <w:rPr>
          <w:b/>
          <w:color w:val="3F7CAA"/>
          <w:sz w:val="18"/>
          <w:u w:val="thick" w:color="578EC8"/>
        </w:rPr>
        <w:t>C O M P U T </w:t>
      </w:r>
      <w:r>
        <w:rPr>
          <w:b/>
          <w:color w:val="578EC8"/>
          <w:w w:val="95"/>
          <w:sz w:val="18"/>
          <w:u w:val="thick" w:color="578EC8"/>
        </w:rPr>
        <w:t>E</w:t>
      </w:r>
      <w:r>
        <w:rPr>
          <w:b/>
          <w:color w:val="578EC8"/>
          <w:w w:val="95"/>
          <w:sz w:val="18"/>
        </w:rPr>
        <w:t> </w:t>
      </w:r>
      <w:r>
        <w:rPr>
          <w:b/>
          <w:color w:val="578EC8"/>
          <w:w w:val="95"/>
          <w:sz w:val="18"/>
          <w:u w:val="thick" w:color="578EC8"/>
        </w:rPr>
        <w:t>R</w:t>
      </w:r>
      <w:r>
        <w:rPr>
          <w:b/>
          <w:color w:val="578EC8"/>
          <w:w w:val="95"/>
          <w:sz w:val="18"/>
        </w:rPr>
        <w:t> </w:t>
      </w:r>
      <w:r>
        <w:rPr>
          <w:b/>
          <w:color w:val="578EC8"/>
          <w:sz w:val="18"/>
          <w:u w:val="thick" w:color="578EC8"/>
        </w:rPr>
        <w:t>S</w:t>
      </w:r>
    </w:p>
    <w:p>
      <w:pPr>
        <w:spacing w:line="211" w:lineRule="auto" w:before="74"/>
        <w:ind w:left="2079" w:right="1905" w:firstLine="168"/>
        <w:jc w:val="left"/>
        <w:rPr>
          <w:rFonts w:ascii="Arial" w:hAnsi="Arial"/>
          <w:sz w:val="20"/>
        </w:rPr>
      </w:pPr>
      <w:r>
        <w:rPr>
          <w:rFonts w:ascii="Arial" w:hAnsi="Arial"/>
          <w:color w:val="38648C"/>
          <w:sz w:val="20"/>
        </w:rPr>
        <w:t>Ax</w:t>
      </w:r>
      <w:r>
        <w:rPr>
          <w:rFonts w:ascii="Arial" w:hAnsi="Arial"/>
          <w:color w:val="214972"/>
          <w:sz w:val="20"/>
        </w:rPr>
        <w:t>es </w:t>
      </w:r>
      <w:r>
        <w:rPr>
          <w:rFonts w:ascii="Arial" w:hAnsi="Arial"/>
          <w:color w:val="3F566D"/>
          <w:sz w:val="20"/>
        </w:rPr>
        <w:t>C</w:t>
      </w:r>
      <w:r>
        <w:rPr>
          <w:rFonts w:ascii="Arial" w:hAnsi="Arial"/>
          <w:color w:val="38648C"/>
          <w:sz w:val="20"/>
        </w:rPr>
        <w:t>o</w:t>
      </w:r>
      <w:r>
        <w:rPr>
          <w:rFonts w:ascii="Arial" w:hAnsi="Arial"/>
          <w:color w:val="5D7C95"/>
          <w:sz w:val="20"/>
        </w:rPr>
        <w:t>m</w:t>
      </w:r>
      <w:r>
        <w:rPr>
          <w:rFonts w:ascii="Arial" w:hAnsi="Arial"/>
          <w:color w:val="3F7CAA"/>
          <w:sz w:val="20"/>
        </w:rPr>
        <w:t>o</w:t>
      </w:r>
      <w:r>
        <w:rPr>
          <w:rFonts w:ascii="Arial" w:hAnsi="Arial"/>
          <w:color w:val="5D7C95"/>
          <w:sz w:val="20"/>
        </w:rPr>
        <w:t>u</w:t>
      </w:r>
      <w:r>
        <w:rPr>
          <w:rFonts w:ascii="Arial" w:hAnsi="Arial"/>
          <w:color w:val="7793A7"/>
          <w:sz w:val="20"/>
        </w:rPr>
        <w:t>t</w:t>
      </w:r>
      <w:r>
        <w:rPr>
          <w:rFonts w:ascii="Arial" w:hAnsi="Arial"/>
          <w:color w:val="5D7C95"/>
          <w:sz w:val="20"/>
        </w:rPr>
        <w:t>e</w:t>
      </w:r>
      <w:r>
        <w:rPr>
          <w:rFonts w:ascii="Arial" w:hAnsi="Arial"/>
          <w:color w:val="7793A7"/>
          <w:sz w:val="20"/>
        </w:rPr>
        <w:t>r s</w:t>
      </w:r>
      <w:r>
        <w:rPr>
          <w:rFonts w:ascii="Arial" w:hAnsi="Arial"/>
          <w:color w:val="AFB5AE"/>
          <w:sz w:val="20"/>
        </w:rPr>
        <w:t>.</w:t>
      </w:r>
      <w:r>
        <w:rPr>
          <w:rFonts w:ascii="Arial" w:hAnsi="Arial"/>
          <w:color w:val="7793A7"/>
          <w:sz w:val="20"/>
        </w:rPr>
        <w:t>r </w:t>
      </w:r>
      <w:r>
        <w:rPr>
          <w:rFonts w:ascii="Arial" w:hAnsi="Arial"/>
          <w:color w:val="97AFBF"/>
          <w:sz w:val="20"/>
        </w:rPr>
        <w:t>o </w:t>
      </w:r>
      <w:r>
        <w:rPr>
          <w:rFonts w:ascii="Arial" w:hAnsi="Arial"/>
          <w:color w:val="38648C"/>
          <w:w w:val="107"/>
          <w:sz w:val="20"/>
        </w:rPr>
        <w:t>K</w:t>
      </w:r>
      <w:r>
        <w:rPr>
          <w:rFonts w:ascii="Arial" w:hAnsi="Arial"/>
          <w:color w:val="214972"/>
          <w:w w:val="107"/>
          <w:sz w:val="20"/>
        </w:rPr>
        <w:t>ollá</w:t>
      </w:r>
      <w:r>
        <w:rPr>
          <w:rFonts w:ascii="Arial" w:hAnsi="Arial"/>
          <w:color w:val="3F566D"/>
          <w:w w:val="108"/>
          <w:sz w:val="20"/>
        </w:rPr>
        <w:t>r</w:t>
      </w:r>
      <w:r>
        <w:rPr>
          <w:rFonts w:ascii="Arial" w:hAnsi="Arial"/>
          <w:color w:val="214972"/>
          <w:w w:val="107"/>
          <w:sz w:val="20"/>
        </w:rPr>
        <w:t>ova</w:t>
      </w:r>
      <w:r>
        <w:rPr>
          <w:rFonts w:ascii="Arial" w:hAnsi="Arial"/>
          <w:color w:val="214972"/>
          <w:sz w:val="20"/>
        </w:rPr>
        <w:t> </w:t>
      </w:r>
      <w:r>
        <w:rPr>
          <w:rFonts w:ascii="Arial" w:hAnsi="Arial"/>
          <w:color w:val="3F7CAA"/>
          <w:w w:val="99"/>
          <w:sz w:val="20"/>
        </w:rPr>
        <w:t>1</w:t>
      </w:r>
      <w:r>
        <w:rPr>
          <w:rFonts w:ascii="Arial" w:hAnsi="Arial"/>
          <w:color w:val="7793A7"/>
          <w:w w:val="99"/>
          <w:sz w:val="20"/>
        </w:rPr>
        <w:t>,</w:t>
      </w:r>
      <w:r>
        <w:rPr>
          <w:rFonts w:ascii="Arial" w:hAnsi="Arial"/>
          <w:color w:val="7793A7"/>
          <w:w w:val="47"/>
          <w:sz w:val="20"/>
        </w:rPr>
        <w:t>'</w:t>
      </w:r>
      <w:r>
        <w:rPr>
          <w:rFonts w:ascii="Arial" w:hAnsi="Arial"/>
          <w:color w:val="7793A7"/>
          <w:sz w:val="20"/>
        </w:rPr>
        <w:t> </w:t>
      </w:r>
      <w:r>
        <w:rPr>
          <w:rFonts w:ascii="Arial" w:hAnsi="Arial"/>
          <w:color w:val="3F566D"/>
          <w:w w:val="100"/>
          <w:sz w:val="20"/>
        </w:rPr>
        <w:t>3</w:t>
      </w:r>
      <w:r>
        <w:rPr>
          <w:rFonts w:ascii="Arial" w:hAnsi="Arial"/>
          <w:color w:val="5D7C95"/>
          <w:w w:val="106"/>
          <w:sz w:val="20"/>
        </w:rPr>
        <w:t>0</w:t>
      </w:r>
      <w:r>
        <w:rPr>
          <w:rFonts w:ascii="Arial" w:hAnsi="Arial"/>
          <w:color w:val="7793A7"/>
          <w:w w:val="106"/>
          <w:sz w:val="20"/>
        </w:rPr>
        <w:t>1</w:t>
      </w:r>
      <w:r>
        <w:rPr>
          <w:rFonts w:ascii="Arial" w:hAnsi="Arial"/>
          <w:color w:val="7793A7"/>
          <w:sz w:val="20"/>
        </w:rPr>
        <w:t> </w:t>
      </w:r>
      <w:r>
        <w:rPr>
          <w:rFonts w:ascii="Arial" w:hAnsi="Arial"/>
          <w:color w:val="5D7C95"/>
          <w:w w:val="101"/>
          <w:sz w:val="20"/>
        </w:rPr>
        <w:t>0</w:t>
      </w:r>
      <w:r>
        <w:rPr>
          <w:rFonts w:ascii="Arial" w:hAnsi="Arial"/>
          <w:color w:val="7793A7"/>
          <w:w w:val="106"/>
          <w:sz w:val="20"/>
        </w:rPr>
        <w:t>0</w:t>
      </w:r>
      <w:r>
        <w:rPr>
          <w:rFonts w:ascii="Arial" w:hAnsi="Arial"/>
          <w:color w:val="7793A7"/>
          <w:sz w:val="20"/>
        </w:rPr>
        <w:t> </w:t>
      </w:r>
      <w:r>
        <w:rPr>
          <w:rFonts w:ascii="Arial" w:hAnsi="Arial"/>
          <w:color w:val="7793A7"/>
          <w:w w:val="108"/>
          <w:sz w:val="20"/>
        </w:rPr>
        <w:t>P</w:t>
      </w:r>
      <w:r>
        <w:rPr>
          <w:rFonts w:ascii="Arial" w:hAnsi="Arial"/>
          <w:color w:val="9AA1A5"/>
          <w:w w:val="108"/>
          <w:sz w:val="20"/>
        </w:rPr>
        <w:t>i</w:t>
      </w:r>
      <w:r>
        <w:rPr>
          <w:rFonts w:ascii="Arial" w:hAnsi="Arial"/>
          <w:color w:val="97AFBF"/>
          <w:w w:val="92"/>
          <w:sz w:val="20"/>
        </w:rPr>
        <w:t>z</w:t>
      </w:r>
    </w:p>
    <w:p>
      <w:pPr>
        <w:spacing w:after="0" w:line="211" w:lineRule="auto"/>
        <w:jc w:val="left"/>
        <w:rPr>
          <w:rFonts w:ascii="Arial" w:hAnsi="Arial"/>
          <w:sz w:val="20"/>
        </w:rPr>
        <w:sectPr>
          <w:type w:val="continuous"/>
          <w:pgSz w:w="11910" w:h="16840"/>
          <w:pgMar w:top="1580" w:bottom="280" w:left="0" w:right="0"/>
          <w:cols w:num="2" w:equalWidth="0">
            <w:col w:w="4574" w:space="486"/>
            <w:col w:w="6850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7"/>
        </w:rPr>
      </w:pPr>
    </w:p>
    <w:p>
      <w:pPr>
        <w:spacing w:after="0"/>
        <w:rPr>
          <w:rFonts w:ascii="Arial"/>
          <w:sz w:val="27"/>
        </w:rPr>
        <w:sectPr>
          <w:footerReference w:type="default" r:id="rId8"/>
          <w:pgSz w:w="11910" w:h="16840"/>
          <w:pgMar w:footer="0" w:header="0" w:top="580" w:bottom="0" w:left="0" w:right="0"/>
        </w:sectPr>
      </w:pPr>
    </w:p>
    <w:p>
      <w:pPr>
        <w:spacing w:before="95"/>
        <w:ind w:left="1663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1C1C1C"/>
          <w:sz w:val="17"/>
        </w:rPr>
        <w:t>A1&lt;es Computers s.r.o</w:t>
      </w:r>
      <w:r>
        <w:rPr>
          <w:rFonts w:ascii="Arial"/>
          <w:b/>
          <w:color w:val="3B3B3B"/>
          <w:sz w:val="17"/>
        </w:rPr>
        <w:t>.</w:t>
      </w:r>
    </w:p>
    <w:p>
      <w:pPr>
        <w:spacing w:before="54"/>
        <w:ind w:left="1660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1C1C1C"/>
          <w:sz w:val="17"/>
        </w:rPr>
        <w:t>Kollárova 1, 301 00 Plzeň</w:t>
      </w:r>
    </w:p>
    <w:p>
      <w:pPr>
        <w:spacing w:before="59"/>
        <w:ind w:left="1669" w:right="0" w:firstLine="0"/>
        <w:jc w:val="left"/>
        <w:rPr>
          <w:rFonts w:ascii="Arial"/>
          <w:sz w:val="17"/>
        </w:rPr>
      </w:pPr>
      <w:r>
        <w:rPr>
          <w:rFonts w:ascii="Arial"/>
          <w:color w:val="1C1C1C"/>
          <w:w w:val="105"/>
          <w:sz w:val="17"/>
        </w:rPr>
        <w:t>Tel.: 377354111</w:t>
      </w:r>
    </w:p>
    <w:p>
      <w:pPr>
        <w:spacing w:before="50"/>
        <w:ind w:left="1664" w:right="0" w:firstLine="0"/>
        <w:jc w:val="left"/>
        <w:rPr>
          <w:rFonts w:ascii="Arial"/>
          <w:sz w:val="17"/>
        </w:rPr>
      </w:pPr>
      <w:r>
        <w:rPr>
          <w:rFonts w:ascii="Arial"/>
          <w:color w:val="1C1C1C"/>
          <w:sz w:val="17"/>
        </w:rPr>
        <w:t>Emai l.: </w:t>
      </w:r>
      <w:hyperlink r:id="rId9">
        <w:r>
          <w:rPr>
            <w:rFonts w:ascii="Arial"/>
            <w:color w:val="1C1C1C"/>
            <w:sz w:val="17"/>
          </w:rPr>
          <w:t>obchod@axes</w:t>
        </w:r>
        <w:r>
          <w:rPr>
            <w:rFonts w:ascii="Arial"/>
            <w:color w:val="3B3B3B"/>
            <w:sz w:val="17"/>
          </w:rPr>
          <w:t>.</w:t>
        </w:r>
        <w:r>
          <w:rPr>
            <w:rFonts w:ascii="Arial"/>
            <w:color w:val="1C1C1C"/>
            <w:sz w:val="17"/>
          </w:rPr>
          <w:t>cz</w:t>
        </w:r>
      </w:hyperlink>
    </w:p>
    <w:p>
      <w:pPr>
        <w:pStyle w:val="BodyText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1"/>
        <w:rPr>
          <w:rFonts w:ascii="Arial"/>
          <w:sz w:val="18"/>
        </w:rPr>
      </w:pPr>
    </w:p>
    <w:p>
      <w:pPr>
        <w:spacing w:before="0"/>
        <w:ind w:left="1660" w:right="0" w:firstLine="0"/>
        <w:jc w:val="left"/>
        <w:rPr>
          <w:sz w:val="23"/>
        </w:rPr>
      </w:pPr>
      <w:r>
        <w:rPr>
          <w:color w:val="1C1C1C"/>
          <w:w w:val="165"/>
          <w:sz w:val="23"/>
        </w:rPr>
        <w:t>COMPUTERS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580" w:bottom="280" w:left="0" w:right="0"/>
          <w:cols w:num="2" w:equalWidth="0">
            <w:col w:w="3643" w:space="3193"/>
            <w:col w:w="50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60"/>
        <w:ind w:left="3648" w:right="0" w:firstLine="0"/>
        <w:jc w:val="left"/>
        <w:rPr>
          <w:rFonts w:ascii="Arial" w:hAnsi="Arial"/>
          <w:b/>
          <w:sz w:val="126"/>
        </w:rPr>
      </w:pPr>
      <w:r>
        <w:rPr>
          <w:rFonts w:ascii="Arial" w:hAnsi="Arial"/>
          <w:b/>
          <w:color w:val="1C1C1C"/>
          <w:sz w:val="126"/>
        </w:rPr>
        <w:t>Nabídka</w:t>
      </w:r>
    </w:p>
    <w:p>
      <w:pPr>
        <w:pStyle w:val="BodyText"/>
        <w:rPr>
          <w:rFonts w:ascii="Arial"/>
          <w:b/>
          <w:sz w:val="140"/>
        </w:rPr>
      </w:pPr>
    </w:p>
    <w:p>
      <w:pPr>
        <w:pStyle w:val="Heading1"/>
        <w:tabs>
          <w:tab w:pos="4553" w:val="left" w:leader="none"/>
        </w:tabs>
        <w:spacing w:line="297" w:lineRule="auto" w:before="1040"/>
        <w:ind w:left="1660" w:right="2311"/>
      </w:pPr>
      <w:r>
        <w:rPr/>
        <w:pict>
          <v:line style="position:absolute;mso-position-horizontal-relative:page;mso-position-vertical-relative:paragraph;z-index:1312" from="3.36542pt,37.373422pt" to="3.36542pt,-6.836962pt" stroked="true" strokeweight=".961549pt" strokecolor="#000000">
            <v:stroke dashstyle="solid"/>
            <w10:wrap type="none"/>
          </v:line>
        </w:pict>
      </w:r>
      <w:r>
        <w:rPr>
          <w:color w:val="1C1C1C"/>
          <w:w w:val="95"/>
        </w:rPr>
        <w:t>Pro</w:t>
      </w:r>
      <w:r>
        <w:rPr>
          <w:color w:val="1C1C1C"/>
          <w:spacing w:val="-38"/>
          <w:w w:val="95"/>
        </w:rPr>
        <w:t> </w:t>
      </w:r>
      <w:r>
        <w:rPr>
          <w:color w:val="1C1C1C"/>
          <w:w w:val="95"/>
        </w:rPr>
        <w:t>společnost:</w:t>
        <w:tab/>
        <w:t>Ústav</w:t>
      </w:r>
      <w:r>
        <w:rPr>
          <w:color w:val="1C1C1C"/>
          <w:spacing w:val="-38"/>
          <w:w w:val="95"/>
        </w:rPr>
        <w:t> </w:t>
      </w:r>
      <w:r>
        <w:rPr>
          <w:color w:val="1C1C1C"/>
          <w:w w:val="95"/>
        </w:rPr>
        <w:t>pro</w:t>
      </w:r>
      <w:r>
        <w:rPr>
          <w:color w:val="1C1C1C"/>
          <w:spacing w:val="-43"/>
          <w:w w:val="95"/>
        </w:rPr>
        <w:t> </w:t>
      </w:r>
      <w:r>
        <w:rPr>
          <w:color w:val="1C1C1C"/>
          <w:w w:val="95"/>
        </w:rPr>
        <w:t>odborné</w:t>
      </w:r>
      <w:r>
        <w:rPr>
          <w:color w:val="1C1C1C"/>
          <w:spacing w:val="-26"/>
          <w:w w:val="95"/>
        </w:rPr>
        <w:t> </w:t>
      </w:r>
      <w:r>
        <w:rPr>
          <w:color w:val="1C1C1C"/>
          <w:w w:val="95"/>
        </w:rPr>
        <w:t>zjišťování </w:t>
      </w:r>
      <w:r>
        <w:rPr>
          <w:color w:val="1C1C1C"/>
        </w:rPr>
        <w:t>příčin leteckých</w:t>
      </w:r>
      <w:r>
        <w:rPr>
          <w:color w:val="1C1C1C"/>
          <w:spacing w:val="-2"/>
        </w:rPr>
        <w:t> </w:t>
      </w:r>
      <w:r>
        <w:rPr>
          <w:color w:val="1C1C1C"/>
        </w:rPr>
        <w:t>nehod</w:t>
      </w:r>
    </w:p>
    <w:p>
      <w:pPr>
        <w:pStyle w:val="BodyText"/>
        <w:spacing w:before="6"/>
        <w:rPr>
          <w:rFonts w:ascii="Arial"/>
          <w:b/>
          <w:sz w:val="49"/>
        </w:rPr>
      </w:pPr>
    </w:p>
    <w:p>
      <w:pPr>
        <w:spacing w:line="297" w:lineRule="auto" w:before="0"/>
        <w:ind w:left="1656" w:right="863" w:firstLine="2"/>
        <w:jc w:val="left"/>
        <w:rPr>
          <w:rFonts w:ascii="Arial" w:hAnsi="Arial"/>
          <w:b/>
          <w:sz w:val="39"/>
        </w:rPr>
      </w:pPr>
      <w:r>
        <w:rPr/>
        <w:pict>
          <v:line style="position:absolute;mso-position-horizontal-relative:page;mso-position-vertical-relative:paragraph;z-index:1336" from="5.528904pt,105.029834pt" to="5.528904pt,-12.223794pt" stroked="true" strokeweight=".480774pt" strokecolor="#000000">
            <v:stroke dashstyle="solid"/>
            <w10:wrap type="none"/>
          </v:line>
        </w:pict>
      </w:r>
      <w:r>
        <w:rPr>
          <w:rFonts w:ascii="Arial" w:hAnsi="Arial"/>
          <w:b/>
          <w:color w:val="1C1C1C"/>
          <w:w w:val="95"/>
          <w:sz w:val="39"/>
        </w:rPr>
        <w:t>Název</w:t>
      </w:r>
      <w:r>
        <w:rPr>
          <w:rFonts w:ascii="Arial" w:hAnsi="Arial"/>
          <w:b/>
          <w:color w:val="1C1C1C"/>
          <w:spacing w:val="-29"/>
          <w:w w:val="95"/>
          <w:sz w:val="39"/>
        </w:rPr>
        <w:t> </w:t>
      </w:r>
      <w:r>
        <w:rPr>
          <w:rFonts w:ascii="Arial" w:hAnsi="Arial"/>
          <w:b/>
          <w:color w:val="1C1C1C"/>
          <w:w w:val="95"/>
          <w:sz w:val="39"/>
        </w:rPr>
        <w:t>zakázky:</w:t>
      </w:r>
      <w:r>
        <w:rPr>
          <w:rFonts w:ascii="Arial" w:hAnsi="Arial"/>
          <w:b/>
          <w:color w:val="1C1C1C"/>
          <w:spacing w:val="-37"/>
          <w:w w:val="95"/>
          <w:sz w:val="39"/>
        </w:rPr>
        <w:t> </w:t>
      </w:r>
      <w:r>
        <w:rPr>
          <w:rFonts w:ascii="Arial" w:hAnsi="Arial"/>
          <w:b/>
          <w:color w:val="1C1C1C"/>
          <w:w w:val="95"/>
          <w:sz w:val="39"/>
        </w:rPr>
        <w:t>Nákup</w:t>
      </w:r>
      <w:r>
        <w:rPr>
          <w:rFonts w:ascii="Arial" w:hAnsi="Arial"/>
          <w:b/>
          <w:color w:val="1C1C1C"/>
          <w:spacing w:val="-39"/>
          <w:w w:val="95"/>
          <w:sz w:val="39"/>
        </w:rPr>
        <w:t> </w:t>
      </w:r>
      <w:r>
        <w:rPr>
          <w:rFonts w:ascii="Arial" w:hAnsi="Arial"/>
          <w:b/>
          <w:color w:val="1C1C1C"/>
          <w:w w:val="95"/>
          <w:sz w:val="39"/>
        </w:rPr>
        <w:t>14</w:t>
      </w:r>
      <w:r>
        <w:rPr>
          <w:rFonts w:ascii="Arial" w:hAnsi="Arial"/>
          <w:b/>
          <w:color w:val="1C1C1C"/>
          <w:spacing w:val="-48"/>
          <w:w w:val="95"/>
          <w:sz w:val="39"/>
        </w:rPr>
        <w:t> </w:t>
      </w:r>
      <w:r>
        <w:rPr>
          <w:rFonts w:ascii="Arial" w:hAnsi="Arial"/>
          <w:b/>
          <w:color w:val="1C1C1C"/>
          <w:w w:val="95"/>
          <w:sz w:val="39"/>
        </w:rPr>
        <w:t>ks</w:t>
      </w:r>
      <w:r>
        <w:rPr>
          <w:rFonts w:ascii="Arial" w:hAnsi="Arial"/>
          <w:b/>
          <w:color w:val="1C1C1C"/>
          <w:spacing w:val="-45"/>
          <w:w w:val="95"/>
          <w:sz w:val="39"/>
        </w:rPr>
        <w:t> </w:t>
      </w:r>
      <w:r>
        <w:rPr>
          <w:rFonts w:ascii="Arial" w:hAnsi="Arial"/>
          <w:b/>
          <w:color w:val="1C1C1C"/>
          <w:w w:val="95"/>
          <w:sz w:val="39"/>
        </w:rPr>
        <w:t>souprav</w:t>
      </w:r>
      <w:r>
        <w:rPr>
          <w:rFonts w:ascii="Arial" w:hAnsi="Arial"/>
          <w:b/>
          <w:color w:val="1C1C1C"/>
          <w:spacing w:val="-28"/>
          <w:w w:val="95"/>
          <w:sz w:val="39"/>
        </w:rPr>
        <w:t> </w:t>
      </w:r>
      <w:r>
        <w:rPr>
          <w:rFonts w:ascii="Arial" w:hAnsi="Arial"/>
          <w:b/>
          <w:color w:val="1C1C1C"/>
          <w:w w:val="95"/>
          <w:sz w:val="39"/>
        </w:rPr>
        <w:t>stolních </w:t>
      </w:r>
      <w:r>
        <w:rPr>
          <w:rFonts w:ascii="Arial" w:hAnsi="Arial"/>
          <w:b/>
          <w:color w:val="1C1C1C"/>
          <w:sz w:val="39"/>
        </w:rPr>
        <w:t>počítačů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type w:val="continuous"/>
          <w:pgSz w:w="11910" w:h="16840"/>
          <w:pgMar w:top="1580" w:bottom="280" w:left="0" w:right="0"/>
        </w:sectPr>
      </w:pPr>
    </w:p>
    <w:p>
      <w:pPr>
        <w:spacing w:line="290" w:lineRule="auto" w:before="114"/>
        <w:ind w:left="1774" w:right="-11" w:hanging="2"/>
        <w:jc w:val="left"/>
        <w:rPr>
          <w:rFonts w:ascii="Arial" w:hAnsi="Arial"/>
          <w:sz w:val="19"/>
        </w:rPr>
      </w:pPr>
      <w:r>
        <w:rPr/>
        <w:pict>
          <v:line style="position:absolute;mso-position-horizontal-relative:page;mso-position-vertical-relative:paragraph;z-index:1360" from="7.452001pt,117.665489pt" to="7.452001pt,202.002437pt" stroked="true" strokeweight=".480774pt" strokecolor="#000000">
            <v:stroke dashstyle="solid"/>
            <w10:wrap type="none"/>
          </v:line>
        </w:pict>
      </w:r>
      <w:r>
        <w:rPr/>
        <w:pict>
          <v:shape style="position:absolute;margin-left:421.526306pt;margin-top:33.419048pt;width:116.05pt;height:73.75pt;mso-position-horizontal-relative:page;mso-position-vertical-relative:page;z-index:-16120" type="#_x0000_t202" filled="false" stroked="false">
            <v:textbox inset="0,0,0,0">
              <w:txbxContent>
                <w:p>
                  <w:pPr>
                    <w:spacing w:line="1474" w:lineRule="exact" w:before="0"/>
                    <w:ind w:left="0" w:right="0" w:firstLine="0"/>
                    <w:jc w:val="left"/>
                    <w:rPr>
                      <w:b/>
                      <w:sz w:val="133"/>
                    </w:rPr>
                  </w:pPr>
                  <w:r>
                    <w:rPr>
                      <w:b/>
                      <w:color w:val="1C1C1C"/>
                      <w:w w:val="90"/>
                      <w:sz w:val="133"/>
                    </w:rPr>
                    <w:t>are</w:t>
                  </w:r>
                  <w:r>
                    <w:rPr>
                      <w:b/>
                      <w:color w:val="3B3B3B"/>
                      <w:w w:val="90"/>
                      <w:sz w:val="13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1C1C1C"/>
          <w:w w:val="105"/>
          <w:sz w:val="21"/>
        </w:rPr>
        <w:t>Vyhotovil: Zpracováno</w:t>
      </w:r>
      <w:r>
        <w:rPr>
          <w:rFonts w:ascii="Arial" w:hAnsi="Arial"/>
          <w:color w:val="1C1C1C"/>
          <w:spacing w:val="-38"/>
          <w:w w:val="105"/>
          <w:sz w:val="21"/>
        </w:rPr>
        <w:t> </w:t>
      </w:r>
      <w:r>
        <w:rPr>
          <w:rFonts w:ascii="Arial" w:hAnsi="Arial"/>
          <w:color w:val="1C1C1C"/>
          <w:w w:val="105"/>
          <w:sz w:val="19"/>
        </w:rPr>
        <w:t>dne:</w:t>
      </w:r>
    </w:p>
    <w:p>
      <w:pPr>
        <w:spacing w:line="300" w:lineRule="auto" w:before="91"/>
        <w:ind w:left="553" w:right="1539" w:hanging="5"/>
        <w:jc w:val="left"/>
        <w:rPr>
          <w:rFonts w:ascii="Arial" w:hAnsi="Arial"/>
          <w:sz w:val="19"/>
        </w:rPr>
      </w:pPr>
      <w:r>
        <w:rPr/>
        <w:br w:type="column"/>
      </w:r>
      <w:r>
        <w:rPr>
          <w:rFonts w:ascii="Arial" w:hAnsi="Arial"/>
          <w:color w:val="1C1C1C"/>
          <w:sz w:val="19"/>
        </w:rPr>
        <w:t>Mgr. </w:t>
      </w:r>
      <w:r>
        <w:rPr>
          <w:color w:val="1C1C1C"/>
          <w:sz w:val="22"/>
        </w:rPr>
        <w:t>Jiří </w:t>
      </w:r>
      <w:r>
        <w:rPr>
          <w:rFonts w:ascii="Arial" w:hAnsi="Arial"/>
          <w:color w:val="1C1C1C"/>
          <w:sz w:val="19"/>
        </w:rPr>
        <w:t>Blažek, jednatel {tel: 377354173, email: blazek@axes.cz) 28.5.2018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</w:rPr>
      </w:pPr>
    </w:p>
    <w:p>
      <w:pPr>
        <w:spacing w:before="0"/>
        <w:ind w:left="2079" w:right="0" w:firstLine="0"/>
        <w:jc w:val="left"/>
        <w:rPr>
          <w:sz w:val="20"/>
        </w:rPr>
      </w:pPr>
      <w:r>
        <w:rPr>
          <w:color w:val="1C1C1C"/>
          <w:sz w:val="20"/>
        </w:rPr>
        <w:t>Stránka 1 z 4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0" w:right="0"/>
          <w:cols w:num="2" w:equalWidth="0">
            <w:col w:w="3359" w:space="40"/>
            <w:col w:w="85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footerReference w:type="default" r:id="rId10"/>
          <w:pgSz w:w="11910" w:h="16840"/>
          <w:pgMar w:footer="733" w:header="0" w:top="620" w:bottom="920" w:left="0" w:right="0"/>
          <w:pgNumType w:start="2"/>
        </w:sectPr>
      </w:pPr>
    </w:p>
    <w:p>
      <w:pPr>
        <w:spacing w:line="321" w:lineRule="auto" w:before="95"/>
        <w:ind w:left="1666" w:right="0" w:firstLine="11"/>
        <w:jc w:val="left"/>
        <w:rPr>
          <w:rFonts w:ascii="Arial" w:hAnsi="Arial"/>
          <w:sz w:val="16"/>
        </w:rPr>
      </w:pPr>
      <w:r>
        <w:rPr>
          <w:rFonts w:ascii="Arial" w:hAnsi="Arial"/>
          <w:b/>
          <w:color w:val="151515"/>
          <w:sz w:val="18"/>
        </w:rPr>
        <w:t>Axes Computers s.r.o. </w:t>
      </w:r>
      <w:r>
        <w:rPr>
          <w:rFonts w:ascii="Arial" w:hAnsi="Arial"/>
          <w:color w:val="151515"/>
          <w:w w:val="105"/>
          <w:sz w:val="16"/>
        </w:rPr>
        <w:t>Kollárova 1, 301 00 Plzeň Tel.:377354111</w:t>
      </w:r>
    </w:p>
    <w:p>
      <w:pPr>
        <w:spacing w:before="2"/>
        <w:ind w:left="1670" w:right="0" w:firstLine="0"/>
        <w:jc w:val="left"/>
        <w:rPr>
          <w:rFonts w:ascii="Arial"/>
          <w:sz w:val="16"/>
        </w:rPr>
      </w:pPr>
      <w:r>
        <w:rPr>
          <w:rFonts w:ascii="Arial"/>
          <w:color w:val="151515"/>
          <w:w w:val="110"/>
          <w:sz w:val="16"/>
        </w:rPr>
        <w:t>Email.: </w:t>
      </w:r>
      <w:hyperlink r:id="rId9">
        <w:r>
          <w:rPr>
            <w:rFonts w:ascii="Arial"/>
            <w:color w:val="151515"/>
            <w:w w:val="110"/>
            <w:sz w:val="16"/>
          </w:rPr>
          <w:t>obchod@axes.cz</w:t>
        </w:r>
      </w:hyperlink>
    </w:p>
    <w:p>
      <w:pPr>
        <w:pStyle w:val="BodyText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Heading4"/>
        <w:ind w:left="1666"/>
        <w:jc w:val="left"/>
      </w:pPr>
      <w:r>
        <w:rPr>
          <w:color w:val="151515"/>
        </w:rPr>
        <w:t>C O M P U T E </w:t>
      </w:r>
      <w:r>
        <w:rPr>
          <w:color w:val="525252"/>
        </w:rPr>
        <w:t>R S</w:t>
      </w:r>
    </w:p>
    <w:p>
      <w:pPr>
        <w:spacing w:after="0"/>
        <w:jc w:val="left"/>
        <w:sectPr>
          <w:type w:val="continuous"/>
          <w:pgSz w:w="11910" w:h="16840"/>
          <w:pgMar w:top="1580" w:bottom="280" w:left="0" w:right="0"/>
          <w:cols w:num="2" w:equalWidth="0">
            <w:col w:w="3657" w:space="3173"/>
            <w:col w:w="5080"/>
          </w:cols>
        </w:sect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91"/>
        <w:ind w:left="1676" w:right="0" w:firstLine="0"/>
        <w:jc w:val="left"/>
        <w:rPr>
          <w:rFonts w:ascii="Arial" w:hAnsi="Arial"/>
          <w:b/>
          <w:sz w:val="27"/>
        </w:rPr>
      </w:pPr>
      <w:r>
        <w:rPr/>
        <w:pict>
          <v:shape style="position:absolute;margin-left:421.481201pt;margin-top:-87.937149pt;width:121.35pt;height:74.850pt;mso-position-horizontal-relative:page;mso-position-vertical-relative:paragraph;z-index:-16096" type="#_x0000_t202" filled="false" stroked="false">
            <v:textbox inset="0,0,0,0">
              <w:txbxContent>
                <w:p>
                  <w:pPr>
                    <w:spacing w:line="1496" w:lineRule="exact" w:before="0"/>
                    <w:ind w:left="0" w:right="0" w:firstLine="0"/>
                    <w:jc w:val="left"/>
                    <w:rPr>
                      <w:b/>
                      <w:sz w:val="135"/>
                    </w:rPr>
                  </w:pPr>
                  <w:r>
                    <w:rPr>
                      <w:b/>
                      <w:color w:val="151515"/>
                      <w:sz w:val="135"/>
                    </w:rPr>
                    <w:t>ares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151515"/>
          <w:sz w:val="27"/>
        </w:rPr>
        <w:t>TECHNICKÉ ŘEŠENÍ</w:t>
      </w:r>
    </w:p>
    <w:p>
      <w:pPr>
        <w:pStyle w:val="BodyText"/>
        <w:spacing w:before="8"/>
        <w:rPr>
          <w:rFonts w:ascii="Arial"/>
          <w:b/>
          <w:sz w:val="43"/>
        </w:rPr>
      </w:pPr>
    </w:p>
    <w:p>
      <w:pPr>
        <w:spacing w:before="0"/>
        <w:ind w:left="1683" w:right="0" w:firstLine="0"/>
        <w:jc w:val="left"/>
        <w:rPr>
          <w:sz w:val="24"/>
        </w:rPr>
      </w:pPr>
      <w:r>
        <w:rPr>
          <w:color w:val="151515"/>
          <w:sz w:val="24"/>
        </w:rPr>
        <w:t>Počítač</w:t>
      </w:r>
    </w:p>
    <w:p>
      <w:pPr>
        <w:pStyle w:val="BodyText"/>
        <w:spacing w:before="4"/>
        <w:rPr>
          <w:sz w:val="36"/>
        </w:rPr>
      </w:pPr>
    </w:p>
    <w:p>
      <w:pPr>
        <w:spacing w:before="0"/>
        <w:ind w:left="166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51515"/>
          <w:sz w:val="18"/>
        </w:rPr>
        <w:t>HP ProDesk 400 G4 MT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before="0"/>
        <w:ind w:left="167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151515"/>
          <w:w w:val="110"/>
          <w:sz w:val="16"/>
        </w:rPr>
        <w:t>Operační systém: Windows 10 Pro 64-bit (obsahuje USB instalační médium)</w:t>
      </w:r>
    </w:p>
    <w:p>
      <w:pPr>
        <w:spacing w:before="38"/>
        <w:ind w:left="1669" w:right="0" w:firstLine="0"/>
        <w:jc w:val="left"/>
        <w:rPr>
          <w:rFonts w:ascii="Arial"/>
          <w:sz w:val="16"/>
        </w:rPr>
      </w:pPr>
      <w:r>
        <w:rPr>
          <w:rFonts w:ascii="Arial"/>
          <w:b/>
          <w:color w:val="151515"/>
          <w:w w:val="105"/>
          <w:sz w:val="18"/>
        </w:rPr>
        <w:t>Procesor: </w:t>
      </w:r>
      <w:r>
        <w:rPr>
          <w:rFonts w:ascii="Arial"/>
          <w:color w:val="151515"/>
          <w:w w:val="105"/>
          <w:sz w:val="16"/>
        </w:rPr>
        <w:t>Intel Care iS-7500 Processor (6M Cache, up to 3.80 GHz)</w:t>
      </w:r>
    </w:p>
    <w:p>
      <w:pPr>
        <w:spacing w:before="33"/>
        <w:ind w:left="1669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b/>
          <w:color w:val="151515"/>
          <w:sz w:val="18"/>
        </w:rPr>
        <w:t>Čipová sada: </w:t>
      </w:r>
      <w:r>
        <w:rPr>
          <w:rFonts w:ascii="Arial" w:hAnsi="Arial"/>
          <w:color w:val="151515"/>
          <w:sz w:val="16"/>
        </w:rPr>
        <w:t>Intel"' H270</w:t>
      </w:r>
    </w:p>
    <w:p>
      <w:pPr>
        <w:pStyle w:val="BodyText"/>
        <w:spacing w:before="10"/>
        <w:rPr>
          <w:rFonts w:ascii="Arial"/>
          <w:sz w:val="25"/>
        </w:rPr>
      </w:pPr>
    </w:p>
    <w:p>
      <w:pPr>
        <w:spacing w:before="0"/>
        <w:ind w:left="1669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b/>
          <w:color w:val="151515"/>
          <w:sz w:val="18"/>
        </w:rPr>
        <w:t>Paměť: </w:t>
      </w:r>
      <w:r>
        <w:rPr>
          <w:rFonts w:ascii="Arial" w:hAnsi="Arial"/>
          <w:b/>
          <w:color w:val="151515"/>
          <w:sz w:val="17"/>
        </w:rPr>
        <w:t>8 </w:t>
      </w:r>
      <w:r>
        <w:rPr>
          <w:rFonts w:ascii="Arial" w:hAnsi="Arial"/>
          <w:color w:val="151515"/>
          <w:sz w:val="17"/>
        </w:rPr>
        <w:t>GB </w:t>
      </w:r>
      <w:r>
        <w:rPr>
          <w:rFonts w:ascii="Arial" w:hAnsi="Arial"/>
          <w:color w:val="151515"/>
          <w:sz w:val="16"/>
        </w:rPr>
        <w:t>DDR4-2400 MHz</w:t>
      </w:r>
    </w:p>
    <w:p>
      <w:pPr>
        <w:pStyle w:val="BodyText"/>
        <w:spacing w:before="9"/>
        <w:rPr>
          <w:rFonts w:ascii="Arial"/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1670" w:val="left" w:leader="none"/>
          <w:tab w:pos="1671" w:val="left" w:leader="none"/>
        </w:tabs>
        <w:spacing w:line="240" w:lineRule="auto" w:before="0" w:after="0"/>
        <w:ind w:left="1670" w:right="0" w:hanging="352"/>
        <w:jc w:val="left"/>
        <w:rPr>
          <w:rFonts w:ascii="Arial" w:hAnsi="Arial"/>
          <w:color w:val="151515"/>
          <w:sz w:val="16"/>
        </w:rPr>
      </w:pPr>
      <w:r>
        <w:rPr>
          <w:rFonts w:ascii="Arial" w:hAnsi="Arial"/>
          <w:color w:val="151515"/>
          <w:w w:val="110"/>
          <w:sz w:val="16"/>
        </w:rPr>
        <w:t>Maximální velikost: 32</w:t>
      </w:r>
      <w:r>
        <w:rPr>
          <w:rFonts w:ascii="Arial" w:hAnsi="Arial"/>
          <w:color w:val="151515"/>
          <w:spacing w:val="-10"/>
          <w:w w:val="110"/>
          <w:sz w:val="16"/>
        </w:rPr>
        <w:t> </w:t>
      </w:r>
      <w:r>
        <w:rPr>
          <w:rFonts w:ascii="Arial" w:hAnsi="Arial"/>
          <w:color w:val="151515"/>
          <w:w w:val="110"/>
          <w:sz w:val="16"/>
        </w:rPr>
        <w:t>GB</w:t>
      </w:r>
    </w:p>
    <w:p>
      <w:pPr>
        <w:pStyle w:val="ListParagraph"/>
        <w:numPr>
          <w:ilvl w:val="0"/>
          <w:numId w:val="10"/>
        </w:numPr>
        <w:tabs>
          <w:tab w:pos="1670" w:val="left" w:leader="none"/>
          <w:tab w:pos="1671" w:val="left" w:leader="none"/>
        </w:tabs>
        <w:spacing w:line="240" w:lineRule="auto" w:before="61" w:after="0"/>
        <w:ind w:left="1670" w:right="0" w:hanging="347"/>
        <w:jc w:val="left"/>
        <w:rPr>
          <w:rFonts w:ascii="Arial" w:hAnsi="Arial"/>
          <w:color w:val="151515"/>
          <w:sz w:val="16"/>
        </w:rPr>
      </w:pPr>
      <w:r>
        <w:rPr>
          <w:rFonts w:ascii="Arial" w:hAnsi="Arial"/>
          <w:color w:val="151515"/>
          <w:w w:val="110"/>
          <w:sz w:val="16"/>
        </w:rPr>
        <w:t>Počet slotů (Celkem/ Volné):</w:t>
      </w:r>
      <w:r>
        <w:rPr>
          <w:rFonts w:ascii="Arial" w:hAnsi="Arial"/>
          <w:color w:val="151515"/>
          <w:spacing w:val="-11"/>
          <w:w w:val="110"/>
          <w:sz w:val="16"/>
        </w:rPr>
        <w:t> </w:t>
      </w:r>
      <w:r>
        <w:rPr>
          <w:rFonts w:ascii="Arial" w:hAnsi="Arial"/>
          <w:color w:val="151515"/>
          <w:w w:val="110"/>
          <w:sz w:val="16"/>
        </w:rPr>
        <w:t>2/1</w:t>
      </w:r>
    </w:p>
    <w:p>
      <w:pPr>
        <w:pStyle w:val="BodyText"/>
        <w:spacing w:before="9"/>
        <w:rPr>
          <w:rFonts w:ascii="Arial"/>
          <w:sz w:val="25"/>
        </w:rPr>
      </w:pPr>
    </w:p>
    <w:p>
      <w:pPr>
        <w:spacing w:before="1"/>
        <w:ind w:left="1664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b/>
          <w:color w:val="151515"/>
          <w:sz w:val="18"/>
        </w:rPr>
        <w:t>Pevný disk: </w:t>
      </w:r>
      <w:r>
        <w:rPr>
          <w:rFonts w:ascii="Arial" w:hAnsi="Arial"/>
          <w:color w:val="151515"/>
          <w:sz w:val="16"/>
        </w:rPr>
        <w:t>1 TB HDD 7200 rpm</w:t>
      </w:r>
    </w:p>
    <w:p>
      <w:pPr>
        <w:spacing w:before="28"/>
        <w:ind w:left="167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b/>
          <w:color w:val="151515"/>
          <w:sz w:val="18"/>
        </w:rPr>
        <w:t>Optická mechanika: </w:t>
      </w:r>
      <w:r>
        <w:rPr>
          <w:rFonts w:ascii="Arial" w:hAnsi="Arial"/>
          <w:color w:val="151515"/>
          <w:sz w:val="16"/>
        </w:rPr>
        <w:t>DVD-RW</w:t>
      </w:r>
    </w:p>
    <w:p>
      <w:pPr>
        <w:spacing w:before="29"/>
        <w:ind w:left="1664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b/>
          <w:color w:val="151515"/>
          <w:w w:val="105"/>
          <w:sz w:val="18"/>
        </w:rPr>
        <w:t>Grafická karta: </w:t>
      </w:r>
      <w:r>
        <w:rPr>
          <w:rFonts w:ascii="Arial" w:hAnsi="Arial"/>
          <w:color w:val="151515"/>
          <w:w w:val="105"/>
          <w:sz w:val="16"/>
        </w:rPr>
        <w:t>Intel HO Graphics 630, podporuje 1 GB grafické paměti (alokovaná dynamicky)</w:t>
      </w:r>
    </w:p>
    <w:p>
      <w:pPr>
        <w:pStyle w:val="BodyText"/>
        <w:spacing w:before="7"/>
        <w:rPr>
          <w:rFonts w:ascii="Arial"/>
          <w:sz w:val="26"/>
        </w:rPr>
      </w:pPr>
    </w:p>
    <w:p>
      <w:pPr>
        <w:spacing w:before="0"/>
        <w:ind w:left="166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151515"/>
          <w:w w:val="105"/>
          <w:sz w:val="16"/>
        </w:rPr>
        <w:t>Síť: LAN 10/100/1000</w:t>
      </w:r>
    </w:p>
    <w:p>
      <w:pPr>
        <w:spacing w:before="23"/>
        <w:ind w:left="166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51515"/>
          <w:sz w:val="18"/>
        </w:rPr>
        <w:t>Konektory (celkem):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672" w:val="left" w:leader="none"/>
          <w:tab w:pos="1673" w:val="left" w:leader="none"/>
        </w:tabs>
        <w:spacing w:line="256" w:lineRule="exact" w:before="1" w:after="0"/>
        <w:ind w:left="1672" w:right="0" w:hanging="363"/>
        <w:jc w:val="left"/>
        <w:rPr>
          <w:rFonts w:ascii="Arial"/>
          <w:color w:val="151515"/>
          <w:sz w:val="24"/>
        </w:rPr>
      </w:pPr>
      <w:r>
        <w:rPr>
          <w:rFonts w:ascii="Arial"/>
          <w:color w:val="151515"/>
          <w:w w:val="110"/>
          <w:sz w:val="16"/>
        </w:rPr>
        <w:t>lx audio out</w:t>
      </w:r>
      <w:r>
        <w:rPr>
          <w:rFonts w:ascii="Arial"/>
          <w:color w:val="151515"/>
          <w:spacing w:val="5"/>
          <w:w w:val="110"/>
          <w:sz w:val="16"/>
        </w:rPr>
        <w:t> </w:t>
      </w:r>
      <w:r>
        <w:rPr>
          <w:rFonts w:ascii="Arial"/>
          <w:color w:val="151515"/>
          <w:w w:val="110"/>
          <w:sz w:val="16"/>
        </w:rPr>
        <w:t>connector</w:t>
      </w:r>
    </w:p>
    <w:p>
      <w:pPr>
        <w:pStyle w:val="ListParagraph"/>
        <w:numPr>
          <w:ilvl w:val="0"/>
          <w:numId w:val="10"/>
        </w:numPr>
        <w:tabs>
          <w:tab w:pos="1667" w:val="left" w:leader="none"/>
          <w:tab w:pos="1668" w:val="left" w:leader="none"/>
        </w:tabs>
        <w:spacing w:line="252" w:lineRule="exact" w:before="0" w:after="0"/>
        <w:ind w:left="1667" w:right="0" w:hanging="354"/>
        <w:jc w:val="left"/>
        <w:rPr>
          <w:rFonts w:ascii="Arial"/>
          <w:color w:val="2B2B2B"/>
          <w:sz w:val="26"/>
        </w:rPr>
      </w:pPr>
      <w:r>
        <w:rPr>
          <w:rFonts w:ascii="Arial"/>
          <w:color w:val="151515"/>
          <w:w w:val="110"/>
          <w:sz w:val="16"/>
        </w:rPr>
        <w:t>lx</w:t>
      </w:r>
      <w:r>
        <w:rPr>
          <w:rFonts w:ascii="Arial"/>
          <w:color w:val="151515"/>
          <w:spacing w:val="45"/>
          <w:w w:val="110"/>
          <w:sz w:val="16"/>
        </w:rPr>
        <w:t> </w:t>
      </w:r>
      <w:r>
        <w:rPr>
          <w:rFonts w:ascii="Arial"/>
          <w:color w:val="151515"/>
          <w:w w:val="110"/>
          <w:sz w:val="16"/>
        </w:rPr>
        <w:t>DisplayPort</w:t>
      </w:r>
    </w:p>
    <w:p>
      <w:pPr>
        <w:pStyle w:val="ListParagraph"/>
        <w:numPr>
          <w:ilvl w:val="0"/>
          <w:numId w:val="10"/>
        </w:numPr>
        <w:tabs>
          <w:tab w:pos="1667" w:val="left" w:leader="none"/>
          <w:tab w:pos="1668" w:val="left" w:leader="none"/>
        </w:tabs>
        <w:spacing w:line="231" w:lineRule="exact" w:before="0" w:after="0"/>
        <w:ind w:left="1667" w:right="0" w:hanging="354"/>
        <w:jc w:val="left"/>
        <w:rPr>
          <w:rFonts w:ascii="Arial"/>
          <w:color w:val="151515"/>
          <w:sz w:val="26"/>
        </w:rPr>
      </w:pPr>
      <w:r>
        <w:rPr>
          <w:rFonts w:ascii="Arial"/>
          <w:color w:val="151515"/>
          <w:sz w:val="16"/>
        </w:rPr>
        <w:t>lx</w:t>
      </w:r>
      <w:r>
        <w:rPr>
          <w:rFonts w:ascii="Arial"/>
          <w:color w:val="151515"/>
          <w:spacing w:val="11"/>
          <w:sz w:val="16"/>
        </w:rPr>
        <w:t> </w:t>
      </w:r>
      <w:r>
        <w:rPr>
          <w:rFonts w:ascii="Arial"/>
          <w:color w:val="151515"/>
          <w:sz w:val="16"/>
        </w:rPr>
        <w:t>VGA</w:t>
      </w:r>
    </w:p>
    <w:p>
      <w:pPr>
        <w:pStyle w:val="ListParagraph"/>
        <w:numPr>
          <w:ilvl w:val="0"/>
          <w:numId w:val="11"/>
        </w:numPr>
        <w:tabs>
          <w:tab w:pos="1661" w:val="left" w:leader="none"/>
          <w:tab w:pos="1662" w:val="left" w:leader="none"/>
        </w:tabs>
        <w:spacing w:line="252" w:lineRule="exact" w:before="0" w:after="0"/>
        <w:ind w:left="1661" w:right="0" w:hanging="355"/>
        <w:jc w:val="left"/>
        <w:rPr>
          <w:rFonts w:ascii="Arial"/>
          <w:sz w:val="16"/>
        </w:rPr>
      </w:pPr>
      <w:r>
        <w:rPr>
          <w:rFonts w:ascii="Arial"/>
          <w:color w:val="151515"/>
          <w:sz w:val="16"/>
        </w:rPr>
        <w:t>4x USB</w:t>
      </w:r>
      <w:r>
        <w:rPr>
          <w:rFonts w:ascii="Arial"/>
          <w:color w:val="151515"/>
          <w:spacing w:val="-4"/>
          <w:sz w:val="16"/>
        </w:rPr>
        <w:t> </w:t>
      </w:r>
      <w:r>
        <w:rPr>
          <w:rFonts w:ascii="Arial"/>
          <w:color w:val="151515"/>
          <w:sz w:val="16"/>
        </w:rPr>
        <w:t>2.0</w:t>
      </w:r>
    </w:p>
    <w:p>
      <w:pPr>
        <w:pStyle w:val="ListParagraph"/>
        <w:numPr>
          <w:ilvl w:val="0"/>
          <w:numId w:val="12"/>
        </w:numPr>
        <w:tabs>
          <w:tab w:pos="1668" w:val="left" w:leader="none"/>
          <w:tab w:pos="1669" w:val="left" w:leader="none"/>
        </w:tabs>
        <w:spacing w:line="247" w:lineRule="exact" w:before="0" w:after="0"/>
        <w:ind w:left="1668" w:right="0" w:hanging="360"/>
        <w:jc w:val="left"/>
        <w:rPr>
          <w:rFonts w:ascii="Arial"/>
          <w:color w:val="151515"/>
          <w:sz w:val="26"/>
        </w:rPr>
      </w:pPr>
      <w:r>
        <w:rPr>
          <w:rFonts w:ascii="Arial"/>
          <w:color w:val="151515"/>
          <w:w w:val="105"/>
          <w:sz w:val="16"/>
        </w:rPr>
        <w:t>2x USB 3.1 Gen</w:t>
      </w:r>
      <w:r>
        <w:rPr>
          <w:rFonts w:ascii="Arial"/>
          <w:color w:val="151515"/>
          <w:spacing w:val="-34"/>
          <w:w w:val="105"/>
          <w:sz w:val="16"/>
        </w:rPr>
        <w:t> </w:t>
      </w:r>
      <w:r>
        <w:rPr>
          <w:rFonts w:ascii="Arial"/>
          <w:color w:val="151515"/>
          <w:w w:val="105"/>
          <w:sz w:val="16"/>
        </w:rPr>
        <w:t>1</w:t>
      </w:r>
    </w:p>
    <w:p>
      <w:pPr>
        <w:pStyle w:val="ListParagraph"/>
        <w:numPr>
          <w:ilvl w:val="0"/>
          <w:numId w:val="12"/>
        </w:numPr>
        <w:tabs>
          <w:tab w:pos="1667" w:val="left" w:leader="none"/>
          <w:tab w:pos="1668" w:val="left" w:leader="none"/>
        </w:tabs>
        <w:spacing w:line="248" w:lineRule="exact" w:before="0" w:after="0"/>
        <w:ind w:left="1667" w:right="0" w:hanging="359"/>
        <w:jc w:val="left"/>
        <w:rPr>
          <w:rFonts w:ascii="Arial"/>
          <w:color w:val="151515"/>
          <w:sz w:val="26"/>
        </w:rPr>
      </w:pPr>
      <w:r>
        <w:rPr>
          <w:rFonts w:ascii="Arial"/>
          <w:color w:val="151515"/>
          <w:w w:val="110"/>
          <w:sz w:val="16"/>
        </w:rPr>
        <w:t>lx audio in</w:t>
      </w:r>
      <w:r>
        <w:rPr>
          <w:rFonts w:ascii="Arial"/>
          <w:color w:val="151515"/>
          <w:spacing w:val="3"/>
          <w:w w:val="110"/>
          <w:sz w:val="16"/>
        </w:rPr>
        <w:t> </w:t>
      </w:r>
      <w:r>
        <w:rPr>
          <w:rFonts w:ascii="Arial"/>
          <w:color w:val="151515"/>
          <w:w w:val="110"/>
          <w:sz w:val="16"/>
        </w:rPr>
        <w:t>connector</w:t>
      </w:r>
    </w:p>
    <w:p>
      <w:pPr>
        <w:pStyle w:val="ListParagraph"/>
        <w:numPr>
          <w:ilvl w:val="0"/>
          <w:numId w:val="12"/>
        </w:numPr>
        <w:tabs>
          <w:tab w:pos="1667" w:val="left" w:leader="none"/>
          <w:tab w:pos="1668" w:val="left" w:leader="none"/>
        </w:tabs>
        <w:spacing w:line="240" w:lineRule="exact" w:before="0" w:after="0"/>
        <w:ind w:left="1667" w:right="0" w:hanging="350"/>
        <w:jc w:val="left"/>
        <w:rPr>
          <w:rFonts w:ascii="Arial"/>
          <w:color w:val="2B2B2B"/>
          <w:sz w:val="26"/>
        </w:rPr>
      </w:pPr>
      <w:r>
        <w:rPr>
          <w:rFonts w:ascii="Arial"/>
          <w:color w:val="151515"/>
          <w:w w:val="105"/>
          <w:sz w:val="16"/>
        </w:rPr>
        <w:t>lx</w:t>
      </w:r>
      <w:r>
        <w:rPr>
          <w:rFonts w:ascii="Arial"/>
          <w:color w:val="151515"/>
          <w:spacing w:val="1"/>
          <w:w w:val="105"/>
          <w:sz w:val="16"/>
        </w:rPr>
        <w:t> </w:t>
      </w:r>
      <w:r>
        <w:rPr>
          <w:rFonts w:ascii="Arial"/>
          <w:color w:val="151515"/>
          <w:w w:val="105"/>
          <w:sz w:val="16"/>
        </w:rPr>
        <w:t>RJ-45</w:t>
      </w:r>
    </w:p>
    <w:p>
      <w:pPr>
        <w:pStyle w:val="ListParagraph"/>
        <w:numPr>
          <w:ilvl w:val="0"/>
          <w:numId w:val="12"/>
        </w:numPr>
        <w:tabs>
          <w:tab w:pos="1662" w:val="left" w:leader="none"/>
          <w:tab w:pos="1663" w:val="left" w:leader="none"/>
        </w:tabs>
        <w:spacing w:line="270" w:lineRule="exact" w:before="0" w:after="0"/>
        <w:ind w:left="1662" w:right="0" w:hanging="349"/>
        <w:jc w:val="left"/>
        <w:rPr>
          <w:rFonts w:ascii="Arial"/>
          <w:color w:val="151515"/>
          <w:sz w:val="26"/>
        </w:rPr>
      </w:pPr>
      <w:r>
        <w:rPr>
          <w:rFonts w:ascii="Arial"/>
          <w:color w:val="151515"/>
          <w:w w:val="110"/>
          <w:sz w:val="16"/>
        </w:rPr>
        <w:t>lx power</w:t>
      </w:r>
      <w:r>
        <w:rPr>
          <w:rFonts w:ascii="Arial"/>
          <w:color w:val="151515"/>
          <w:spacing w:val="-7"/>
          <w:w w:val="110"/>
          <w:sz w:val="16"/>
        </w:rPr>
        <w:t> </w:t>
      </w:r>
      <w:r>
        <w:rPr>
          <w:rFonts w:ascii="Arial"/>
          <w:color w:val="151515"/>
          <w:w w:val="110"/>
          <w:sz w:val="16"/>
        </w:rPr>
        <w:t>connector</w:t>
      </w:r>
    </w:p>
    <w:p>
      <w:pPr>
        <w:pStyle w:val="BodyText"/>
        <w:spacing w:before="1"/>
        <w:rPr>
          <w:rFonts w:ascii="Arial"/>
        </w:rPr>
      </w:pPr>
    </w:p>
    <w:p>
      <w:pPr>
        <w:spacing w:line="314" w:lineRule="auto" w:before="0"/>
        <w:ind w:left="1660" w:right="7383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151515"/>
          <w:w w:val="110"/>
          <w:sz w:val="16"/>
        </w:rPr>
        <w:t>Přední konektory: 2x USB 3.1 Gen 1 Čtečka paměťových karet: Ne</w:t>
      </w:r>
    </w:p>
    <w:p>
      <w:pPr>
        <w:pStyle w:val="BodyText"/>
        <w:spacing w:before="3"/>
        <w:rPr>
          <w:rFonts w:ascii="Arial"/>
          <w:sz w:val="23"/>
        </w:rPr>
      </w:pPr>
    </w:p>
    <w:p>
      <w:pPr>
        <w:spacing w:line="283" w:lineRule="auto" w:before="0"/>
        <w:ind w:left="1665" w:right="7793" w:hanging="5"/>
        <w:jc w:val="left"/>
        <w:rPr>
          <w:rFonts w:ascii="Arial" w:hAnsi="Arial"/>
          <w:sz w:val="16"/>
        </w:rPr>
      </w:pPr>
      <w:r>
        <w:rPr>
          <w:rFonts w:ascii="Arial" w:hAnsi="Arial"/>
          <w:color w:val="151515"/>
          <w:w w:val="110"/>
          <w:sz w:val="16"/>
        </w:rPr>
        <w:t>Provedení (case): Mini tower Počet </w:t>
      </w:r>
      <w:r>
        <w:rPr>
          <w:rFonts w:ascii="Arial" w:hAnsi="Arial"/>
          <w:b/>
          <w:color w:val="151515"/>
          <w:w w:val="110"/>
          <w:sz w:val="18"/>
        </w:rPr>
        <w:t>pozic </w:t>
      </w:r>
      <w:r>
        <w:rPr>
          <w:rFonts w:ascii="Arial" w:hAnsi="Arial"/>
          <w:color w:val="151515"/>
          <w:w w:val="110"/>
          <w:sz w:val="16"/>
        </w:rPr>
        <w:t>3,5": 2x</w:t>
      </w:r>
    </w:p>
    <w:p>
      <w:pPr>
        <w:pStyle w:val="BodyText"/>
        <w:spacing w:before="1"/>
        <w:rPr>
          <w:rFonts w:ascii="Arial"/>
          <w:sz w:val="25"/>
        </w:rPr>
      </w:pPr>
    </w:p>
    <w:p>
      <w:pPr>
        <w:spacing w:before="0"/>
        <w:ind w:left="166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151515"/>
          <w:w w:val="110"/>
          <w:sz w:val="16"/>
        </w:rPr>
        <w:t>Rozměry: 170 x 338 x 274 mm</w:t>
      </w:r>
    </w:p>
    <w:p>
      <w:pPr>
        <w:pStyle w:val="BodyText"/>
        <w:rPr>
          <w:rFonts w:ascii="Arial"/>
          <w:sz w:val="18"/>
        </w:rPr>
      </w:pPr>
    </w:p>
    <w:p>
      <w:pPr>
        <w:spacing w:line="314" w:lineRule="auto" w:before="119"/>
        <w:ind w:left="1665" w:right="8162" w:hanging="6"/>
        <w:jc w:val="left"/>
        <w:rPr>
          <w:rFonts w:ascii="Arial" w:hAnsi="Arial"/>
          <w:sz w:val="16"/>
        </w:rPr>
      </w:pPr>
      <w:r>
        <w:rPr>
          <w:rFonts w:ascii="Arial" w:hAnsi="Arial"/>
          <w:color w:val="151515"/>
          <w:w w:val="110"/>
          <w:sz w:val="16"/>
        </w:rPr>
        <w:t>Hmotnost: 5.47 kg Napájení: adaptér 180 W</w:t>
      </w:r>
    </w:p>
    <w:p>
      <w:pPr>
        <w:pStyle w:val="BodyText"/>
        <w:spacing w:before="7"/>
        <w:rPr>
          <w:rFonts w:ascii="Arial"/>
          <w:sz w:val="23"/>
        </w:rPr>
      </w:pPr>
    </w:p>
    <w:p>
      <w:pPr>
        <w:spacing w:line="307" w:lineRule="auto" w:before="1"/>
        <w:ind w:left="1665" w:right="8267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151515"/>
          <w:w w:val="105"/>
          <w:sz w:val="16"/>
        </w:rPr>
        <w:t>Klávesice: USB česká Myš: USB</w:t>
      </w:r>
    </w:p>
    <w:p>
      <w:pPr>
        <w:pStyle w:val="BodyText"/>
        <w:spacing w:before="7"/>
        <w:rPr>
          <w:rFonts w:ascii="Arial"/>
          <w:sz w:val="24"/>
        </w:rPr>
      </w:pPr>
    </w:p>
    <w:p>
      <w:pPr>
        <w:spacing w:before="0"/>
        <w:ind w:left="166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151515"/>
          <w:sz w:val="16"/>
        </w:rPr>
        <w:t>Záruka: S let Next Business Day On-Site Service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1910" w:h="16840"/>
          <w:pgMar w:top="1580" w:bottom="280" w:left="0" w:right="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733" w:top="640" w:bottom="940" w:left="0" w:right="0"/>
        </w:sectPr>
      </w:pPr>
    </w:p>
    <w:p>
      <w:pPr>
        <w:pStyle w:val="BodyText"/>
        <w:spacing w:before="4"/>
        <w:rPr>
          <w:rFonts w:ascii="Arial"/>
          <w:sz w:val="18"/>
        </w:rPr>
      </w:pPr>
    </w:p>
    <w:p>
      <w:pPr>
        <w:spacing w:line="314" w:lineRule="auto" w:before="0"/>
        <w:ind w:left="1707" w:right="0" w:firstLine="3"/>
        <w:jc w:val="left"/>
        <w:rPr>
          <w:rFonts w:ascii="Arial" w:hAnsi="Arial"/>
          <w:sz w:val="17"/>
        </w:rPr>
      </w:pPr>
      <w:r>
        <w:rPr>
          <w:rFonts w:ascii="Arial" w:hAnsi="Arial"/>
          <w:b/>
          <w:color w:val="131313"/>
          <w:sz w:val="16"/>
        </w:rPr>
        <w:t>Axes Computers s.r.o. </w:t>
      </w:r>
      <w:r>
        <w:rPr>
          <w:rFonts w:ascii="Arial" w:hAnsi="Arial"/>
          <w:color w:val="131313"/>
          <w:sz w:val="17"/>
        </w:rPr>
        <w:t>Kollárova 1, 30100 Plzeň Tel.:377354111</w:t>
      </w:r>
    </w:p>
    <w:p>
      <w:pPr>
        <w:spacing w:line="183" w:lineRule="exact" w:before="0"/>
        <w:ind w:left="1712" w:right="0" w:firstLine="0"/>
        <w:jc w:val="left"/>
        <w:rPr>
          <w:rFonts w:ascii="Arial"/>
          <w:sz w:val="17"/>
        </w:rPr>
      </w:pPr>
      <w:hyperlink r:id="rId9">
        <w:r>
          <w:rPr>
            <w:rFonts w:ascii="Arial"/>
            <w:color w:val="131313"/>
            <w:w w:val="105"/>
            <w:sz w:val="17"/>
          </w:rPr>
          <w:t>Email.:obchod@axes.cz</w:t>
        </w:r>
      </w:hyperlink>
    </w:p>
    <w:p>
      <w:pPr>
        <w:pStyle w:val="BodyText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7"/>
        </w:rPr>
      </w:pPr>
    </w:p>
    <w:p>
      <w:pPr>
        <w:pStyle w:val="Heading4"/>
        <w:ind w:left="1707"/>
        <w:jc w:val="left"/>
      </w:pPr>
      <w:r>
        <w:rPr>
          <w:color w:val="131313"/>
          <w:w w:val="155"/>
        </w:rPr>
        <w:t>COMPUTERS</w:t>
      </w:r>
    </w:p>
    <w:p>
      <w:pPr>
        <w:spacing w:after="0"/>
        <w:jc w:val="left"/>
        <w:sectPr>
          <w:type w:val="continuous"/>
          <w:pgSz w:w="11910" w:h="16840"/>
          <w:pgMar w:top="1580" w:bottom="280" w:left="0" w:right="0"/>
          <w:cols w:num="2" w:equalWidth="0">
            <w:col w:w="3691" w:space="3150"/>
            <w:col w:w="5069"/>
          </w:cols>
        </w:sectPr>
      </w:pPr>
    </w:p>
    <w:p>
      <w:pPr>
        <w:pStyle w:val="BodyText"/>
        <w:spacing w:before="6"/>
        <w:rPr>
          <w:b/>
          <w:sz w:val="20"/>
        </w:rPr>
      </w:pPr>
      <w:r>
        <w:rPr/>
        <w:pict>
          <v:line style="position:absolute;mso-position-horizontal-relative:page;mso-position-vertical-relative:page;z-index:1504" from="11.778969pt,797.709106pt" to="11.778969pt,841.680051pt" stroked="true" strokeweight=".480774pt" strokecolor="#000000">
            <v:stroke dashstyle="solid"/>
            <w10:wrap type="none"/>
          </v:line>
        </w:pict>
      </w:r>
    </w:p>
    <w:p>
      <w:pPr>
        <w:spacing w:before="94"/>
        <w:ind w:left="1715" w:right="0" w:firstLine="0"/>
        <w:jc w:val="left"/>
        <w:rPr>
          <w:rFonts w:ascii="Arial"/>
          <w:sz w:val="21"/>
        </w:rPr>
      </w:pPr>
      <w:r>
        <w:rPr/>
        <w:pict>
          <v:shape style="position:absolute;margin-left:423.426788pt;margin-top:-88.473106pt;width:117.05pt;height:74.3pt;mso-position-horizontal-relative:page;mso-position-vertical-relative:paragraph;z-index:-15976" type="#_x0000_t202" filled="false" stroked="false">
            <v:textbox inset="0,0,0,0">
              <w:txbxContent>
                <w:p>
                  <w:pPr>
                    <w:spacing w:line="1485" w:lineRule="exact" w:before="0"/>
                    <w:ind w:left="0" w:right="0" w:firstLine="0"/>
                    <w:jc w:val="left"/>
                    <w:rPr>
                      <w:b/>
                      <w:sz w:val="134"/>
                    </w:rPr>
                  </w:pPr>
                  <w:r>
                    <w:rPr>
                      <w:b/>
                      <w:color w:val="131313"/>
                      <w:w w:val="95"/>
                      <w:sz w:val="134"/>
                    </w:rPr>
                    <w:t>are</w:t>
                  </w:r>
                  <w:r>
                    <w:rPr>
                      <w:b/>
                      <w:color w:val="2F2F2F"/>
                      <w:w w:val="95"/>
                      <w:sz w:val="13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31313"/>
          <w:w w:val="120"/>
          <w:sz w:val="21"/>
        </w:rPr>
        <w:t>Monitor</w:t>
      </w:r>
    </w:p>
    <w:p>
      <w:pPr>
        <w:pStyle w:val="BodyText"/>
        <w:rPr>
          <w:rFonts w:ascii="Arial"/>
        </w:rPr>
      </w:pPr>
    </w:p>
    <w:p>
      <w:pPr>
        <w:spacing w:before="168"/>
        <w:ind w:left="1711" w:right="0" w:firstLine="0"/>
        <w:jc w:val="left"/>
        <w:rPr>
          <w:rFonts w:ascii="Arial"/>
          <w:sz w:val="18"/>
        </w:rPr>
      </w:pPr>
      <w:r>
        <w:rPr>
          <w:rFonts w:ascii="Arial"/>
          <w:color w:val="131313"/>
          <w:w w:val="105"/>
          <w:sz w:val="18"/>
        </w:rPr>
        <w:t>HP E243i</w:t>
      </w:r>
    </w:p>
    <w:p>
      <w:pPr>
        <w:pStyle w:val="BodyText"/>
        <w:spacing w:before="8"/>
        <w:rPr>
          <w:rFonts w:ascii="Arial"/>
          <w:sz w:val="28"/>
        </w:rPr>
      </w:pPr>
    </w:p>
    <w:p>
      <w:pPr>
        <w:spacing w:line="292" w:lineRule="auto" w:before="1"/>
        <w:ind w:left="1717" w:right="8162" w:hanging="6"/>
        <w:jc w:val="left"/>
        <w:rPr>
          <w:rFonts w:ascii="Arial" w:hAnsi="Arial"/>
          <w:sz w:val="17"/>
        </w:rPr>
      </w:pPr>
      <w:r>
        <w:rPr>
          <w:rFonts w:ascii="Arial" w:hAnsi="Arial"/>
          <w:color w:val="131313"/>
          <w:sz w:val="17"/>
        </w:rPr>
        <w:t>Typ obrazovky: IPS Podsvícení: LED úhlopříčka [palce}: 24</w:t>
      </w:r>
    </w:p>
    <w:p>
      <w:pPr>
        <w:spacing w:line="295" w:lineRule="auto" w:before="0"/>
        <w:ind w:left="1717" w:right="7793" w:firstLine="4"/>
        <w:jc w:val="left"/>
        <w:rPr>
          <w:rFonts w:ascii="Arial" w:hAnsi="Arial"/>
          <w:sz w:val="17"/>
        </w:rPr>
      </w:pPr>
      <w:r>
        <w:rPr>
          <w:rFonts w:ascii="Arial" w:hAnsi="Arial"/>
          <w:color w:val="131313"/>
          <w:sz w:val="17"/>
        </w:rPr>
        <w:t>Rozlišení: 1920 </w:t>
      </w:r>
      <w:r>
        <w:rPr>
          <w:rFonts w:ascii="Arial" w:hAnsi="Arial"/>
          <w:color w:val="131313"/>
          <w:sz w:val="16"/>
        </w:rPr>
        <w:t>x </w:t>
      </w:r>
      <w:r>
        <w:rPr>
          <w:rFonts w:ascii="Arial" w:hAnsi="Arial"/>
          <w:color w:val="131313"/>
          <w:sz w:val="17"/>
        </w:rPr>
        <w:t>1200 </w:t>
      </w:r>
      <w:r>
        <w:rPr>
          <w:color w:val="131313"/>
          <w:sz w:val="16"/>
        </w:rPr>
        <w:t>@ </w:t>
      </w:r>
      <w:r>
        <w:rPr>
          <w:rFonts w:ascii="Arial" w:hAnsi="Arial"/>
          <w:color w:val="131313"/>
          <w:sz w:val="16"/>
        </w:rPr>
        <w:t>60Hz </w:t>
      </w:r>
      <w:r>
        <w:rPr>
          <w:rFonts w:ascii="Arial" w:hAnsi="Arial"/>
          <w:color w:val="131313"/>
          <w:sz w:val="17"/>
        </w:rPr>
        <w:t>Rozteč bodu  [mm]:  0,27 Poměr stran:</w:t>
      </w:r>
      <w:r>
        <w:rPr>
          <w:rFonts w:ascii="Arial" w:hAnsi="Arial"/>
          <w:color w:val="131313"/>
          <w:spacing w:val="-9"/>
          <w:sz w:val="17"/>
        </w:rPr>
        <w:t> </w:t>
      </w:r>
      <w:r>
        <w:rPr>
          <w:rFonts w:ascii="Arial" w:hAnsi="Arial"/>
          <w:color w:val="131313"/>
          <w:sz w:val="17"/>
        </w:rPr>
        <w:t>16:10</w:t>
      </w:r>
    </w:p>
    <w:p>
      <w:pPr>
        <w:spacing w:line="295" w:lineRule="auto" w:before="0"/>
        <w:ind w:left="1711" w:right="7966" w:firstLine="10"/>
        <w:jc w:val="left"/>
        <w:rPr>
          <w:rFonts w:ascii="Arial" w:hAnsi="Arial"/>
          <w:sz w:val="17"/>
        </w:rPr>
      </w:pPr>
      <w:r>
        <w:rPr>
          <w:rFonts w:ascii="Arial" w:hAnsi="Arial"/>
          <w:color w:val="131313"/>
          <w:w w:val="105"/>
          <w:sz w:val="17"/>
        </w:rPr>
        <w:t>Povrch displeje: Antireflexní Jas [cd/mZ]: 300</w:t>
      </w:r>
    </w:p>
    <w:p>
      <w:pPr>
        <w:spacing w:line="190" w:lineRule="exact" w:before="0"/>
        <w:ind w:left="1723" w:right="0" w:firstLine="0"/>
        <w:jc w:val="left"/>
        <w:rPr>
          <w:rFonts w:ascii="Arial"/>
          <w:sz w:val="16"/>
        </w:rPr>
      </w:pPr>
      <w:r>
        <w:rPr/>
        <w:pict>
          <v:line style="position:absolute;mso-position-horizontal-relative:page;mso-position-vertical-relative:paragraph;z-index:1432" from="3.605807pt,53.367714pt" to="3.605807pt,9.15733pt" stroked="true" strokeweight=".961549pt" strokecolor="#000000">
            <v:stroke dashstyle="solid"/>
            <w10:wrap type="none"/>
          </v:line>
        </w:pict>
      </w:r>
      <w:r>
        <w:rPr>
          <w:rFonts w:ascii="Arial"/>
          <w:color w:val="131313"/>
          <w:w w:val="110"/>
          <w:sz w:val="17"/>
        </w:rPr>
        <w:t>Kontrast: </w:t>
      </w:r>
      <w:r>
        <w:rPr>
          <w:rFonts w:ascii="Arial"/>
          <w:color w:val="131313"/>
          <w:w w:val="110"/>
          <w:sz w:val="16"/>
        </w:rPr>
        <w:t>1000:1</w:t>
      </w:r>
    </w:p>
    <w:p>
      <w:pPr>
        <w:spacing w:before="25"/>
        <w:ind w:left="1722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131313"/>
          <w:w w:val="105"/>
          <w:sz w:val="17"/>
        </w:rPr>
        <w:t>Dynamický kontrast: 5000000:1</w:t>
      </w:r>
    </w:p>
    <w:p>
      <w:pPr>
        <w:spacing w:before="32"/>
        <w:ind w:left="1722" w:right="0" w:firstLine="0"/>
        <w:jc w:val="left"/>
        <w:rPr>
          <w:rFonts w:ascii="Arial"/>
          <w:sz w:val="16"/>
        </w:rPr>
      </w:pPr>
      <w:r>
        <w:rPr>
          <w:rFonts w:ascii="Arial"/>
          <w:color w:val="131313"/>
          <w:sz w:val="17"/>
        </w:rPr>
        <w:t>Odezva </w:t>
      </w:r>
      <w:r>
        <w:rPr>
          <w:color w:val="131313"/>
          <w:sz w:val="18"/>
        </w:rPr>
        <w:t>[ms}: </w:t>
      </w:r>
      <w:r>
        <w:rPr>
          <w:rFonts w:ascii="Arial"/>
          <w:color w:val="131313"/>
          <w:sz w:val="16"/>
        </w:rPr>
        <w:t>5</w:t>
      </w:r>
    </w:p>
    <w:p>
      <w:pPr>
        <w:spacing w:before="9"/>
        <w:ind w:left="1723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b/>
          <w:color w:val="131313"/>
          <w:w w:val="105"/>
          <w:sz w:val="16"/>
        </w:rPr>
        <w:t>Pozorovací </w:t>
      </w:r>
      <w:r>
        <w:rPr>
          <w:b/>
          <w:color w:val="131313"/>
          <w:w w:val="105"/>
          <w:sz w:val="20"/>
        </w:rPr>
        <w:t>úhly </w:t>
      </w:r>
      <w:r>
        <w:rPr>
          <w:rFonts w:ascii="Arial" w:hAnsi="Arial"/>
          <w:b/>
          <w:color w:val="131313"/>
          <w:w w:val="105"/>
          <w:sz w:val="16"/>
        </w:rPr>
        <w:t>(Horizontál/Vertikál): </w:t>
      </w:r>
      <w:r>
        <w:rPr>
          <w:rFonts w:ascii="Arial" w:hAnsi="Arial"/>
          <w:color w:val="131313"/>
          <w:w w:val="105"/>
          <w:sz w:val="17"/>
        </w:rPr>
        <w:t>178/178</w:t>
      </w:r>
    </w:p>
    <w:p>
      <w:pPr>
        <w:pStyle w:val="BodyText"/>
        <w:spacing w:before="1"/>
        <w:rPr>
          <w:rFonts w:ascii="Arial"/>
          <w:sz w:val="27"/>
        </w:rPr>
      </w:pPr>
    </w:p>
    <w:p>
      <w:pPr>
        <w:spacing w:before="0"/>
        <w:ind w:left="172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131313"/>
          <w:w w:val="105"/>
          <w:sz w:val="16"/>
        </w:rPr>
        <w:t>Konektory:</w:t>
      </w:r>
    </w:p>
    <w:p>
      <w:pPr>
        <w:spacing w:line="273" w:lineRule="auto" w:before="34"/>
        <w:ind w:left="1730" w:right="9490" w:hanging="5"/>
        <w:jc w:val="left"/>
        <w:rPr>
          <w:sz w:val="18"/>
        </w:rPr>
      </w:pPr>
      <w:r>
        <w:rPr>
          <w:color w:val="131313"/>
          <w:sz w:val="18"/>
        </w:rPr>
        <w:t>lx VGA lx HDMI</w:t>
      </w:r>
    </w:p>
    <w:p>
      <w:pPr>
        <w:spacing w:before="3"/>
        <w:ind w:left="1725" w:right="0" w:firstLine="0"/>
        <w:jc w:val="left"/>
        <w:rPr>
          <w:rFonts w:ascii="Arial"/>
          <w:sz w:val="17"/>
        </w:rPr>
      </w:pPr>
      <w:r>
        <w:rPr>
          <w:color w:val="131313"/>
          <w:sz w:val="17"/>
        </w:rPr>
        <w:t>lx </w:t>
      </w:r>
      <w:r>
        <w:rPr>
          <w:rFonts w:ascii="Arial"/>
          <w:color w:val="131313"/>
          <w:sz w:val="17"/>
        </w:rPr>
        <w:t>DisplayPort</w:t>
      </w:r>
    </w:p>
    <w:p>
      <w:pPr>
        <w:spacing w:before="39"/>
        <w:ind w:left="1724" w:right="0" w:firstLine="0"/>
        <w:jc w:val="left"/>
        <w:rPr>
          <w:rFonts w:ascii="Arial"/>
          <w:sz w:val="17"/>
        </w:rPr>
      </w:pPr>
      <w:r>
        <w:rPr>
          <w:rFonts w:ascii="Arial"/>
          <w:color w:val="131313"/>
          <w:w w:val="105"/>
          <w:sz w:val="16"/>
        </w:rPr>
        <w:t>3x </w:t>
      </w:r>
      <w:r>
        <w:rPr>
          <w:rFonts w:ascii="Arial"/>
          <w:color w:val="131313"/>
          <w:w w:val="105"/>
          <w:sz w:val="17"/>
        </w:rPr>
        <w:t>USB3.0</w:t>
      </w:r>
    </w:p>
    <w:p>
      <w:pPr>
        <w:pStyle w:val="BodyText"/>
        <w:spacing w:before="7"/>
        <w:rPr>
          <w:rFonts w:ascii="Arial"/>
          <w:sz w:val="25"/>
        </w:rPr>
      </w:pPr>
    </w:p>
    <w:p>
      <w:pPr>
        <w:spacing w:before="0"/>
        <w:ind w:left="1719" w:right="0" w:firstLine="0"/>
        <w:jc w:val="left"/>
        <w:rPr>
          <w:rFonts w:ascii="Arial" w:hAnsi="Arial"/>
          <w:sz w:val="17"/>
        </w:rPr>
      </w:pPr>
      <w:r>
        <w:rPr/>
        <w:pict>
          <v:line style="position:absolute;mso-position-horizontal-relative:page;mso-position-vertical-relative:paragraph;z-index:1456" from="6.009678pt,71.885918pt" to="6.009678pt,1.72596pt" stroked="true" strokeweight=".480774pt" strokecolor="#000000">
            <v:stroke dashstyle="solid"/>
            <w10:wrap type="none"/>
          </v:line>
        </w:pict>
      </w:r>
      <w:r>
        <w:rPr>
          <w:rFonts w:ascii="Arial" w:hAnsi="Arial"/>
          <w:b/>
          <w:color w:val="131313"/>
          <w:w w:val="105"/>
          <w:sz w:val="16"/>
        </w:rPr>
        <w:t>Napájení: </w:t>
      </w:r>
      <w:r>
        <w:rPr>
          <w:rFonts w:ascii="Arial" w:hAnsi="Arial"/>
          <w:color w:val="131313"/>
          <w:w w:val="105"/>
          <w:sz w:val="17"/>
        </w:rPr>
        <w:t>100 až 240 V</w:t>
      </w:r>
    </w:p>
    <w:p>
      <w:pPr>
        <w:spacing w:before="35"/>
        <w:ind w:left="1725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b/>
          <w:color w:val="131313"/>
          <w:w w:val="105"/>
          <w:sz w:val="16"/>
        </w:rPr>
        <w:t>Spotřeba (W}: </w:t>
      </w:r>
      <w:r>
        <w:rPr>
          <w:rFonts w:ascii="Arial" w:hAnsi="Arial"/>
          <w:color w:val="131313"/>
          <w:w w:val="105"/>
          <w:sz w:val="17"/>
        </w:rPr>
        <w:t>35</w:t>
      </w:r>
    </w:p>
    <w:p>
      <w:pPr>
        <w:spacing w:before="17"/>
        <w:ind w:left="1720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b/>
          <w:color w:val="131313"/>
          <w:sz w:val="16"/>
        </w:rPr>
        <w:t>Stand </w:t>
      </w:r>
      <w:r>
        <w:rPr>
          <w:b/>
          <w:color w:val="131313"/>
          <w:sz w:val="19"/>
        </w:rPr>
        <w:t>By </w:t>
      </w:r>
      <w:r>
        <w:rPr>
          <w:rFonts w:ascii="Arial" w:hAnsi="Arial"/>
          <w:b/>
          <w:color w:val="131313"/>
          <w:sz w:val="16"/>
        </w:rPr>
        <w:t>režim </w:t>
      </w:r>
      <w:r>
        <w:rPr>
          <w:b/>
          <w:color w:val="131313"/>
          <w:sz w:val="19"/>
        </w:rPr>
        <w:t>(W]: </w:t>
      </w:r>
      <w:r>
        <w:rPr>
          <w:rFonts w:ascii="Arial" w:hAnsi="Arial"/>
          <w:color w:val="131313"/>
          <w:sz w:val="17"/>
        </w:rPr>
        <w:t>0</w:t>
      </w:r>
      <w:r>
        <w:rPr>
          <w:rFonts w:ascii="Arial" w:hAnsi="Arial"/>
          <w:color w:val="2F2F2F"/>
          <w:sz w:val="17"/>
        </w:rPr>
        <w:t>,</w:t>
      </w:r>
      <w:r>
        <w:rPr>
          <w:rFonts w:ascii="Arial" w:hAnsi="Arial"/>
          <w:color w:val="131313"/>
          <w:sz w:val="17"/>
        </w:rPr>
        <w:t>5</w:t>
      </w:r>
    </w:p>
    <w:p>
      <w:pPr>
        <w:pStyle w:val="BodyText"/>
        <w:rPr>
          <w:rFonts w:ascii="Arial"/>
          <w:sz w:val="24"/>
        </w:rPr>
      </w:pPr>
    </w:p>
    <w:p>
      <w:pPr>
        <w:spacing w:line="276" w:lineRule="auto" w:before="0"/>
        <w:ind w:left="1719" w:right="7634" w:firstLine="0"/>
        <w:jc w:val="left"/>
        <w:rPr>
          <w:rFonts w:ascii="Arial" w:hAnsi="Arial"/>
          <w:sz w:val="18"/>
        </w:rPr>
      </w:pPr>
      <w:r>
        <w:rPr>
          <w:rFonts w:ascii="Arial" w:hAnsi="Arial"/>
          <w:b/>
          <w:color w:val="131313"/>
          <w:w w:val="105"/>
          <w:sz w:val="16"/>
        </w:rPr>
        <w:t>Montáž</w:t>
      </w:r>
      <w:r>
        <w:rPr>
          <w:rFonts w:ascii="Arial" w:hAnsi="Arial"/>
          <w:b/>
          <w:color w:val="131313"/>
          <w:spacing w:val="-28"/>
          <w:w w:val="105"/>
          <w:sz w:val="16"/>
        </w:rPr>
        <w:t> </w:t>
      </w:r>
      <w:r>
        <w:rPr>
          <w:rFonts w:ascii="Arial" w:hAnsi="Arial"/>
          <w:b/>
          <w:color w:val="131313"/>
          <w:w w:val="105"/>
          <w:sz w:val="16"/>
        </w:rPr>
        <w:t>na</w:t>
      </w:r>
      <w:r>
        <w:rPr>
          <w:rFonts w:ascii="Arial" w:hAnsi="Arial"/>
          <w:b/>
          <w:color w:val="131313"/>
          <w:spacing w:val="-24"/>
          <w:w w:val="105"/>
          <w:sz w:val="16"/>
        </w:rPr>
        <w:t> </w:t>
      </w:r>
      <w:r>
        <w:rPr>
          <w:rFonts w:ascii="Arial" w:hAnsi="Arial"/>
          <w:b/>
          <w:color w:val="131313"/>
          <w:w w:val="105"/>
          <w:sz w:val="18"/>
        </w:rPr>
        <w:t>zed':</w:t>
      </w:r>
      <w:r>
        <w:rPr>
          <w:rFonts w:ascii="Arial" w:hAnsi="Arial"/>
          <w:b/>
          <w:color w:val="131313"/>
          <w:spacing w:val="-35"/>
          <w:w w:val="105"/>
          <w:sz w:val="18"/>
        </w:rPr>
        <w:t> </w:t>
      </w:r>
      <w:r>
        <w:rPr>
          <w:rFonts w:ascii="Arial" w:hAnsi="Arial"/>
          <w:color w:val="131313"/>
          <w:w w:val="105"/>
          <w:sz w:val="17"/>
        </w:rPr>
        <w:t>VESA</w:t>
      </w:r>
      <w:r>
        <w:rPr>
          <w:rFonts w:ascii="Arial" w:hAnsi="Arial"/>
          <w:color w:val="131313"/>
          <w:spacing w:val="-35"/>
          <w:w w:val="105"/>
          <w:sz w:val="17"/>
        </w:rPr>
        <w:t> </w:t>
      </w:r>
      <w:r>
        <w:rPr>
          <w:rFonts w:ascii="Arial" w:hAnsi="Arial"/>
          <w:color w:val="131313"/>
          <w:w w:val="105"/>
          <w:sz w:val="17"/>
        </w:rPr>
        <w:t>100</w:t>
      </w:r>
      <w:r>
        <w:rPr>
          <w:rFonts w:ascii="Arial" w:hAnsi="Arial"/>
          <w:color w:val="131313"/>
          <w:spacing w:val="-30"/>
          <w:w w:val="105"/>
          <w:sz w:val="17"/>
        </w:rPr>
        <w:t> </w:t>
      </w:r>
      <w:r>
        <w:rPr>
          <w:rFonts w:ascii="Arial" w:hAnsi="Arial"/>
          <w:color w:val="131313"/>
          <w:w w:val="105"/>
          <w:sz w:val="19"/>
        </w:rPr>
        <w:t>x</w:t>
      </w:r>
      <w:r>
        <w:rPr>
          <w:rFonts w:ascii="Arial" w:hAnsi="Arial"/>
          <w:color w:val="131313"/>
          <w:spacing w:val="-44"/>
          <w:w w:val="105"/>
          <w:sz w:val="19"/>
        </w:rPr>
        <w:t> </w:t>
      </w:r>
      <w:r>
        <w:rPr>
          <w:rFonts w:ascii="Arial" w:hAnsi="Arial"/>
          <w:color w:val="131313"/>
          <w:w w:val="105"/>
          <w:sz w:val="17"/>
        </w:rPr>
        <w:t>100 </w:t>
      </w:r>
      <w:r>
        <w:rPr>
          <w:rFonts w:ascii="Arial" w:hAnsi="Arial"/>
          <w:b/>
          <w:color w:val="131313"/>
          <w:w w:val="105"/>
          <w:sz w:val="16"/>
        </w:rPr>
        <w:t>Naklápění monitoru: </w:t>
      </w:r>
      <w:r>
        <w:rPr>
          <w:rFonts w:ascii="Arial" w:hAnsi="Arial"/>
          <w:color w:val="131313"/>
          <w:w w:val="105"/>
          <w:sz w:val="17"/>
        </w:rPr>
        <w:t>Ano </w:t>
      </w:r>
      <w:r>
        <w:rPr>
          <w:rFonts w:ascii="Arial" w:hAnsi="Arial"/>
          <w:b/>
          <w:color w:val="131313"/>
          <w:w w:val="105"/>
          <w:sz w:val="18"/>
        </w:rPr>
        <w:t>Barva:</w:t>
      </w:r>
      <w:r>
        <w:rPr>
          <w:rFonts w:ascii="Arial" w:hAnsi="Arial"/>
          <w:b/>
          <w:color w:val="131313"/>
          <w:spacing w:val="-11"/>
          <w:w w:val="105"/>
          <w:sz w:val="18"/>
        </w:rPr>
        <w:t> </w:t>
      </w:r>
      <w:r>
        <w:rPr>
          <w:rFonts w:ascii="Arial" w:hAnsi="Arial"/>
          <w:color w:val="131313"/>
          <w:w w:val="105"/>
          <w:sz w:val="18"/>
        </w:rPr>
        <w:t>černá</w:t>
      </w:r>
    </w:p>
    <w:p>
      <w:pPr>
        <w:spacing w:line="285" w:lineRule="auto" w:before="0"/>
        <w:ind w:left="1721" w:right="5134" w:firstLine="0"/>
        <w:jc w:val="left"/>
        <w:rPr>
          <w:rFonts w:ascii="Arial" w:hAnsi="Arial"/>
          <w:sz w:val="17"/>
        </w:rPr>
      </w:pPr>
      <w:r>
        <w:rPr>
          <w:rFonts w:ascii="Arial" w:hAnsi="Arial"/>
          <w:b/>
          <w:color w:val="131313"/>
          <w:w w:val="105"/>
          <w:sz w:val="18"/>
        </w:rPr>
        <w:t>Rozměry</w:t>
      </w:r>
      <w:r>
        <w:rPr>
          <w:rFonts w:ascii="Arial" w:hAnsi="Arial"/>
          <w:b/>
          <w:color w:val="131313"/>
          <w:spacing w:val="-32"/>
          <w:w w:val="105"/>
          <w:sz w:val="18"/>
        </w:rPr>
        <w:t> </w:t>
      </w:r>
      <w:r>
        <w:rPr>
          <w:rFonts w:ascii="Arial" w:hAnsi="Arial"/>
          <w:b/>
          <w:color w:val="131313"/>
          <w:w w:val="105"/>
          <w:sz w:val="16"/>
        </w:rPr>
        <w:t>(se</w:t>
      </w:r>
      <w:r>
        <w:rPr>
          <w:rFonts w:ascii="Arial" w:hAnsi="Arial"/>
          <w:b/>
          <w:color w:val="131313"/>
          <w:spacing w:val="-25"/>
          <w:w w:val="105"/>
          <w:sz w:val="16"/>
        </w:rPr>
        <w:t> </w:t>
      </w:r>
      <w:r>
        <w:rPr>
          <w:rFonts w:ascii="Arial" w:hAnsi="Arial"/>
          <w:b/>
          <w:color w:val="131313"/>
          <w:w w:val="105"/>
          <w:sz w:val="16"/>
        </w:rPr>
        <w:t>stojanem,</w:t>
      </w:r>
      <w:r>
        <w:rPr>
          <w:rFonts w:ascii="Arial" w:hAnsi="Arial"/>
          <w:b/>
          <w:color w:val="131313"/>
          <w:spacing w:val="-21"/>
          <w:w w:val="105"/>
          <w:sz w:val="16"/>
        </w:rPr>
        <w:t> </w:t>
      </w:r>
      <w:r>
        <w:rPr>
          <w:rFonts w:ascii="Arial" w:hAnsi="Arial"/>
          <w:b/>
          <w:color w:val="131313"/>
          <w:w w:val="105"/>
          <w:sz w:val="18"/>
        </w:rPr>
        <w:t>ŠxVxH</w:t>
      </w:r>
      <w:r>
        <w:rPr>
          <w:rFonts w:ascii="Arial" w:hAnsi="Arial"/>
          <w:b/>
          <w:color w:val="131313"/>
          <w:spacing w:val="-36"/>
          <w:w w:val="105"/>
          <w:sz w:val="18"/>
        </w:rPr>
        <w:t> </w:t>
      </w:r>
      <w:r>
        <w:rPr>
          <w:rFonts w:ascii="Arial" w:hAnsi="Arial"/>
          <w:color w:val="131313"/>
          <w:w w:val="105"/>
          <w:sz w:val="17"/>
        </w:rPr>
        <w:t>mm):</w:t>
      </w:r>
      <w:r>
        <w:rPr>
          <w:rFonts w:ascii="Arial" w:hAnsi="Arial"/>
          <w:color w:val="131313"/>
          <w:spacing w:val="-29"/>
          <w:w w:val="105"/>
          <w:sz w:val="17"/>
        </w:rPr>
        <w:t> </w:t>
      </w:r>
      <w:r>
        <w:rPr>
          <w:rFonts w:ascii="Arial" w:hAnsi="Arial"/>
          <w:color w:val="131313"/>
          <w:w w:val="105"/>
          <w:sz w:val="17"/>
        </w:rPr>
        <w:t>532</w:t>
      </w:r>
      <w:r>
        <w:rPr>
          <w:rFonts w:ascii="Arial" w:hAnsi="Arial"/>
          <w:color w:val="131313"/>
          <w:spacing w:val="-27"/>
          <w:w w:val="105"/>
          <w:sz w:val="17"/>
        </w:rPr>
        <w:t> </w:t>
      </w:r>
      <w:r>
        <w:rPr>
          <w:rFonts w:ascii="Arial" w:hAnsi="Arial"/>
          <w:color w:val="131313"/>
          <w:w w:val="105"/>
          <w:sz w:val="17"/>
        </w:rPr>
        <w:t>x</w:t>
      </w:r>
      <w:r>
        <w:rPr>
          <w:rFonts w:ascii="Arial" w:hAnsi="Arial"/>
          <w:color w:val="131313"/>
          <w:spacing w:val="-31"/>
          <w:w w:val="105"/>
          <w:sz w:val="17"/>
        </w:rPr>
        <w:t> </w:t>
      </w:r>
      <w:r>
        <w:rPr>
          <w:rFonts w:ascii="Arial" w:hAnsi="Arial"/>
          <w:color w:val="131313"/>
          <w:w w:val="105"/>
          <w:sz w:val="17"/>
        </w:rPr>
        <w:t>362,3</w:t>
      </w:r>
      <w:r>
        <w:rPr>
          <w:rFonts w:ascii="Arial" w:hAnsi="Arial"/>
          <w:color w:val="131313"/>
          <w:spacing w:val="-25"/>
          <w:w w:val="105"/>
          <w:sz w:val="17"/>
        </w:rPr>
        <w:t> </w:t>
      </w:r>
      <w:r>
        <w:rPr>
          <w:rFonts w:ascii="Arial" w:hAnsi="Arial"/>
          <w:color w:val="131313"/>
          <w:w w:val="105"/>
          <w:sz w:val="17"/>
        </w:rPr>
        <w:t>x</w:t>
      </w:r>
      <w:r>
        <w:rPr>
          <w:rFonts w:ascii="Arial" w:hAnsi="Arial"/>
          <w:color w:val="131313"/>
          <w:spacing w:val="-30"/>
          <w:w w:val="105"/>
          <w:sz w:val="17"/>
        </w:rPr>
        <w:t> </w:t>
      </w:r>
      <w:r>
        <w:rPr>
          <w:rFonts w:ascii="Arial" w:hAnsi="Arial"/>
          <w:color w:val="131313"/>
          <w:spacing w:val="-6"/>
          <w:w w:val="105"/>
          <w:sz w:val="17"/>
        </w:rPr>
        <w:t>213</w:t>
      </w:r>
      <w:r>
        <w:rPr>
          <w:rFonts w:ascii="Arial" w:hAnsi="Arial"/>
          <w:color w:val="2F2F2F"/>
          <w:spacing w:val="-6"/>
          <w:w w:val="105"/>
          <w:sz w:val="17"/>
        </w:rPr>
        <w:t>,</w:t>
      </w:r>
      <w:r>
        <w:rPr>
          <w:rFonts w:ascii="Arial" w:hAnsi="Arial"/>
          <w:color w:val="131313"/>
          <w:spacing w:val="-6"/>
          <w:w w:val="105"/>
          <w:sz w:val="17"/>
        </w:rPr>
        <w:t>9 </w:t>
      </w:r>
      <w:r>
        <w:rPr>
          <w:rFonts w:ascii="Arial" w:hAnsi="Arial"/>
          <w:color w:val="131313"/>
          <w:w w:val="105"/>
          <w:sz w:val="17"/>
        </w:rPr>
        <w:t>Rozměry (bez stojanu, ŠxVxH mm): 532 x 351,3 x 46,4 Hmotnost {kg}:</w:t>
      </w:r>
      <w:r>
        <w:rPr>
          <w:rFonts w:ascii="Arial" w:hAnsi="Arial"/>
          <w:color w:val="131313"/>
          <w:spacing w:val="-8"/>
          <w:w w:val="105"/>
          <w:sz w:val="17"/>
        </w:rPr>
        <w:t> </w:t>
      </w:r>
      <w:r>
        <w:rPr>
          <w:rFonts w:ascii="Arial" w:hAnsi="Arial"/>
          <w:color w:val="131313"/>
          <w:w w:val="105"/>
          <w:sz w:val="17"/>
        </w:rPr>
        <w:t>6,36</w:t>
      </w:r>
    </w:p>
    <w:p>
      <w:pPr>
        <w:pStyle w:val="BodyText"/>
        <w:spacing w:before="10"/>
        <w:rPr>
          <w:rFonts w:ascii="Arial"/>
          <w:sz w:val="23"/>
        </w:rPr>
      </w:pPr>
    </w:p>
    <w:p>
      <w:pPr>
        <w:spacing w:line="288" w:lineRule="auto" w:before="1"/>
        <w:ind w:left="1726" w:right="8811" w:hanging="4"/>
        <w:jc w:val="left"/>
        <w:rPr>
          <w:rFonts w:ascii="Arial" w:hAnsi="Arial"/>
          <w:sz w:val="17"/>
        </w:rPr>
      </w:pPr>
      <w:r>
        <w:rPr>
          <w:rFonts w:ascii="Arial" w:hAnsi="Arial"/>
          <w:b/>
          <w:color w:val="131313"/>
          <w:sz w:val="16"/>
        </w:rPr>
        <w:t>Obsah </w:t>
      </w:r>
      <w:r>
        <w:rPr>
          <w:rFonts w:ascii="Arial" w:hAnsi="Arial"/>
          <w:color w:val="131313"/>
          <w:sz w:val="17"/>
        </w:rPr>
        <w:t>balení: Monitor   Napájecí kabel VGA kabel DisplayPort kabel USB kabel</w:t>
      </w:r>
      <w:r>
        <w:rPr>
          <w:rFonts w:ascii="Arial" w:hAnsi="Arial"/>
          <w:color w:val="131313"/>
          <w:spacing w:val="-14"/>
          <w:sz w:val="17"/>
        </w:rPr>
        <w:t> </w:t>
      </w:r>
      <w:r>
        <w:rPr>
          <w:rFonts w:ascii="Arial" w:hAnsi="Arial"/>
          <w:color w:val="131313"/>
          <w:sz w:val="17"/>
        </w:rPr>
        <w:t>A-B</w:t>
      </w:r>
    </w:p>
    <w:p>
      <w:pPr>
        <w:spacing w:before="0"/>
        <w:ind w:left="1727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131313"/>
          <w:sz w:val="17"/>
        </w:rPr>
        <w:t>Disk </w:t>
      </w:r>
      <w:r>
        <w:rPr>
          <w:rFonts w:ascii="Arial" w:hAnsi="Arial"/>
          <w:color w:val="131313"/>
          <w:sz w:val="18"/>
        </w:rPr>
        <w:t>CD </w:t>
      </w:r>
      <w:r>
        <w:rPr>
          <w:rFonts w:ascii="Arial" w:hAnsi="Arial"/>
          <w:color w:val="131313"/>
          <w:sz w:val="17"/>
        </w:rPr>
        <w:t>(obsahuje uživatelskou príručku a ovladače)</w:t>
      </w:r>
    </w:p>
    <w:p>
      <w:pPr>
        <w:pStyle w:val="BodyText"/>
        <w:spacing w:before="2"/>
        <w:rPr>
          <w:rFonts w:ascii="Arial"/>
          <w:sz w:val="25"/>
        </w:rPr>
      </w:pPr>
    </w:p>
    <w:p>
      <w:pPr>
        <w:spacing w:before="0"/>
        <w:ind w:left="1728" w:right="0" w:firstLine="0"/>
        <w:jc w:val="left"/>
        <w:rPr>
          <w:rFonts w:ascii="Arial" w:hAnsi="Arial"/>
          <w:sz w:val="17"/>
        </w:rPr>
      </w:pPr>
      <w:r>
        <w:rPr/>
        <w:pict>
          <v:line style="position:absolute;mso-position-horizontal-relative:page;mso-position-vertical-relative:paragraph;z-index:1480" from="9.855872pt,114.816342pt" to="9.855872pt,20.629002pt" stroked="true" strokeweight=".480774pt" strokecolor="#000000">
            <v:stroke dashstyle="solid"/>
            <w10:wrap type="none"/>
          </v:line>
        </w:pict>
      </w:r>
      <w:r>
        <w:rPr>
          <w:color w:val="131313"/>
          <w:w w:val="105"/>
          <w:sz w:val="20"/>
        </w:rPr>
        <w:t>Záruka: </w:t>
      </w:r>
      <w:r>
        <w:rPr>
          <w:color w:val="131313"/>
          <w:w w:val="105"/>
          <w:sz w:val="18"/>
        </w:rPr>
        <w:t>S </w:t>
      </w:r>
      <w:r>
        <w:rPr>
          <w:rFonts w:ascii="Arial" w:hAnsi="Arial"/>
          <w:color w:val="131313"/>
          <w:w w:val="105"/>
          <w:sz w:val="17"/>
        </w:rPr>
        <w:t>letá výměnná servisní služba Advanced Exchange Servite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8"/>
        <w:rPr>
          <w:rFonts w:ascii="Arial"/>
          <w:sz w:val="19"/>
        </w:rPr>
      </w:pPr>
    </w:p>
    <w:p>
      <w:pPr>
        <w:spacing w:before="0"/>
        <w:ind w:left="1720" w:right="0" w:firstLine="0"/>
        <w:jc w:val="left"/>
        <w:rPr>
          <w:sz w:val="25"/>
        </w:rPr>
      </w:pPr>
      <w:r>
        <w:rPr>
          <w:color w:val="131313"/>
          <w:sz w:val="25"/>
        </w:rPr>
        <w:t>Software</w:t>
      </w:r>
    </w:p>
    <w:p>
      <w:pPr>
        <w:pStyle w:val="BodyText"/>
        <w:spacing w:before="6"/>
        <w:rPr>
          <w:sz w:val="34"/>
        </w:rPr>
      </w:pPr>
    </w:p>
    <w:p>
      <w:pPr>
        <w:spacing w:before="1"/>
        <w:ind w:left="1726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131313"/>
          <w:sz w:val="19"/>
        </w:rPr>
        <w:t>MICROSOFT Office 2016 pro domácnosti a podnikatele CZ (TSO-02737)</w:t>
      </w:r>
    </w:p>
    <w:p>
      <w:pPr>
        <w:spacing w:after="0"/>
        <w:jc w:val="left"/>
        <w:rPr>
          <w:rFonts w:ascii="Arial" w:hAnsi="Arial"/>
          <w:sz w:val="19"/>
        </w:rPr>
        <w:sectPr>
          <w:type w:val="continuous"/>
          <w:pgSz w:w="11910" w:h="16840"/>
          <w:pgMar w:top="1580" w:bottom="280" w:left="0" w:right="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4"/>
        </w:rPr>
      </w:pPr>
    </w:p>
    <w:p>
      <w:pPr>
        <w:spacing w:after="0"/>
        <w:rPr>
          <w:rFonts w:ascii="Arial"/>
          <w:sz w:val="24"/>
        </w:rPr>
        <w:sectPr>
          <w:pgSz w:w="11910" w:h="16840"/>
          <w:pgMar w:header="0" w:footer="733" w:top="660" w:bottom="920" w:left="0" w:right="0"/>
        </w:sectPr>
      </w:pPr>
    </w:p>
    <w:p>
      <w:pPr>
        <w:spacing w:line="321" w:lineRule="auto" w:before="95"/>
        <w:ind w:left="1698" w:right="0" w:firstLine="8"/>
        <w:jc w:val="left"/>
        <w:rPr>
          <w:rFonts w:ascii="Arial" w:hAnsi="Arial"/>
          <w:sz w:val="16"/>
        </w:rPr>
      </w:pPr>
      <w:r>
        <w:rPr/>
        <w:pict>
          <v:line style="position:absolute;mso-position-horizontal-relative:page;mso-position-vertical-relative:paragraph;z-index:1552" from=".120194pt,83.832406pt" to=".120194pt,2.139304pt" stroked="true" strokeweight=".480774pt" strokecolor="#000000">
            <v:stroke dashstyle="solid"/>
            <w10:wrap type="none"/>
          </v:line>
        </w:pict>
      </w:r>
      <w:r>
        <w:rPr>
          <w:rFonts w:ascii="Arial" w:hAnsi="Arial"/>
          <w:b/>
          <w:color w:val="161616"/>
          <w:sz w:val="18"/>
        </w:rPr>
        <w:t>Axes Computers s.r.o. </w:t>
      </w:r>
      <w:r>
        <w:rPr>
          <w:rFonts w:ascii="Arial" w:hAnsi="Arial"/>
          <w:color w:val="161616"/>
          <w:w w:val="105"/>
          <w:sz w:val="16"/>
        </w:rPr>
        <w:t>Kollárova 1, 301 00 Plzeň Tef.:377354111</w:t>
      </w:r>
    </w:p>
    <w:p>
      <w:pPr>
        <w:spacing w:before="2"/>
        <w:ind w:left="1703" w:right="0" w:firstLine="0"/>
        <w:jc w:val="left"/>
        <w:rPr>
          <w:rFonts w:ascii="Arial"/>
          <w:sz w:val="16"/>
        </w:rPr>
      </w:pPr>
      <w:hyperlink r:id="rId9">
        <w:r>
          <w:rPr>
            <w:rFonts w:ascii="Arial"/>
            <w:color w:val="161616"/>
            <w:w w:val="110"/>
            <w:sz w:val="16"/>
          </w:rPr>
          <w:t>Email.:obchod@axes.cz</w:t>
        </w:r>
      </w:hyperlink>
    </w:p>
    <w:p>
      <w:pPr>
        <w:pStyle w:val="BodyText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5"/>
        <w:rPr>
          <w:rFonts w:ascii="Arial"/>
          <w:sz w:val="21"/>
        </w:rPr>
      </w:pPr>
    </w:p>
    <w:p>
      <w:pPr>
        <w:pStyle w:val="Heading5"/>
        <w:ind w:left="1698"/>
      </w:pPr>
      <w:r>
        <w:rPr>
          <w:color w:val="161616"/>
          <w:w w:val="170"/>
        </w:rPr>
        <w:t>COMPUTERS</w:t>
      </w:r>
    </w:p>
    <w:p>
      <w:pPr>
        <w:spacing w:after="0"/>
        <w:sectPr>
          <w:type w:val="continuous"/>
          <w:pgSz w:w="11910" w:h="16840"/>
          <w:pgMar w:top="1580" w:bottom="280" w:left="0" w:right="0"/>
          <w:cols w:num="2" w:equalWidth="0">
            <w:col w:w="3689" w:space="3137"/>
            <w:col w:w="50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0"/>
        <w:ind w:left="1709" w:right="0" w:firstLine="0"/>
        <w:jc w:val="left"/>
        <w:rPr>
          <w:b/>
          <w:sz w:val="29"/>
        </w:rPr>
      </w:pPr>
      <w:r>
        <w:rPr/>
        <w:pict>
          <v:shape style="position:absolute;margin-left:422.968597pt;margin-top:-121.008926pt;width:120.75pt;height:73.75pt;mso-position-horizontal-relative:page;mso-position-vertical-relative:paragraph;z-index:-15928" type="#_x0000_t202" filled="false" stroked="false">
            <v:textbox inset="0,0,0,0">
              <w:txbxContent>
                <w:p>
                  <w:pPr>
                    <w:spacing w:line="1474" w:lineRule="exact" w:before="0"/>
                    <w:ind w:left="0" w:right="0" w:firstLine="0"/>
                    <w:jc w:val="left"/>
                    <w:rPr>
                      <w:b/>
                      <w:sz w:val="133"/>
                    </w:rPr>
                  </w:pPr>
                  <w:r>
                    <w:rPr>
                      <w:b/>
                      <w:color w:val="2A2A2A"/>
                      <w:sz w:val="133"/>
                    </w:rPr>
                    <w:t>ares</w:t>
                  </w:r>
                </w:p>
              </w:txbxContent>
            </v:textbox>
            <w10:wrap type="none"/>
          </v:shape>
        </w:pict>
      </w:r>
      <w:r>
        <w:rPr>
          <w:b/>
          <w:color w:val="2A2A2A"/>
          <w:w w:val="95"/>
          <w:sz w:val="29"/>
        </w:rPr>
        <w:t>CENA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before="1"/>
        <w:ind w:left="1694"/>
        <w:rPr>
          <w:rFonts w:ascii="Arial" w:hAnsi="Arial"/>
        </w:rPr>
      </w:pPr>
      <w:r>
        <w:rPr>
          <w:rFonts w:ascii="Arial" w:hAnsi="Arial"/>
          <w:color w:val="161616"/>
        </w:rPr>
        <w:t>Položkový rozpočet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12"/>
        </w:rPr>
      </w:pPr>
    </w:p>
    <w:tbl>
      <w:tblPr>
        <w:tblW w:w="0" w:type="auto"/>
        <w:jc w:val="left"/>
        <w:tblInd w:w="16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7"/>
        <w:gridCol w:w="961"/>
        <w:gridCol w:w="1865"/>
        <w:gridCol w:w="1908"/>
      </w:tblGrid>
      <w:tr>
        <w:trPr>
          <w:trHeight w:val="327" w:hRule="atLeast"/>
        </w:trPr>
        <w:tc>
          <w:tcPr>
            <w:tcW w:w="8681" w:type="dxa"/>
            <w:gridSpan w:val="4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039" w:val="left" w:leader="none"/>
                <w:tab w:pos="5818" w:val="left" w:leader="none"/>
                <w:tab w:pos="7971" w:val="left" w:leader="none"/>
              </w:tabs>
              <w:spacing w:before="63"/>
              <w:ind w:left="78"/>
              <w:rPr>
                <w:sz w:val="18"/>
              </w:rPr>
            </w:pPr>
            <w:r>
              <w:rPr>
                <w:color w:val="FDFDFD"/>
                <w:sz w:val="16"/>
                <w:shd w:fill="151515" w:color="auto" w:val="clear"/>
              </w:rPr>
              <w:t>Název</w:t>
            </w:r>
            <w:r>
              <w:rPr>
                <w:color w:val="FDFDFD"/>
                <w:sz w:val="16"/>
              </w:rPr>
              <w:tab/>
            </w:r>
            <w:r>
              <w:rPr>
                <w:rFonts w:ascii="Times New Roman" w:hAnsi="Times New Roman"/>
                <w:color w:val="FDFDFD"/>
                <w:sz w:val="21"/>
                <w:shd w:fill="151515" w:color="auto" w:val="clear"/>
              </w:rPr>
              <w:t>Množství</w:t>
            </w:r>
            <w:r>
              <w:rPr>
                <w:rFonts w:ascii="Times New Roman" w:hAnsi="Times New Roman"/>
                <w:color w:val="FDFDFD"/>
                <w:sz w:val="21"/>
              </w:rPr>
              <w:tab/>
            </w:r>
            <w:r>
              <w:rPr>
                <w:rFonts w:ascii="Times New Roman" w:hAnsi="Times New Roman"/>
                <w:color w:val="FDFDFD"/>
                <w:sz w:val="21"/>
                <w:shd w:fill="151515" w:color="auto" w:val="clear"/>
              </w:rPr>
              <w:t>Cena za</w:t>
            </w:r>
            <w:r>
              <w:rPr>
                <w:rFonts w:ascii="Times New Roman" w:hAnsi="Times New Roman"/>
                <w:color w:val="FDFDFD"/>
                <w:spacing w:val="-4"/>
                <w:sz w:val="21"/>
                <w:shd w:fill="151515" w:color="auto" w:val="clear"/>
              </w:rPr>
              <w:t> </w:t>
            </w:r>
            <w:r>
              <w:rPr>
                <w:rFonts w:ascii="Times New Roman" w:hAnsi="Times New Roman"/>
                <w:color w:val="FDFDFD"/>
                <w:sz w:val="21"/>
                <w:shd w:fill="151515" w:color="auto" w:val="clear"/>
              </w:rPr>
              <w:t>ks</w:t>
            </w:r>
            <w:r>
              <w:rPr>
                <w:rFonts w:ascii="Times New Roman" w:hAnsi="Times New Roman"/>
                <w:color w:val="FDFDFD"/>
                <w:sz w:val="21"/>
              </w:rPr>
              <w:tab/>
            </w:r>
            <w:r>
              <w:rPr>
                <w:color w:val="FDFDFD"/>
                <w:position w:val="1"/>
                <w:sz w:val="18"/>
                <w:shd w:fill="151515" w:color="auto" w:val="clear"/>
              </w:rPr>
              <w:t>Celkem</w:t>
            </w:r>
          </w:p>
        </w:tc>
      </w:tr>
      <w:tr>
        <w:trPr>
          <w:trHeight w:val="267" w:hRule="atLeast"/>
        </w:trPr>
        <w:tc>
          <w:tcPr>
            <w:tcW w:w="39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25"/>
              <w:ind w:left="77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Infrastruktura</w:t>
            </w:r>
          </w:p>
        </w:tc>
        <w:tc>
          <w:tcPr>
            <w:tcW w:w="96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161616"/>
                <w:sz w:val="20"/>
              </w:rPr>
              <w:t>Počítač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463"/>
              <w:rPr>
                <w:i/>
                <w:sz w:val="16"/>
              </w:rPr>
            </w:pPr>
            <w:r>
              <w:rPr>
                <w:i/>
                <w:color w:val="161616"/>
                <w:sz w:val="16"/>
              </w:rPr>
              <w:t>HP ProDesk 400 G4 MT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 w:before="78"/>
              <w:ind w:left="344" w:right="294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color w:val="161616"/>
                <w:sz w:val="22"/>
              </w:rPr>
              <w:t>14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color w:val="161616"/>
                <w:w w:val="105"/>
                <w:sz w:val="16"/>
              </w:rPr>
              <w:t>13900,- Kč bez DPH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right="33"/>
              <w:jc w:val="right"/>
              <w:rPr>
                <w:sz w:val="16"/>
              </w:rPr>
            </w:pPr>
            <w:r>
              <w:rPr>
                <w:color w:val="161616"/>
                <w:w w:val="105"/>
                <w:sz w:val="16"/>
              </w:rPr>
              <w:t>194600,- Kč bez DPH</w:t>
            </w:r>
          </w:p>
        </w:tc>
      </w:tr>
      <w:tr>
        <w:trPr>
          <w:trHeight w:val="340" w:hRule="atLeast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161616"/>
                <w:sz w:val="20"/>
              </w:rPr>
              <w:t>Monitor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463"/>
              <w:rPr>
                <w:i/>
                <w:sz w:val="16"/>
              </w:rPr>
            </w:pPr>
            <w:r>
              <w:rPr>
                <w:i/>
                <w:color w:val="161616"/>
                <w:sz w:val="16"/>
              </w:rPr>
              <w:t>HP E243i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exact" w:before="78"/>
              <w:ind w:left="343" w:right="29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color w:val="161616"/>
                <w:sz w:val="22"/>
              </w:rPr>
              <w:t>14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right="38"/>
              <w:jc w:val="right"/>
              <w:rPr>
                <w:sz w:val="16"/>
              </w:rPr>
            </w:pPr>
            <w:r>
              <w:rPr>
                <w:color w:val="161616"/>
                <w:w w:val="105"/>
                <w:sz w:val="16"/>
              </w:rPr>
              <w:t>4300,- Kč bez DPH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right="33"/>
              <w:jc w:val="right"/>
              <w:rPr>
                <w:sz w:val="16"/>
              </w:rPr>
            </w:pPr>
            <w:r>
              <w:rPr>
                <w:color w:val="161616"/>
                <w:w w:val="105"/>
                <w:sz w:val="16"/>
              </w:rPr>
              <w:t>60200,- Kč bez DPH</w:t>
            </w:r>
          </w:p>
        </w:tc>
      </w:tr>
      <w:tr>
        <w:trPr>
          <w:trHeight w:val="335" w:hRule="atLeast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161616"/>
                <w:w w:val="105"/>
                <w:sz w:val="20"/>
              </w:rPr>
              <w:t>Software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41"/>
              <w:ind w:left="452" w:right="201" w:firstLine="9"/>
              <w:rPr>
                <w:i/>
                <w:sz w:val="16"/>
              </w:rPr>
            </w:pPr>
            <w:r>
              <w:rPr>
                <w:i/>
                <w:color w:val="161616"/>
                <w:w w:val="105"/>
                <w:sz w:val="16"/>
              </w:rPr>
              <w:t>MICROSOFT Office 2016 pro domácnosti a </w:t>
            </w:r>
            <w:r>
              <w:rPr>
                <w:i/>
                <w:color w:val="161616"/>
                <w:w w:val="105"/>
                <w:sz w:val="16"/>
              </w:rPr>
              <w:t>podnikatele CZ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left="343" w:right="29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color w:val="161616"/>
                <w:sz w:val="22"/>
              </w:rPr>
              <w:t>14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right="38"/>
              <w:jc w:val="right"/>
              <w:rPr>
                <w:sz w:val="16"/>
              </w:rPr>
            </w:pPr>
            <w:r>
              <w:rPr>
                <w:color w:val="161616"/>
                <w:w w:val="105"/>
                <w:sz w:val="16"/>
              </w:rPr>
              <w:t>4850,- Kč bez DPH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27"/>
              <w:jc w:val="right"/>
              <w:rPr>
                <w:sz w:val="16"/>
              </w:rPr>
            </w:pPr>
            <w:r>
              <w:rPr>
                <w:color w:val="161616"/>
                <w:w w:val="105"/>
                <w:sz w:val="16"/>
              </w:rPr>
              <w:t>67900,- Kč bez DPH</w:t>
            </w:r>
          </w:p>
        </w:tc>
      </w:tr>
      <w:tr>
        <w:trPr>
          <w:trHeight w:val="330" w:hRule="atLeast"/>
        </w:trPr>
        <w:tc>
          <w:tcPr>
            <w:tcW w:w="8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right="39"/>
              <w:jc w:val="right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>Cena celkem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right="34"/>
              <w:jc w:val="right"/>
              <w:rPr>
                <w:sz w:val="16"/>
              </w:rPr>
            </w:pPr>
            <w:r>
              <w:rPr>
                <w:color w:val="161616"/>
                <w:w w:val="105"/>
                <w:sz w:val="16"/>
              </w:rPr>
              <w:t>322700,- Kč bez DPH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right="20"/>
              <w:jc w:val="right"/>
              <w:rPr>
                <w:sz w:val="16"/>
              </w:rPr>
            </w:pPr>
            <w:r>
              <w:rPr>
                <w:color w:val="161616"/>
                <w:w w:val="105"/>
                <w:sz w:val="16"/>
              </w:rPr>
              <w:t>390467,- Kč vč. DPH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580" w:bottom="280" w:left="0" w:right="0"/>
        </w:sectPr>
      </w:pPr>
    </w:p>
    <w:p>
      <w:pPr>
        <w:pStyle w:val="BodyText"/>
        <w:ind w:right="-3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7556884" cy="10686288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sectPr>
      <w:footerReference w:type="default" r:id="rId11"/>
      <w:pgSz w:w="11910" w:h="16840"/>
      <w:pgMar w:footer="0" w:head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179810pt;margin-top:779.103149pt;width:17.850pt;height:15.3pt;mso-position-horizontal-relative:page;mso-position-vertical-relative:page;z-index:-16480" type="#_x0000_t202" filled="false" stroked="false">
          <v:textbox inset="0,0,0,0">
            <w:txbxContent>
              <w:p>
                <w:pPr>
                  <w:spacing w:before="55"/>
                  <w:ind w:left="21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449799pt;margin-top:793.384949pt;width:55.85pt;height:12.95pt;mso-position-horizontal-relative:page;mso-position-vertical-relative:page;z-index:-16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color w:val="131313"/>
                    <w:sz w:val="19"/>
                  </w:rPr>
                  <w:t>Stránka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13131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color w:val="131313"/>
                    <w:sz w:val="19"/>
                  </w:rPr>
                  <w:t> z4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·"/>
      <w:lvlJc w:val="left"/>
      <w:pPr>
        <w:ind w:left="2437" w:hanging="99"/>
      </w:pPr>
      <w:rPr>
        <w:rFonts w:hint="default" w:ascii="Arial" w:hAnsi="Arial" w:eastAsia="Arial" w:cs="Arial"/>
        <w:color w:val="595959"/>
        <w:w w:val="105"/>
        <w:sz w:val="15"/>
        <w:szCs w:val="15"/>
      </w:rPr>
    </w:lvl>
    <w:lvl w:ilvl="1">
      <w:start w:val="0"/>
      <w:numFmt w:val="bullet"/>
      <w:lvlText w:val="•"/>
      <w:lvlJc w:val="left"/>
      <w:pPr>
        <w:ind w:left="2653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6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9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3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06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19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33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46" w:hanging="99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668" w:hanging="361"/>
      </w:pPr>
      <w:rPr>
        <w:rFonts w:hint="default"/>
        <w:w w:val="96"/>
        <w:position w:val="-2"/>
      </w:rPr>
    </w:lvl>
    <w:lvl w:ilvl="1">
      <w:start w:val="0"/>
      <w:numFmt w:val="bullet"/>
      <w:lvlText w:val="•"/>
      <w:lvlJc w:val="left"/>
      <w:pPr>
        <w:ind w:left="268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0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3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5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8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0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3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55" w:hanging="361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661" w:hanging="355"/>
      </w:pPr>
      <w:rPr>
        <w:rFonts w:hint="default" w:ascii="Times New Roman" w:hAnsi="Times New Roman" w:eastAsia="Times New Roman" w:cs="Times New Roman"/>
        <w:color w:val="151515"/>
        <w:w w:val="110"/>
        <w:position w:val="-2"/>
        <w:sz w:val="28"/>
        <w:szCs w:val="28"/>
      </w:rPr>
    </w:lvl>
    <w:lvl w:ilvl="1">
      <w:start w:val="0"/>
      <w:numFmt w:val="bullet"/>
      <w:lvlText w:val="•"/>
      <w:lvlJc w:val="left"/>
      <w:pPr>
        <w:ind w:left="2684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08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33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57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82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06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30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55" w:hanging="355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670" w:hanging="353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2702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4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7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69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92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14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36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59" w:hanging="353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2535" w:hanging="341"/>
        <w:jc w:val="right"/>
      </w:pPr>
      <w:rPr>
        <w:rFonts w:hint="default"/>
        <w:spacing w:val="-1"/>
        <w:w w:val="108"/>
      </w:rPr>
    </w:lvl>
    <w:lvl w:ilvl="1">
      <w:start w:val="0"/>
      <w:numFmt w:val="bullet"/>
      <w:lvlText w:val="•"/>
      <w:lvlJc w:val="left"/>
      <w:pPr>
        <w:ind w:left="3476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12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49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85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22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58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94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31" w:hanging="34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546" w:hanging="348"/>
        <w:jc w:val="left"/>
      </w:pPr>
      <w:rPr>
        <w:rFonts w:hint="default"/>
        <w:spacing w:val="-1"/>
        <w:w w:val="98"/>
      </w:rPr>
    </w:lvl>
    <w:lvl w:ilvl="1">
      <w:start w:val="0"/>
      <w:numFmt w:val="bullet"/>
      <w:lvlText w:val="•"/>
      <w:lvlJc w:val="left"/>
      <w:pPr>
        <w:ind w:left="2899" w:hanging="347"/>
      </w:pPr>
      <w:rPr>
        <w:rFonts w:hint="default"/>
        <w:w w:val="103"/>
      </w:rPr>
    </w:lvl>
    <w:lvl w:ilvl="2">
      <w:start w:val="0"/>
      <w:numFmt w:val="bullet"/>
      <w:lvlText w:val="•"/>
      <w:lvlJc w:val="left"/>
      <w:pPr>
        <w:ind w:left="3900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00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01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01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02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02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03" w:hanging="34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386" w:hanging="277"/>
        <w:jc w:val="right"/>
      </w:pPr>
      <w:rPr>
        <w:rFonts w:hint="default"/>
        <w:w w:val="108"/>
      </w:rPr>
    </w:lvl>
    <w:lvl w:ilvl="1">
      <w:start w:val="1"/>
      <w:numFmt w:val="lowerLetter"/>
      <w:lvlText w:val="%2)"/>
      <w:lvlJc w:val="left"/>
      <w:pPr>
        <w:ind w:left="3416" w:hanging="348"/>
        <w:jc w:val="left"/>
      </w:pPr>
      <w:rPr>
        <w:rFonts w:hint="default" w:ascii="Times New Roman" w:hAnsi="Times New Roman" w:eastAsia="Times New Roman" w:cs="Times New Roman"/>
        <w:color w:val="1D1D1D"/>
        <w:spacing w:val="-1"/>
        <w:w w:val="107"/>
        <w:sz w:val="22"/>
        <w:szCs w:val="22"/>
      </w:rPr>
    </w:lvl>
    <w:lvl w:ilvl="2">
      <w:start w:val="0"/>
      <w:numFmt w:val="bullet"/>
      <w:lvlText w:val="•"/>
      <w:lvlJc w:val="left"/>
      <w:pPr>
        <w:ind w:left="4362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05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48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9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33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76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18" w:hanging="348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)"/>
      <w:lvlJc w:val="left"/>
      <w:pPr>
        <w:ind w:left="2406" w:hanging="354"/>
        <w:jc w:val="left"/>
      </w:pPr>
      <w:rPr>
        <w:rFonts w:hint="default" w:ascii="Times New Roman" w:hAnsi="Times New Roman" w:eastAsia="Times New Roman" w:cs="Times New Roman"/>
        <w:color w:val="1D1D1D"/>
        <w:w w:val="109"/>
        <w:sz w:val="22"/>
        <w:szCs w:val="22"/>
      </w:rPr>
    </w:lvl>
    <w:lvl w:ilvl="1">
      <w:start w:val="0"/>
      <w:numFmt w:val="bullet"/>
      <w:lvlText w:val="•"/>
      <w:lvlJc w:val="left"/>
      <w:pPr>
        <w:ind w:left="3350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00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51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1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52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02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52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03" w:hanging="35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407" w:hanging="359"/>
        <w:jc w:val="left"/>
      </w:pPr>
      <w:rPr>
        <w:rFonts w:hint="default" w:ascii="Times New Roman" w:hAnsi="Times New Roman" w:eastAsia="Times New Roman" w:cs="Times New Roman"/>
        <w:color w:val="1D1D1D"/>
        <w:w w:val="103"/>
        <w:sz w:val="22"/>
        <w:szCs w:val="22"/>
      </w:rPr>
    </w:lvl>
    <w:lvl w:ilvl="1">
      <w:start w:val="0"/>
      <w:numFmt w:val="bullet"/>
      <w:lvlText w:val="•"/>
      <w:lvlJc w:val="left"/>
      <w:pPr>
        <w:ind w:left="3350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00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51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1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52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02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52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03" w:hanging="35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2472" w:hanging="354"/>
        <w:jc w:val="left"/>
      </w:pPr>
      <w:rPr>
        <w:rFonts w:hint="default" w:ascii="Times New Roman" w:hAnsi="Times New Roman" w:eastAsia="Times New Roman" w:cs="Times New Roman"/>
        <w:color w:val="1A1A1A"/>
        <w:w w:val="105"/>
        <w:sz w:val="22"/>
        <w:szCs w:val="22"/>
      </w:rPr>
    </w:lvl>
    <w:lvl w:ilvl="1">
      <w:start w:val="0"/>
      <w:numFmt w:val="bullet"/>
      <w:lvlText w:val="•"/>
      <w:lvlJc w:val="left"/>
      <w:pPr>
        <w:ind w:left="3422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64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07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49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92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34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76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19" w:hanging="35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229" w:hanging="359"/>
        <w:jc w:val="right"/>
      </w:pPr>
      <w:rPr>
        <w:rFonts w:hint="default"/>
        <w:w w:val="104"/>
      </w:rPr>
    </w:lvl>
    <w:lvl w:ilvl="1">
      <w:start w:val="0"/>
      <w:numFmt w:val="bullet"/>
      <w:lvlText w:val="•"/>
      <w:lvlJc w:val="left"/>
      <w:pPr>
        <w:ind w:left="3188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56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25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93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62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30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98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67" w:hanging="35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23" w:hanging="3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364"/>
        <w:jc w:val="left"/>
      </w:pPr>
      <w:rPr>
        <w:rFonts w:hint="default" w:ascii="Arial" w:hAnsi="Arial" w:eastAsia="Arial" w:cs="Arial"/>
        <w:color w:val="181818"/>
        <w:spacing w:val="-1"/>
        <w:w w:val="109"/>
        <w:sz w:val="22"/>
        <w:szCs w:val="22"/>
      </w:rPr>
    </w:lvl>
    <w:lvl w:ilvl="2">
      <w:start w:val="1"/>
      <w:numFmt w:val="decimal"/>
      <w:lvlText w:val="%3)"/>
      <w:lvlJc w:val="left"/>
      <w:pPr>
        <w:ind w:left="2227" w:hanging="354"/>
        <w:jc w:val="left"/>
      </w:pPr>
      <w:rPr>
        <w:rFonts w:hint="default"/>
        <w:w w:val="100"/>
      </w:rPr>
    </w:lvl>
    <w:lvl w:ilvl="3">
      <w:start w:val="0"/>
      <w:numFmt w:val="bullet"/>
      <w:lvlText w:val="•"/>
      <w:lvlJc w:val="left"/>
      <w:pPr>
        <w:ind w:left="2479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09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39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69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99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29" w:hanging="354"/>
      </w:pPr>
      <w:rPr>
        <w:rFonts w:hint="default"/>
      </w:rPr>
    </w:lvl>
  </w:abstractNum>
  <w:num w:numId="9">
    <w:abstractNumId w:val="8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56" w:right="863" w:firstLine="2"/>
      <w:outlineLvl w:val="1"/>
    </w:pPr>
    <w:rPr>
      <w:rFonts w:ascii="Arial" w:hAnsi="Arial" w:eastAsia="Arial" w:cs="Arial"/>
      <w:b/>
      <w:bCs/>
      <w:sz w:val="39"/>
      <w:szCs w:val="39"/>
    </w:rPr>
  </w:style>
  <w:style w:styleId="Heading2" w:type="paragraph">
    <w:name w:val="Heading 2"/>
    <w:basedOn w:val="Normal"/>
    <w:uiPriority w:val="1"/>
    <w:qFormat/>
    <w:pPr>
      <w:ind w:left="194"/>
      <w:outlineLvl w:val="2"/>
    </w:pPr>
    <w:rPr>
      <w:rFonts w:ascii="Courier New" w:hAnsi="Courier New" w:eastAsia="Courier New" w:cs="Courier New"/>
      <w:sz w:val="25"/>
      <w:szCs w:val="25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sz w:val="24"/>
      <w:szCs w:val="24"/>
    </w:rPr>
  </w:style>
  <w:style w:styleId="Heading4" w:type="paragraph">
    <w:name w:val="Heading 4"/>
    <w:basedOn w:val="Normal"/>
    <w:uiPriority w:val="1"/>
    <w:qFormat/>
    <w:pPr>
      <w:ind w:left="2129"/>
      <w:jc w:val="center"/>
      <w:outlineLvl w:val="4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5" w:type="paragraph">
    <w:name w:val="Heading 5"/>
    <w:basedOn w:val="Normal"/>
    <w:uiPriority w:val="1"/>
    <w:qFormat/>
    <w:pPr>
      <w:ind w:left="1660"/>
      <w:outlineLvl w:val="5"/>
    </w:pPr>
    <w:rPr>
      <w:rFonts w:ascii="Times New Roman" w:hAnsi="Times New Roman" w:eastAsia="Times New Roman" w:cs="Times New Roman"/>
      <w:sz w:val="23"/>
      <w:szCs w:val="23"/>
    </w:rPr>
  </w:style>
  <w:style w:styleId="Heading6" w:type="paragraph">
    <w:name w:val="Heading 6"/>
    <w:basedOn w:val="Normal"/>
    <w:uiPriority w:val="1"/>
    <w:qFormat/>
    <w:pPr>
      <w:ind w:left="2129"/>
      <w:jc w:val="center"/>
      <w:outlineLvl w:val="6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667" w:hanging="34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hyperlink" Target="mailto:obchod@axes.cz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3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2018-08-07T10:00:12Z</dcterms:created>
  <dcterms:modified xsi:type="dcterms:W3CDTF">2018-08-07T10:00:12Z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2018-08-07T00:00:00Z</vt:filetime>
  </property>
</Properties>
</file>