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67D" w:rsidRDefault="0091067D" w:rsidP="0091067D">
      <w:pPr>
        <w:pStyle w:val="Default"/>
      </w:pPr>
    </w:p>
    <w:p w:rsidR="0091067D" w:rsidRDefault="0091067D" w:rsidP="0091067D">
      <w:pPr>
        <w:pStyle w:val="Default"/>
        <w:rPr>
          <w:sz w:val="18"/>
          <w:szCs w:val="18"/>
        </w:rPr>
      </w:pPr>
      <w:r>
        <w:t xml:space="preserve"> </w:t>
      </w:r>
      <w:r>
        <w:rPr>
          <w:sz w:val="18"/>
          <w:szCs w:val="18"/>
        </w:rPr>
        <w:t>2018 Erasmus+ grantová dohoda s jedním příjemcem – zvláštní podmínky Dohoda č.: 2018-1-CZ01-KA102-047094 Standardní grantová dohoda (</w:t>
      </w:r>
      <w:r>
        <w:rPr>
          <w:b/>
          <w:bCs/>
          <w:sz w:val="18"/>
          <w:szCs w:val="18"/>
        </w:rPr>
        <w:t>s jedním příjemcem</w:t>
      </w:r>
      <w:r>
        <w:rPr>
          <w:sz w:val="18"/>
          <w:szCs w:val="18"/>
        </w:rPr>
        <w:t xml:space="preserve">) </w:t>
      </w:r>
    </w:p>
    <w:p w:rsidR="0091067D" w:rsidRDefault="0091067D" w:rsidP="0091067D">
      <w:pPr>
        <w:pStyle w:val="Default"/>
        <w:rPr>
          <w:color w:val="auto"/>
        </w:rPr>
      </w:pPr>
    </w:p>
    <w:p w:rsidR="0091067D" w:rsidRDefault="0091067D" w:rsidP="0091067D">
      <w:pPr>
        <w:pStyle w:val="Default"/>
        <w:rPr>
          <w:rFonts w:ascii="Times New Roman" w:hAnsi="Times New Roman" w:cs="Times New Roman"/>
          <w:color w:val="auto"/>
          <w:sz w:val="23"/>
          <w:szCs w:val="23"/>
        </w:rPr>
      </w:pPr>
      <w:r>
        <w:rPr>
          <w:color w:val="auto"/>
        </w:rPr>
        <w:t xml:space="preserve"> </w:t>
      </w:r>
      <w:r>
        <w:rPr>
          <w:rFonts w:ascii="Times New Roman" w:hAnsi="Times New Roman" w:cs="Times New Roman"/>
          <w:b/>
          <w:bCs/>
          <w:color w:val="auto"/>
          <w:sz w:val="23"/>
          <w:szCs w:val="23"/>
        </w:rPr>
        <w:t xml:space="preserve">GRANTOVÁ DOHODA pro: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projekt v rámci programu Erasmus+1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sz w:val="14"/>
          <w:szCs w:val="14"/>
        </w:rPr>
        <w:t xml:space="preserve">1 </w:t>
      </w:r>
      <w:r>
        <w:rPr>
          <w:rFonts w:ascii="Times New Roman" w:hAnsi="Times New Roman" w:cs="Times New Roman"/>
          <w:b/>
          <w:bCs/>
          <w:sz w:val="16"/>
          <w:szCs w:val="16"/>
        </w:rPr>
        <w:t xml:space="preserve">Nařízení Evropského parlamentu a Rady (EU) č. 1288/2013 ze dne 11. prosince 2013, kterým se zavádí program „Erasmus+“: program Unie pro vzdělávání, odbornou přípravu, mládež a sport a zrušují rozhodnutí č. 1719/2006/ES, č. 1720/2006/ES a č. 1298/2008/ES.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ČÍSLO DOHODY – 2018-1-CZ01-KA102-047094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Tato dohoda (dále jen „dohoda“) se uzavírá mezi těmito smluvními stranami: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na straně jedné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Dům zahraniční spolupráce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příspěvková organizace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IČ: 61386839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Na Poříčí 1035/4, 110 00 Praha 1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národní agentura </w:t>
      </w:r>
      <w:r>
        <w:rPr>
          <w:rFonts w:ascii="Times New Roman" w:hAnsi="Times New Roman" w:cs="Times New Roman"/>
          <w:color w:val="auto"/>
          <w:sz w:val="23"/>
          <w:szCs w:val="23"/>
        </w:rPr>
        <w:t xml:space="preserve">(dále jen „agentura“), zastoupená pro účely podpisu této dohody paní </w:t>
      </w:r>
      <w:r>
        <w:rPr>
          <w:rFonts w:ascii="Times New Roman" w:hAnsi="Times New Roman" w:cs="Times New Roman"/>
          <w:b/>
          <w:bCs/>
          <w:color w:val="auto"/>
          <w:sz w:val="23"/>
          <w:szCs w:val="23"/>
        </w:rPr>
        <w:t xml:space="preserve">xxxxxxxxxxxx </w:t>
      </w:r>
      <w:r>
        <w:rPr>
          <w:rFonts w:ascii="Times New Roman" w:hAnsi="Times New Roman" w:cs="Times New Roman"/>
          <w:color w:val="auto"/>
          <w:sz w:val="23"/>
          <w:szCs w:val="23"/>
        </w:rPr>
        <w:t xml:space="preserve">a jednající na základě pověření Evropskou komisí (dále jen „Komise“),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a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na straně druhé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„příjemce“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Střední průmyslová škola stavební Pardubice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IČ: 00191191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Sokolovská 150, 533 54 Rybitví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PIC - identifikační číslo účastníka: 908132625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pro účely podpisu této dohody zastoupený: </w:t>
      </w:r>
      <w:r>
        <w:rPr>
          <w:rFonts w:ascii="Times New Roman" w:hAnsi="Times New Roman" w:cs="Times New Roman"/>
          <w:b/>
          <w:bCs/>
          <w:color w:val="auto"/>
          <w:sz w:val="23"/>
          <w:szCs w:val="23"/>
        </w:rPr>
        <w:t xml:space="preserve">xxxxxxxxxxx  </w:t>
      </w:r>
      <w:r>
        <w:rPr>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1 </w:t>
      </w:r>
    </w:p>
    <w:p w:rsidR="0091067D" w:rsidRDefault="0091067D" w:rsidP="0091067D">
      <w:pPr>
        <w:pStyle w:val="Default"/>
        <w:rPr>
          <w:color w:val="auto"/>
        </w:rPr>
      </w:pPr>
    </w:p>
    <w:p w:rsidR="0091067D" w:rsidRDefault="0091067D" w:rsidP="0091067D">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Výše uvedené strany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SE DOHODLY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na Zvláštních podmínkách (dále jen „zvláštní podmínky“) a následujících přílohách: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Příloha I Všeobecné podmínky (dále jen „všeobecné podmínky“) </w:t>
      </w:r>
      <w:r>
        <w:rPr>
          <w:rFonts w:ascii="Calibri" w:hAnsi="Calibri" w:cs="Calibri"/>
          <w:color w:val="auto"/>
          <w:sz w:val="22"/>
          <w:szCs w:val="22"/>
        </w:rPr>
        <w:t xml:space="preserve">– </w:t>
      </w:r>
      <w:r>
        <w:rPr>
          <w:rFonts w:ascii="Times New Roman" w:hAnsi="Times New Roman" w:cs="Times New Roman"/>
          <w:color w:val="auto"/>
          <w:sz w:val="23"/>
          <w:szCs w:val="23"/>
        </w:rPr>
        <w:t xml:space="preserve">ke stažení na webu www.naerasmusplus.cz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II Popis projektu; Souhrnný rozpočet projektu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Příloha III Finanční a smluvní pravidla </w:t>
      </w:r>
      <w:r>
        <w:rPr>
          <w:rFonts w:ascii="Calibri" w:hAnsi="Calibri" w:cs="Calibri"/>
          <w:color w:val="auto"/>
          <w:sz w:val="22"/>
          <w:szCs w:val="22"/>
        </w:rPr>
        <w:t xml:space="preserve">– </w:t>
      </w:r>
      <w:r>
        <w:rPr>
          <w:rFonts w:ascii="Times New Roman" w:hAnsi="Times New Roman" w:cs="Times New Roman"/>
          <w:color w:val="auto"/>
          <w:sz w:val="23"/>
          <w:szCs w:val="23"/>
        </w:rPr>
        <w:t xml:space="preserve">ke stažení na webu www.naerasmusplus.cz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Příloha IV Platné sazby </w:t>
      </w:r>
      <w:r>
        <w:rPr>
          <w:rFonts w:ascii="Calibri" w:hAnsi="Calibri" w:cs="Calibri"/>
          <w:color w:val="auto"/>
          <w:sz w:val="22"/>
          <w:szCs w:val="22"/>
        </w:rPr>
        <w:t xml:space="preserve">– </w:t>
      </w:r>
      <w:r>
        <w:rPr>
          <w:rFonts w:ascii="Times New Roman" w:hAnsi="Times New Roman" w:cs="Times New Roman"/>
          <w:color w:val="auto"/>
          <w:sz w:val="23"/>
          <w:szCs w:val="23"/>
        </w:rPr>
        <w:t xml:space="preserve">ke stažení na webu www.naerasmusplus.cz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Příloha V Vzory dohod k použití mezi příjemcem a účastníky </w:t>
      </w:r>
      <w:r>
        <w:rPr>
          <w:rFonts w:ascii="Calibri" w:hAnsi="Calibri" w:cs="Calibri"/>
          <w:color w:val="auto"/>
          <w:sz w:val="22"/>
          <w:szCs w:val="22"/>
        </w:rPr>
        <w:t xml:space="preserve">– </w:t>
      </w:r>
      <w:r>
        <w:rPr>
          <w:rFonts w:ascii="Times New Roman" w:hAnsi="Times New Roman" w:cs="Times New Roman"/>
          <w:color w:val="auto"/>
          <w:sz w:val="23"/>
          <w:szCs w:val="23"/>
        </w:rPr>
        <w:t xml:space="preserve">ke stažení na webu www.naerasmusplus.cz: </w:t>
      </w:r>
    </w:p>
    <w:p w:rsidR="0091067D" w:rsidRDefault="0091067D" w:rsidP="0091067D">
      <w:pPr>
        <w:pStyle w:val="Default"/>
        <w:rPr>
          <w:color w:val="auto"/>
          <w:sz w:val="23"/>
          <w:szCs w:val="23"/>
        </w:rPr>
      </w:pPr>
      <w:r>
        <w:rPr>
          <w:rFonts w:ascii="Times New Roman" w:hAnsi="Times New Roman" w:cs="Times New Roman"/>
          <w:i/>
          <w:iCs/>
          <w:color w:val="auto"/>
          <w:sz w:val="23"/>
          <w:szCs w:val="23"/>
        </w:rPr>
        <w:t xml:space="preserve">Pro mobilitu pracovníků: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Účastnická smlouva pro mobilitu pracovníků v rámci Erasmus+ v odborném vzdělávání a přípravě </w:t>
      </w:r>
      <w:r>
        <w:rPr>
          <w:rFonts w:ascii="Times New Roman" w:hAnsi="Times New Roman" w:cs="Times New Roman"/>
          <w:i/>
          <w:iCs/>
          <w:color w:val="auto"/>
          <w:sz w:val="23"/>
          <w:szCs w:val="23"/>
        </w:rPr>
        <w:t xml:space="preserve">a její přílohy: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 Erasmus+ Work Programme for VET Staff mobility </w:t>
      </w:r>
      <w:r>
        <w:rPr>
          <w:rFonts w:ascii="Times New Roman" w:hAnsi="Times New Roman" w:cs="Times New Roman"/>
          <w:i/>
          <w:iCs/>
          <w:color w:val="auto"/>
          <w:sz w:val="23"/>
          <w:szCs w:val="23"/>
        </w:rPr>
        <w:t xml:space="preserve">(Dohoda o pracovním programu pro odbornou mobilitu pracovníků v rámci Erasmus+)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II Všeobecné podmínky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Pro mobilitu žáků/studentů: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Účastnická smlouva pro odbornou stáž žáků/studentů v rámci Erasmus+ v odborném vzdělávání a přípravě </w:t>
      </w:r>
      <w:r>
        <w:rPr>
          <w:rFonts w:ascii="Times New Roman" w:hAnsi="Times New Roman" w:cs="Times New Roman"/>
          <w:i/>
          <w:iCs/>
          <w:color w:val="auto"/>
          <w:sz w:val="23"/>
          <w:szCs w:val="23"/>
        </w:rPr>
        <w:t xml:space="preserve">a její přílohy: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 projekty bez ECVET: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 Erasmus+ Learning Agreement for VET mobility </w:t>
      </w:r>
      <w:r>
        <w:rPr>
          <w:rFonts w:ascii="Times New Roman" w:hAnsi="Times New Roman" w:cs="Times New Roman"/>
          <w:i/>
          <w:iCs/>
          <w:color w:val="auto"/>
          <w:sz w:val="23"/>
          <w:szCs w:val="23"/>
        </w:rPr>
        <w:t xml:space="preserve">(Dohoda o vzdělávacím programu pro odbornou stáž žáků/studentů v rámci Erasmus+)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II Všeobecné podmínky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III Quality commitment </w:t>
      </w:r>
      <w:r>
        <w:rPr>
          <w:rFonts w:ascii="Times New Roman" w:hAnsi="Times New Roman" w:cs="Times New Roman"/>
          <w:i/>
          <w:iCs/>
          <w:color w:val="auto"/>
          <w:sz w:val="23"/>
          <w:szCs w:val="23"/>
        </w:rPr>
        <w:t xml:space="preserve">(Závazek kvality)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 projekty s ECVET: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 Learning Agreement </w:t>
      </w:r>
      <w:r>
        <w:rPr>
          <w:rFonts w:ascii="Times New Roman" w:hAnsi="Times New Roman" w:cs="Times New Roman"/>
          <w:i/>
          <w:iCs/>
          <w:color w:val="auto"/>
          <w:sz w:val="23"/>
          <w:szCs w:val="23"/>
        </w:rPr>
        <w:t xml:space="preserve">(Smlouva o učení)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II Všeobecné podmínky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Příloha III Memorandum of Understanding </w:t>
      </w:r>
      <w:r>
        <w:rPr>
          <w:rFonts w:ascii="Times New Roman" w:hAnsi="Times New Roman" w:cs="Times New Roman"/>
          <w:i/>
          <w:iCs/>
          <w:color w:val="auto"/>
          <w:sz w:val="23"/>
          <w:szCs w:val="23"/>
        </w:rPr>
        <w:t xml:space="preserve">(Memorandum o porozumění)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Příloha IV Quality commitment </w:t>
      </w:r>
      <w:r>
        <w:rPr>
          <w:rFonts w:ascii="Times New Roman" w:hAnsi="Times New Roman" w:cs="Times New Roman"/>
          <w:i/>
          <w:iCs/>
          <w:color w:val="auto"/>
          <w:sz w:val="23"/>
          <w:szCs w:val="23"/>
        </w:rPr>
        <w:t xml:space="preserve">(Závazek kvality)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které tvoří nedílnou součást grantové dohody. </w:t>
      </w: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2 </w:t>
      </w:r>
    </w:p>
    <w:p w:rsidR="0091067D" w:rsidRDefault="0091067D" w:rsidP="0091067D">
      <w:pPr>
        <w:pStyle w:val="Default"/>
        <w:rPr>
          <w:color w:val="auto"/>
        </w:rPr>
      </w:pPr>
    </w:p>
    <w:p w:rsidR="0091067D" w:rsidRDefault="0091067D" w:rsidP="0091067D">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Ustanovení ve zvláštních podmínkách dohody jsou nadřazena ustanovením jejích příloh.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Ustanovení uvedená v příloze I „Všeobecné podmínky“ jsou nadřazena ostatním přílohám. Ustanovení uvedená v příloze III jsou nadřazena ostatním přílohám kromě přílohy I.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V příloze II je část o souhrnném rozpočtu nadřazena části s popisem projektu. </w:t>
      </w: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1 </w:t>
      </w:r>
    </w:p>
    <w:p w:rsidR="0091067D" w:rsidRDefault="0091067D" w:rsidP="0091067D">
      <w:pPr>
        <w:pStyle w:val="Default"/>
        <w:rPr>
          <w:color w:val="auto"/>
        </w:rPr>
      </w:pPr>
    </w:p>
    <w:p w:rsidR="0091067D" w:rsidRDefault="0091067D" w:rsidP="0091067D">
      <w:pPr>
        <w:pStyle w:val="Default"/>
        <w:pageBreakBefore/>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ZVLÁŠTNÍ PODMÍNKY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Obsah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I.1 – PŘEDMĚT DOHODY ..................................................................... 3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I.2 – NABYTÍ ÚČINNOSTI A OBDOBÍ PLNĚNÍ DOHODY ............... 3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I.3 – MAXIMÁLNÍ VÝŠE GRANTU A JEHO FORMA ....................... 3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I.4 – PODÁVÁNÍ ZPRÁV A PLATEBNÍ UJEDNÁNÍ .......................... 4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I.4.1 Platby ............................................................................................................. 4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I.4.2 První záloha ....................................................................................................... 4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I.4.3 Průběžné zprávy a další zálohy ......................................................................... 4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I.4.4 Závěrečná zpráva a žádost o doplatek ............................................................... 5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I.4.5 Platba doplatku .................................................................................................. 5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I.4.6 Oznámení o výši plateb ..................................................................................... 5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I.4.7 Platby ve prospěch příjemce.............................................................................. 6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I.4.8 Jazyk žádostí o platby a zpráv ........................................................................... 6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I.4.9 Měna pro žádosti o platby a přepočet na eura ................................................... 6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I.4.10 Měna pro platby................................................................................................. 6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I.4.11 Datum platby ..................................................................................................... 6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I.4.12 Náklady na platební převody ............................................................................. 6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I.4.13 Úroky z prodlení ................................................................................................ 6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I.5 – BANKOVNÍ ÚČET PRO PLATBY ................................................ 7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I.6 – SPRÁVCE ÚDAJŮ A ÚDAJE STRAN PRO KOMUNIKACI ...... 7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I.6.1 Správce údajů .................................................................................................... 7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I.6.2 Údaje pro komunikaci – agentura ..................................................................... 7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I.6.3 Údaje pro komunikaci – příjemce ..................................................................... 8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I.7 – OCHRANA A BEZPEČNOST ÚČASTNÍKŮ ................................ 8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I.8 – DOPLŇUJÍCÍ USTANOVENÍ O VYUŽÍVÁNÍ VÝSLEDKŮ (VČETNĚ PRÁV DUŠEVNÍHO A PRŮMYSLOVÉHO VLASTNICTVÍ) ............. 8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I.9 – POUŽÍVÁNÍ NÁSTROJŮ IT .......................................................... 8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I.9.1 Mobility Tool+ .................................................................................................. 8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I.9.2 Platforma pro šíření výsledků programu Erasmus+ .......................................... 9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I.10 – DOPLŇUJÍCÍ USTANOVENÍ O SUBDODÁVKÁCH .................. 9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I.11 – DOPLŇUJÍCÍ USTANOVENÍ O VIDITELNOSTI FINANCOVÁNÍ EVROPSKOU UNIÍ ....................................................................... 9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ČLÁNEK I.12 – PODPORA ÚČASTNÍKŮ ....................................................................... 9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ČLÁNEK I.13 – SOUHLAS RODIČŮ / ZÁKONNÝCH ZÁSTUPCŮ .......................... 10 </w:t>
      </w: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2 </w:t>
      </w:r>
    </w:p>
    <w:p w:rsidR="0091067D" w:rsidRDefault="0091067D" w:rsidP="0091067D">
      <w:pPr>
        <w:pStyle w:val="Default"/>
        <w:rPr>
          <w:color w:val="auto"/>
        </w:rPr>
      </w:pPr>
    </w:p>
    <w:p w:rsidR="0091067D" w:rsidRDefault="0091067D" w:rsidP="0091067D">
      <w:pPr>
        <w:pStyle w:val="Default"/>
        <w:pageBreakBefore/>
        <w:rPr>
          <w:color w:val="auto"/>
          <w:sz w:val="18"/>
          <w:szCs w:val="18"/>
        </w:rPr>
      </w:pPr>
      <w:r>
        <w:rPr>
          <w:rFonts w:ascii="Times New Roman" w:hAnsi="Times New Roman" w:cs="Times New Roman"/>
          <w:color w:val="auto"/>
          <w:sz w:val="23"/>
          <w:szCs w:val="23"/>
        </w:rPr>
        <w:lastRenderedPageBreak/>
        <w:t xml:space="preserve">ČLÁNEK I.14 – SPECIFICKÉ ODCHYLKY OD PŘÍLOHY I VŠEOBECNÉ PODMÍNKY ............................................................................................................. 10 </w:t>
      </w: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3 </w:t>
      </w:r>
    </w:p>
    <w:p w:rsidR="0091067D" w:rsidRDefault="0091067D" w:rsidP="0091067D">
      <w:pPr>
        <w:pStyle w:val="Default"/>
        <w:rPr>
          <w:color w:val="auto"/>
        </w:rPr>
      </w:pPr>
    </w:p>
    <w:p w:rsidR="0091067D" w:rsidRDefault="0091067D" w:rsidP="0091067D">
      <w:pPr>
        <w:pStyle w:val="Default"/>
        <w:pageBreakBefore/>
        <w:rPr>
          <w:color w:val="auto"/>
          <w:sz w:val="23"/>
          <w:szCs w:val="23"/>
        </w:rPr>
      </w:pPr>
      <w:r>
        <w:rPr>
          <w:rFonts w:ascii="Times New Roman" w:hAnsi="Times New Roman" w:cs="Times New Roman"/>
          <w:b/>
          <w:bCs/>
          <w:color w:val="auto"/>
          <w:sz w:val="23"/>
          <w:szCs w:val="23"/>
        </w:rPr>
        <w:lastRenderedPageBreak/>
        <w:t xml:space="preserve">ČLÁNEK I.1 – PŘEDMĚT DOHODY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I.1.1 Agentura se rozhodla udělit v souladu s podmínkami uvedenými ve zvláštních a všeobecných podmínkách, jakož i ostatních přílohách této dohody grant na projekt </w:t>
      </w:r>
      <w:r>
        <w:rPr>
          <w:rFonts w:ascii="Times New Roman" w:hAnsi="Times New Roman" w:cs="Times New Roman"/>
          <w:b/>
          <w:bCs/>
          <w:color w:val="auto"/>
          <w:sz w:val="23"/>
          <w:szCs w:val="23"/>
        </w:rPr>
        <w:t xml:space="preserve">Moderní technologie ve stavebnictví </w:t>
      </w:r>
      <w:r>
        <w:rPr>
          <w:rFonts w:ascii="Times New Roman" w:hAnsi="Times New Roman" w:cs="Times New Roman"/>
          <w:color w:val="auto"/>
          <w:sz w:val="23"/>
          <w:szCs w:val="23"/>
        </w:rPr>
        <w:t xml:space="preserve">(dále jen „projekt“) v rámci programu Erasmus+ klíčová akce 1: Vzdělávací mobilita jednotlivců, jak je popsáno v příloze II.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I.1.2 Podpisem této dohody přijímá příjemce grant a souhlasí, že projekt na svou odpovědnost provede.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I.2 – NABYTÍ ÚČINNOSTI A OBDOBÍ PLNĚNÍ DOHODY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I.2.1 Dohoda nabývá účinnosti dnem, kdy ji podepíše poslední smluvní strana.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I.2.2 Projekt trvá po dobu </w:t>
      </w:r>
      <w:r>
        <w:rPr>
          <w:rFonts w:ascii="Times New Roman" w:hAnsi="Times New Roman" w:cs="Times New Roman"/>
          <w:b/>
          <w:bCs/>
          <w:color w:val="auto"/>
          <w:sz w:val="23"/>
          <w:szCs w:val="23"/>
        </w:rPr>
        <w:t xml:space="preserve">12 </w:t>
      </w:r>
      <w:r>
        <w:rPr>
          <w:rFonts w:ascii="Times New Roman" w:hAnsi="Times New Roman" w:cs="Times New Roman"/>
          <w:color w:val="auto"/>
          <w:sz w:val="23"/>
          <w:szCs w:val="23"/>
        </w:rPr>
        <w:t xml:space="preserve">měsíců od </w:t>
      </w:r>
      <w:r>
        <w:rPr>
          <w:rFonts w:ascii="Times New Roman" w:hAnsi="Times New Roman" w:cs="Times New Roman"/>
          <w:b/>
          <w:bCs/>
          <w:color w:val="auto"/>
          <w:sz w:val="23"/>
          <w:szCs w:val="23"/>
        </w:rPr>
        <w:t xml:space="preserve">01.09.2018 </w:t>
      </w:r>
      <w:r>
        <w:rPr>
          <w:rFonts w:ascii="Times New Roman" w:hAnsi="Times New Roman" w:cs="Times New Roman"/>
          <w:color w:val="auto"/>
          <w:sz w:val="23"/>
          <w:szCs w:val="23"/>
        </w:rPr>
        <w:t xml:space="preserve">do </w:t>
      </w:r>
      <w:r>
        <w:rPr>
          <w:rFonts w:ascii="Times New Roman" w:hAnsi="Times New Roman" w:cs="Times New Roman"/>
          <w:b/>
          <w:bCs/>
          <w:color w:val="auto"/>
          <w:sz w:val="23"/>
          <w:szCs w:val="23"/>
        </w:rPr>
        <w:t xml:space="preserve">31.08.2019.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I.3 – MAXIMÁLNÍ VÝŠE GRANTU A JEHO FORMA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I.3.1 Maximální výše grantu činí 22652,00 EUR.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I.3.2 Grant má formu jednotkových příspěvků a proplacení skutečně vynaložených způsobilých nákladů v souladu s následujícími ustanoveními: </w:t>
      </w:r>
    </w:p>
    <w:p w:rsidR="0091067D" w:rsidRDefault="0091067D" w:rsidP="0091067D">
      <w:pPr>
        <w:pStyle w:val="Default"/>
        <w:spacing w:after="27"/>
        <w:rPr>
          <w:rFonts w:ascii="Times New Roman" w:hAnsi="Times New Roman" w:cs="Times New Roman"/>
          <w:color w:val="auto"/>
          <w:sz w:val="23"/>
          <w:szCs w:val="23"/>
        </w:rPr>
      </w:pPr>
      <w:r>
        <w:rPr>
          <w:rFonts w:ascii="Times New Roman" w:hAnsi="Times New Roman" w:cs="Times New Roman"/>
          <w:color w:val="auto"/>
          <w:sz w:val="23"/>
          <w:szCs w:val="23"/>
        </w:rPr>
        <w:t xml:space="preserve">a) způsobilé náklady podle přílohy III; </w:t>
      </w:r>
    </w:p>
    <w:p w:rsidR="0091067D" w:rsidRDefault="0091067D" w:rsidP="0091067D">
      <w:pPr>
        <w:pStyle w:val="Default"/>
        <w:spacing w:after="27"/>
        <w:rPr>
          <w:color w:val="auto"/>
          <w:sz w:val="23"/>
          <w:szCs w:val="23"/>
        </w:rPr>
      </w:pPr>
      <w:r>
        <w:rPr>
          <w:rFonts w:ascii="Times New Roman" w:hAnsi="Times New Roman" w:cs="Times New Roman"/>
          <w:color w:val="auto"/>
          <w:sz w:val="23"/>
          <w:szCs w:val="23"/>
        </w:rPr>
        <w:t xml:space="preserve">b) souhrnný rozpočet podle přílohy II;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c) finanční pravidla podle přílohy III. </w:t>
      </w:r>
    </w:p>
    <w:p w:rsidR="0091067D" w:rsidRDefault="0091067D" w:rsidP="0091067D">
      <w:pPr>
        <w:pStyle w:val="Default"/>
        <w:rPr>
          <w:rFonts w:ascii="Times New Roman" w:hAnsi="Times New Roman" w:cs="Times New Roman"/>
          <w:color w:val="auto"/>
          <w:sz w:val="23"/>
          <w:szCs w:val="23"/>
        </w:rPr>
      </w:pP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I.3.3 Převody rozpočtových prostředků bez dodatku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smí provádět převody finančních prostředků mezi různými rozpočtovými kategoriemi, které vedou k úpravě souhrnného rozpočtu a souvisejících aktivit popsaných v příloze II, aniž by požádal o změnu dohody podle článku II.13, za podmínky, že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 je projekt prováděn v souladu se schválenou projektovou žádostí a celkovými cíli popsanými v příloze II </w:t>
      </w:r>
    </w:p>
    <w:p w:rsidR="0091067D" w:rsidRDefault="0091067D" w:rsidP="0091067D">
      <w:pPr>
        <w:pStyle w:val="Default"/>
        <w:rPr>
          <w:color w:val="auto"/>
          <w:sz w:val="23"/>
          <w:szCs w:val="23"/>
        </w:rPr>
      </w:pP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a jsou dodržena následující pravidla: </w:t>
      </w:r>
    </w:p>
    <w:p w:rsidR="0091067D" w:rsidRDefault="0091067D" w:rsidP="0091067D">
      <w:pPr>
        <w:pStyle w:val="Default"/>
        <w:rPr>
          <w:rFonts w:ascii="Times New Roman" w:hAnsi="Times New Roman" w:cs="Times New Roman"/>
          <w:color w:val="auto"/>
          <w:sz w:val="23"/>
          <w:szCs w:val="23"/>
        </w:rPr>
      </w:pPr>
    </w:p>
    <w:p w:rsidR="0091067D" w:rsidRDefault="0091067D" w:rsidP="0091067D">
      <w:pPr>
        <w:pStyle w:val="Default"/>
        <w:spacing w:after="265"/>
        <w:rPr>
          <w:color w:val="auto"/>
          <w:sz w:val="23"/>
          <w:szCs w:val="23"/>
        </w:rPr>
      </w:pPr>
      <w:r>
        <w:rPr>
          <w:rFonts w:ascii="Times New Roman" w:hAnsi="Times New Roman" w:cs="Times New Roman"/>
          <w:color w:val="auto"/>
          <w:sz w:val="23"/>
          <w:szCs w:val="23"/>
        </w:rPr>
        <w:t xml:space="preserve">a) Finanční prostředky přidělené na náklady na organizaci mobilit nesmí být zvýšeny.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 Maximálně 20 % celkových finančních prostředků původně vyčleněných na aktivitu ErasmusPro (náklady na organizaci mobilit, cestovní náklady a pobytové náklady, </w:t>
      </w:r>
    </w:p>
    <w:p w:rsidR="0091067D" w:rsidRDefault="0091067D" w:rsidP="0091067D">
      <w:pPr>
        <w:pStyle w:val="Default"/>
        <w:rPr>
          <w:color w:val="auto"/>
          <w:sz w:val="18"/>
          <w:szCs w:val="18"/>
        </w:rPr>
      </w:pP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4 </w:t>
      </w:r>
    </w:p>
    <w:p w:rsidR="0091067D" w:rsidRDefault="0091067D" w:rsidP="0091067D">
      <w:pPr>
        <w:pStyle w:val="Default"/>
        <w:rPr>
          <w:color w:val="auto"/>
        </w:rPr>
      </w:pPr>
    </w:p>
    <w:p w:rsidR="0091067D" w:rsidRDefault="0091067D" w:rsidP="0091067D">
      <w:pPr>
        <w:pStyle w:val="Default"/>
        <w:pageBreakBefore/>
        <w:rPr>
          <w:color w:val="auto"/>
        </w:rPr>
      </w:pPr>
    </w:p>
    <w:p w:rsidR="0091067D" w:rsidRDefault="0091067D" w:rsidP="0091067D">
      <w:pPr>
        <w:pStyle w:val="Default"/>
        <w:spacing w:after="267"/>
        <w:rPr>
          <w:color w:val="auto"/>
          <w:sz w:val="23"/>
          <w:szCs w:val="23"/>
        </w:rPr>
      </w:pPr>
      <w:r>
        <w:rPr>
          <w:rFonts w:ascii="Times New Roman" w:hAnsi="Times New Roman" w:cs="Times New Roman"/>
          <w:color w:val="auto"/>
          <w:sz w:val="23"/>
          <w:szCs w:val="23"/>
        </w:rPr>
        <w:t xml:space="preserve">včetně prostředků vyčleněných na předvýjezdové plánovací návštěvy) může být převedeno na jiné typy aktivit. </w:t>
      </w:r>
    </w:p>
    <w:p w:rsidR="0091067D" w:rsidRDefault="0091067D" w:rsidP="0091067D">
      <w:pPr>
        <w:pStyle w:val="Default"/>
        <w:spacing w:after="267"/>
        <w:rPr>
          <w:color w:val="auto"/>
          <w:sz w:val="23"/>
          <w:szCs w:val="23"/>
        </w:rPr>
      </w:pPr>
      <w:r>
        <w:rPr>
          <w:rFonts w:ascii="Times New Roman" w:hAnsi="Times New Roman" w:cs="Times New Roman"/>
          <w:color w:val="auto"/>
          <w:sz w:val="23"/>
          <w:szCs w:val="23"/>
        </w:rPr>
        <w:t xml:space="preserve">c) Celkové finanční prostředky původně vyčleněné na předvýjezdové plánovací návštěvy v rámci ErasmusPro (cestovní a pobytové náklady) mohou být zvýšeny maximálně o 20 %. </w:t>
      </w:r>
    </w:p>
    <w:p w:rsidR="0091067D" w:rsidRDefault="0091067D" w:rsidP="0091067D">
      <w:pPr>
        <w:pStyle w:val="Default"/>
        <w:spacing w:after="267"/>
        <w:rPr>
          <w:color w:val="auto"/>
          <w:sz w:val="23"/>
          <w:szCs w:val="23"/>
        </w:rPr>
      </w:pPr>
      <w:r>
        <w:rPr>
          <w:rFonts w:ascii="Times New Roman" w:hAnsi="Times New Roman" w:cs="Times New Roman"/>
          <w:color w:val="auto"/>
          <w:sz w:val="23"/>
          <w:szCs w:val="23"/>
        </w:rPr>
        <w:t xml:space="preserve">d) Celkové finanční prostředky původně vyčleněné na mobilitu pracovníků (cestovní a pobytové náklady) mohou být zvýšeny maximálně o 20 %.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e) Finanční prostředky na náklady na účastníky se specifickými potřebami a na mimořádné náklady v souvislosti s podporou účastníků s omezenými příležitostmi nesmí být převedeny na jinou rozpočtovou kategorii.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I.4 – PODÁVÁNÍ ZPRÁV A PLATEBNÍ UJEDNÁNÍ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Platí následující ustanovení o podávání zpráv a platbách: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I.4.1 Platby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Agentura musí provést tyto platby ve prospěch příjemce: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první zálohu,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doplatek na základě žádosti o doplatek podle článku I.4.4.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I.4.2 První záloha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Účelem zálohových plateb je poskytnout příjemci počáteční finanční prostředky. Tyto prostředky zůstávají až do výplaty doplatku majetkem agentury.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Agentura musí příjemci uhradit do 30 dnů po nabytí účinnosti dohody platbu zálohy ve výši </w:t>
      </w:r>
      <w:r>
        <w:rPr>
          <w:rFonts w:ascii="Times New Roman" w:hAnsi="Times New Roman" w:cs="Times New Roman"/>
          <w:b/>
          <w:bCs/>
          <w:color w:val="auto"/>
          <w:sz w:val="23"/>
          <w:szCs w:val="23"/>
        </w:rPr>
        <w:t xml:space="preserve">18121,60 EUR </w:t>
      </w:r>
      <w:r>
        <w:rPr>
          <w:rFonts w:ascii="Times New Roman" w:hAnsi="Times New Roman" w:cs="Times New Roman"/>
          <w:color w:val="auto"/>
          <w:sz w:val="23"/>
          <w:szCs w:val="23"/>
        </w:rPr>
        <w:t xml:space="preserve">odpovídající 80% maximální výše grantu uvedené v článku I.3.1.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I.4.3 Průběžné zprávy a další zálohy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Nepoužije se. </w:t>
      </w: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5 </w:t>
      </w:r>
    </w:p>
    <w:p w:rsidR="0091067D" w:rsidRDefault="0091067D" w:rsidP="0091067D">
      <w:pPr>
        <w:pStyle w:val="Default"/>
        <w:rPr>
          <w:color w:val="auto"/>
        </w:rPr>
      </w:pPr>
    </w:p>
    <w:p w:rsidR="0091067D" w:rsidRDefault="0091067D" w:rsidP="0091067D">
      <w:pPr>
        <w:pStyle w:val="Default"/>
        <w:pageBreakBefore/>
        <w:rPr>
          <w:color w:val="auto"/>
          <w:sz w:val="23"/>
          <w:szCs w:val="23"/>
        </w:rPr>
      </w:pPr>
      <w:r>
        <w:rPr>
          <w:rFonts w:ascii="Times New Roman" w:hAnsi="Times New Roman" w:cs="Times New Roman"/>
          <w:b/>
          <w:bCs/>
          <w:color w:val="auto"/>
          <w:sz w:val="23"/>
          <w:szCs w:val="23"/>
        </w:rPr>
        <w:lastRenderedPageBreak/>
        <w:t xml:space="preserve">I.4.4 Závěrečná zpráva a žádost o doplatek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musí do 30 kalendářních dnů po datu ukončení projektu podle článku I.2.2 vypracovat závěrečnou zprávu o provádění projektu. Je-li grant udělen formou proplacení jednotkových příspěvků nebo způsobilých nákladů skutečně vzniklých v souladu s přílohou III, musí tato zpráva obsahovat informace, které jsou nezbytné k odůvodnění částky požadované na základě jednotkových příspěvků nebo způsobilých nákladů skutečně vzniklých.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Závěrečná zpráva je pokládána za žádost příjemce o doplatek.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musí potvrdit, že informace uvedené v žádosti o doplatek jsou úplné, spolehlivé a pravdivé. Musí rovněž potvrdit, že vzniklé náklady lze pokládat za způsobilé v souladu s dohodou a že žádost o doplatek dokládají patřičné podpůrné dokumenty, které lze předložit v souvislosti s kontrolami nebo audity popsanými v článku II.27.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I.4.5 Platba doplatku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Platbou doplatku se proplácí či hradí zbývající část způsobilých nákladů, které příjemci vznikly v souvislosti s prováděním projektu.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Agentura určí splatnou částku jako doplatek odečtením celkové částky záloh již vyplacených od konečné výše grantu, která byla vypočtena v souladu s článkem II.25.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Je-li celková výše doposud provedených plateb vyšší nežli konečná výše grantu vypočtená podle článku II.25, probíhá výplata doplatku formou vratky podle článku II.26.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Je-li celková částka dřívějších záloh nižší než konečná výše grantu vypočtená podle článku II.25, musí agentura vyplatit doplatek do 60 kalendářních dnů od dne, kdy obdrží doklady uvedené v článku I.4.4, s výjimkou případů, kdy se použije článek II.24.1 nebo II.24.2.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Podmínkou pro provedení platby je schválení žádosti o vyplacení doplatku a podpůrných dokumentů. Toto schválení neznamená, že bylo uznáno splnění požadavků, pravost, úplnost nebo správnost jejich obsahu.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Částka k vyplacení však může být bez souhlasu příjemce započtena proti případné jiné dlužné částce, kterou je příjemce povinen uhradit agentuře, a to až do maximální výše grantu.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I.4.6 Oznámení o výši plateb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Agentura musí zaslat příjemci </w:t>
      </w:r>
      <w:r>
        <w:rPr>
          <w:rFonts w:ascii="Times New Roman" w:hAnsi="Times New Roman" w:cs="Times New Roman"/>
          <w:i/>
          <w:iCs/>
          <w:color w:val="auto"/>
          <w:sz w:val="23"/>
          <w:szCs w:val="23"/>
        </w:rPr>
        <w:t>formální oznámení</w:t>
      </w:r>
      <w:r>
        <w:rPr>
          <w:rFonts w:ascii="Times New Roman" w:hAnsi="Times New Roman" w:cs="Times New Roman"/>
          <w:color w:val="auto"/>
          <w:sz w:val="23"/>
          <w:szCs w:val="23"/>
        </w:rPr>
        <w:t xml:space="preserve">: </w:t>
      </w:r>
    </w:p>
    <w:p w:rsidR="0091067D" w:rsidRDefault="0091067D" w:rsidP="0091067D">
      <w:pPr>
        <w:pStyle w:val="Default"/>
        <w:spacing w:after="30"/>
        <w:rPr>
          <w:rFonts w:ascii="Times New Roman" w:hAnsi="Times New Roman" w:cs="Times New Roman"/>
          <w:color w:val="auto"/>
          <w:sz w:val="23"/>
          <w:szCs w:val="23"/>
        </w:rPr>
      </w:pPr>
      <w:r>
        <w:rPr>
          <w:rFonts w:ascii="Times New Roman" w:hAnsi="Times New Roman" w:cs="Times New Roman"/>
          <w:color w:val="auto"/>
          <w:sz w:val="23"/>
          <w:szCs w:val="23"/>
        </w:rPr>
        <w:t xml:space="preserve">a) kterým ho informuje o výši platby a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 ve kterém uvádí, zda se oznámení týká další zálohy nebo vyplacení doplatku. </w:t>
      </w:r>
    </w:p>
    <w:p w:rsidR="0091067D" w:rsidRDefault="0091067D" w:rsidP="0091067D">
      <w:pPr>
        <w:pStyle w:val="Default"/>
        <w:rPr>
          <w:color w:val="auto"/>
          <w:sz w:val="18"/>
          <w:szCs w:val="18"/>
        </w:rPr>
      </w:pP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6 </w:t>
      </w:r>
    </w:p>
    <w:p w:rsidR="0091067D" w:rsidRDefault="0091067D" w:rsidP="0091067D">
      <w:pPr>
        <w:pStyle w:val="Default"/>
        <w:rPr>
          <w:color w:val="auto"/>
        </w:rPr>
      </w:pPr>
    </w:p>
    <w:p w:rsidR="0091067D" w:rsidRDefault="0091067D" w:rsidP="0091067D">
      <w:pPr>
        <w:pStyle w:val="Default"/>
        <w:pageBreakBefore/>
        <w:rPr>
          <w:color w:val="auto"/>
          <w:sz w:val="23"/>
          <w:szCs w:val="23"/>
        </w:rPr>
      </w:pPr>
      <w:r>
        <w:rPr>
          <w:rFonts w:ascii="Times New Roman" w:hAnsi="Times New Roman" w:cs="Times New Roman"/>
          <w:color w:val="auto"/>
          <w:sz w:val="23"/>
          <w:szCs w:val="23"/>
        </w:rPr>
        <w:lastRenderedPageBreak/>
        <w:t xml:space="preserve">Pokud jde o vyplacení doplatku, agentura musí rovněž uvést konečnou částku grantu vypočtenou v souladu s článkem II.25.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I.4.7 Platby ve prospěch příjemce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Agentura musí provádět platby ve prospěch příjemce.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Platbou ve prospěch příjemce bude splněna platební povinnost agentury.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I.4.8 Jazyk žádostí o platby a zpráv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Všechny žádosti o platby a zprávy musí být předkládány v českém jazyce.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I.4.9 Měna pro žádosti o platby a přepočet na eura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Žádost o platbu musí být předložena v EUR. </w:t>
      </w:r>
    </w:p>
    <w:p w:rsidR="0091067D" w:rsidRDefault="0091067D" w:rsidP="0091067D">
      <w:pPr>
        <w:pStyle w:val="Default"/>
        <w:rPr>
          <w:color w:val="auto"/>
          <w:sz w:val="23"/>
          <w:szCs w:val="23"/>
        </w:rPr>
      </w:pPr>
      <w:r>
        <w:rPr>
          <w:rFonts w:ascii="Times New Roman" w:hAnsi="Times New Roman" w:cs="Times New Roman"/>
          <w:color w:val="auto"/>
          <w:sz w:val="23"/>
          <w:szCs w:val="23"/>
        </w:rPr>
        <w:t>Každý přepočet nákladů (v rámci rozpočtových kategorií stanovených na základě skutečně vynaložených nákladů) vzniklých v jiných měnách na euro musí příjemce provést s použitím měsíčního směnného kurzu stanoveného Komisí a zveřejněného na jejích internetových stránkách</w:t>
      </w:r>
      <w:r>
        <w:rPr>
          <w:rFonts w:ascii="Times New Roman" w:hAnsi="Times New Roman" w:cs="Times New Roman"/>
          <w:color w:val="auto"/>
          <w:sz w:val="16"/>
          <w:szCs w:val="16"/>
        </w:rPr>
        <w:t xml:space="preserve">2 </w:t>
      </w:r>
      <w:r>
        <w:rPr>
          <w:rFonts w:ascii="Times New Roman" w:hAnsi="Times New Roman" w:cs="Times New Roman"/>
          <w:color w:val="auto"/>
          <w:sz w:val="23"/>
          <w:szCs w:val="23"/>
        </w:rPr>
        <w:t xml:space="preserve">platných v den, kdy dohodu podepíše poslední z obou smluvních stran. </w:t>
      </w:r>
    </w:p>
    <w:p w:rsidR="0091067D" w:rsidRDefault="0091067D" w:rsidP="0091067D">
      <w:pPr>
        <w:pStyle w:val="Default"/>
        <w:rPr>
          <w:color w:val="auto"/>
          <w:sz w:val="23"/>
          <w:szCs w:val="23"/>
        </w:rPr>
      </w:pPr>
      <w:r>
        <w:rPr>
          <w:rFonts w:ascii="Times New Roman" w:hAnsi="Times New Roman" w:cs="Times New Roman"/>
          <w:sz w:val="13"/>
          <w:szCs w:val="13"/>
        </w:rPr>
        <w:t xml:space="preserve">2 </w:t>
      </w:r>
      <w:r>
        <w:rPr>
          <w:rFonts w:ascii="Times New Roman" w:hAnsi="Times New Roman" w:cs="Times New Roman"/>
          <w:sz w:val="20"/>
          <w:szCs w:val="20"/>
        </w:rPr>
        <w:t xml:space="preserve">http://ec.europa.eu/budget/contracts_grants/info_contracts/inforeuro/inforeuro_en.cfm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I.4.10 Měna pro platby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Agentura je povinna provádět platby v EUR.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I.4.11 Datum platby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Platby prováděné agenturou jsou považovány za provedené v den, kdy jsou připsány k tíži jejího účtu, nestanoví-li vnitrostátní právo jinak.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I.4.12 Náklady na platební převody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Náklady na platební převody ponesou strany dohody takto: </w:t>
      </w:r>
    </w:p>
    <w:p w:rsidR="0091067D" w:rsidRDefault="0091067D" w:rsidP="0091067D">
      <w:pPr>
        <w:pStyle w:val="Default"/>
        <w:spacing w:after="27"/>
        <w:rPr>
          <w:rFonts w:ascii="Times New Roman" w:hAnsi="Times New Roman" w:cs="Times New Roman"/>
          <w:color w:val="auto"/>
          <w:sz w:val="23"/>
          <w:szCs w:val="23"/>
        </w:rPr>
      </w:pPr>
      <w:r>
        <w:rPr>
          <w:rFonts w:ascii="Times New Roman" w:hAnsi="Times New Roman" w:cs="Times New Roman"/>
          <w:color w:val="auto"/>
          <w:sz w:val="23"/>
          <w:szCs w:val="23"/>
        </w:rPr>
        <w:t xml:space="preserve">a) agentura ponese náklady na převod účtované její bankou; </w:t>
      </w:r>
    </w:p>
    <w:p w:rsidR="0091067D" w:rsidRDefault="0091067D" w:rsidP="0091067D">
      <w:pPr>
        <w:pStyle w:val="Default"/>
        <w:spacing w:after="27"/>
        <w:rPr>
          <w:rFonts w:ascii="Times New Roman" w:hAnsi="Times New Roman" w:cs="Times New Roman"/>
          <w:color w:val="auto"/>
          <w:sz w:val="23"/>
          <w:szCs w:val="23"/>
        </w:rPr>
      </w:pPr>
      <w:r>
        <w:rPr>
          <w:rFonts w:ascii="Times New Roman" w:hAnsi="Times New Roman" w:cs="Times New Roman"/>
          <w:color w:val="auto"/>
          <w:sz w:val="23"/>
          <w:szCs w:val="23"/>
        </w:rPr>
        <w:t xml:space="preserve">b) příjemce ponese náklady na převod účtované jeho bankou;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c) strana, která zapříčiní opakování určitého převodu, ponese veškeré náklady spojené s opakovanými převody.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I.4.13 Úroky z prodlení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Neprovede-li agentura platbu ve lhůtě stanovené pro platby, má příjemce nárok na úrok z prodlení. Splatný úrok se určuje v souladu s ustanoveními ve vnitrostátním právu, která se </w:t>
      </w: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7 </w:t>
      </w:r>
    </w:p>
    <w:p w:rsidR="0091067D" w:rsidRDefault="0091067D" w:rsidP="0091067D">
      <w:pPr>
        <w:pStyle w:val="Default"/>
        <w:rPr>
          <w:color w:val="auto"/>
        </w:rPr>
      </w:pPr>
    </w:p>
    <w:p w:rsidR="0091067D" w:rsidRDefault="0091067D" w:rsidP="0091067D">
      <w:pPr>
        <w:pStyle w:val="Default"/>
        <w:pageBreakBefore/>
        <w:rPr>
          <w:color w:val="auto"/>
          <w:sz w:val="23"/>
          <w:szCs w:val="23"/>
        </w:rPr>
      </w:pPr>
      <w:r>
        <w:rPr>
          <w:rFonts w:ascii="Times New Roman" w:hAnsi="Times New Roman" w:cs="Times New Roman"/>
          <w:color w:val="auto"/>
          <w:sz w:val="23"/>
          <w:szCs w:val="23"/>
        </w:rPr>
        <w:lastRenderedPageBreak/>
        <w:t xml:space="preserve">vztahují na dohodu, nebo v pravidlech agentury. Neexistují-li taková ustanovení, vypočítá se splatný úrok podle sazby Evropské centrální banky, kterou tato banka používá pro své hlavní refinanční operace v eurech („referenční sazba“), plus tři a půl bodu. Referenční sazbou je sazba platná v první den měsíce, v němž uplyne platební lhůta, zveřejněná v řadě C </w:t>
      </w:r>
      <w:r>
        <w:rPr>
          <w:rFonts w:ascii="Times New Roman" w:hAnsi="Times New Roman" w:cs="Times New Roman"/>
          <w:i/>
          <w:iCs/>
          <w:color w:val="auto"/>
          <w:sz w:val="23"/>
          <w:szCs w:val="23"/>
        </w:rPr>
        <w:t>Úředního věstníku Evropské unie</w:t>
      </w:r>
      <w:r>
        <w:rPr>
          <w:rFonts w:ascii="Times New Roman" w:hAnsi="Times New Roman" w:cs="Times New Roman"/>
          <w:color w:val="auto"/>
          <w:sz w:val="23"/>
          <w:szCs w:val="23"/>
        </w:rPr>
        <w:t xml:space="preserv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Pokud agentura pozastaví lhůtu pro platby podle článku II.24.2 nebo pozastaví skutečné platby podle článku II.24.1, nelze je považovat za opožděné platby.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Úroky z prodlení se počítají za období ode dne, jenž následuje po dni splatnosti platby, až do dne provedení skutečné platby včetně ve smyslu článku I.4.11. Při výpočtu konečné výše grantu ve smyslu článku II.25 agentura nepřihlíží ke splatnému úroku.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Odchylně od prvního pododstavce platí, že činí-li vypočtené úroky 200 EUR nebo jsou nižší, musí být příjemci vyplaceny pouze na jeho žádost podanou do dvou měsíců od připsání opožděné platby.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I.5 – BANKOVNÍ ÚČET PRO PLATBY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Veškeré platby jsou poukazovány na níže uvedený bankovní účet příjemce: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Název banky: </w:t>
      </w:r>
      <w:r>
        <w:rPr>
          <w:rFonts w:ascii="Times New Roman" w:hAnsi="Times New Roman" w:cs="Times New Roman"/>
          <w:b/>
          <w:bCs/>
          <w:color w:val="auto"/>
          <w:sz w:val="23"/>
          <w:szCs w:val="23"/>
        </w:rPr>
        <w:t xml:space="preserve">Komerční banka </w:t>
      </w:r>
      <w:r>
        <w:rPr>
          <w:rFonts w:ascii="Times New Roman" w:hAnsi="Times New Roman" w:cs="Times New Roman"/>
          <w:color w:val="auto"/>
          <w:sz w:val="23"/>
          <w:szCs w:val="23"/>
        </w:rPr>
        <w:t xml:space="preserve">Přesný název/jméno majitele účtu: </w:t>
      </w:r>
      <w:r>
        <w:rPr>
          <w:rFonts w:ascii="Times New Roman" w:hAnsi="Times New Roman" w:cs="Times New Roman"/>
          <w:b/>
          <w:bCs/>
          <w:color w:val="auto"/>
          <w:sz w:val="23"/>
          <w:szCs w:val="23"/>
        </w:rPr>
        <w:t xml:space="preserve">Střední průmyslová škola stavební Pardubice </w:t>
      </w:r>
      <w:r>
        <w:rPr>
          <w:rFonts w:ascii="Times New Roman" w:hAnsi="Times New Roman" w:cs="Times New Roman"/>
          <w:color w:val="auto"/>
          <w:sz w:val="23"/>
          <w:szCs w:val="23"/>
        </w:rPr>
        <w:t xml:space="preserve">Úplné číslo účtu (včetně bankovních kódů): </w:t>
      </w:r>
      <w:r w:rsidR="00E776FD">
        <w:rPr>
          <w:rFonts w:ascii="Times New Roman" w:hAnsi="Times New Roman" w:cs="Times New Roman"/>
          <w:b/>
          <w:bCs/>
          <w:color w:val="auto"/>
          <w:sz w:val="23"/>
          <w:szCs w:val="23"/>
        </w:rPr>
        <w:t>xxxxxxxxxxxx</w:t>
      </w:r>
      <w:r>
        <w:rPr>
          <w:rFonts w:ascii="Times New Roman" w:hAnsi="Times New Roman" w:cs="Times New Roman"/>
          <w:color w:val="auto"/>
          <w:sz w:val="23"/>
          <w:szCs w:val="23"/>
        </w:rPr>
        <w:t xml:space="preserve">IBAN: </w:t>
      </w:r>
      <w:r w:rsidR="00E776FD">
        <w:rPr>
          <w:rFonts w:ascii="Times New Roman" w:hAnsi="Times New Roman" w:cs="Times New Roman"/>
          <w:b/>
          <w:bCs/>
          <w:color w:val="auto"/>
          <w:sz w:val="23"/>
          <w:szCs w:val="23"/>
        </w:rPr>
        <w:t>xxxxxxxxxxxxxxxxx</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Měna: </w:t>
      </w:r>
      <w:r>
        <w:rPr>
          <w:rFonts w:ascii="Times New Roman" w:hAnsi="Times New Roman" w:cs="Times New Roman"/>
          <w:b/>
          <w:bCs/>
          <w:color w:val="auto"/>
          <w:sz w:val="23"/>
          <w:szCs w:val="23"/>
        </w:rPr>
        <w:t xml:space="preserve">EUR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I.6 – SPRÁVCE ÚDAJŮ A ÚDAJE STRAN PRO KOMUNIKACI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I.6.1 Správce údajů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Subjektem jednajícím jako správce údajů podle článku II.7 je: Dům zahraniční spolupráce.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I.6.2 Údaje pro komunikaci – agentura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Veškerá sdělení určená agentuře musí příjemce zasílat na tuto adresu: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Dům zahraniční spolupráce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Na Poříčí 1035/4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110 00, Praha 1, Česká republika </w:t>
      </w:r>
    </w:p>
    <w:p w:rsidR="0091067D" w:rsidRDefault="0091067D" w:rsidP="0091067D">
      <w:pPr>
        <w:pStyle w:val="Default"/>
        <w:rPr>
          <w:color w:val="auto"/>
          <w:sz w:val="18"/>
          <w:szCs w:val="18"/>
        </w:rPr>
      </w:pPr>
      <w:r>
        <w:rPr>
          <w:rFonts w:ascii="Times New Roman" w:hAnsi="Times New Roman" w:cs="Times New Roman"/>
          <w:i/>
          <w:iCs/>
          <w:color w:val="auto"/>
          <w:sz w:val="23"/>
          <w:szCs w:val="23"/>
        </w:rPr>
        <w:t xml:space="preserve">E-mailová adresa: </w:t>
      </w:r>
      <w:r w:rsidR="00E776FD">
        <w:rPr>
          <w:rFonts w:ascii="Times New Roman" w:hAnsi="Times New Roman" w:cs="Times New Roman"/>
          <w:i/>
          <w:iCs/>
          <w:color w:val="auto"/>
          <w:sz w:val="23"/>
          <w:szCs w:val="23"/>
        </w:rPr>
        <w:t>xxxxxxxxxx</w:t>
      </w:r>
      <w:r>
        <w:rPr>
          <w:rFonts w:ascii="Times New Roman" w:hAnsi="Times New Roman" w:cs="Times New Roman"/>
          <w:i/>
          <w:iCs/>
          <w:color w:val="auto"/>
          <w:sz w:val="23"/>
          <w:szCs w:val="23"/>
        </w:rPr>
        <w:t xml:space="preserve"> </w:t>
      </w: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8 </w:t>
      </w:r>
    </w:p>
    <w:p w:rsidR="0091067D" w:rsidRDefault="0091067D" w:rsidP="0091067D">
      <w:pPr>
        <w:pStyle w:val="Default"/>
        <w:rPr>
          <w:color w:val="auto"/>
        </w:rPr>
      </w:pPr>
    </w:p>
    <w:p w:rsidR="0091067D" w:rsidRDefault="0091067D" w:rsidP="0091067D">
      <w:pPr>
        <w:pStyle w:val="Default"/>
        <w:pageBreakBefore/>
        <w:rPr>
          <w:color w:val="auto"/>
          <w:sz w:val="23"/>
          <w:szCs w:val="23"/>
        </w:rPr>
      </w:pPr>
      <w:r>
        <w:rPr>
          <w:rFonts w:ascii="Times New Roman" w:hAnsi="Times New Roman" w:cs="Times New Roman"/>
          <w:b/>
          <w:bCs/>
          <w:color w:val="auto"/>
          <w:sz w:val="23"/>
          <w:szCs w:val="23"/>
        </w:rPr>
        <w:lastRenderedPageBreak/>
        <w:t xml:space="preserve">I.6.3 Údaje pro komunikaci – příjemce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Veškerá sdělení určená příjemci musí agentura zasílat na tuto adresu: </w:t>
      </w:r>
    </w:p>
    <w:p w:rsidR="0091067D" w:rsidRDefault="00E776F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xxxxxxxxxxxxx</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Střední průmyslová škola stavební Pardubice </w:t>
      </w:r>
    </w:p>
    <w:p w:rsidR="0091067D" w:rsidRDefault="0091067D" w:rsidP="0091067D">
      <w:pPr>
        <w:pStyle w:val="Default"/>
        <w:rPr>
          <w:color w:val="auto"/>
          <w:sz w:val="23"/>
          <w:szCs w:val="23"/>
        </w:rPr>
      </w:pPr>
      <w:r>
        <w:rPr>
          <w:rFonts w:ascii="Times New Roman" w:hAnsi="Times New Roman" w:cs="Times New Roman"/>
          <w:i/>
          <w:iCs/>
          <w:color w:val="auto"/>
          <w:sz w:val="23"/>
          <w:szCs w:val="23"/>
        </w:rPr>
        <w:t xml:space="preserve">Sokolovská 150, 533 54 Rybitví </w:t>
      </w:r>
    </w:p>
    <w:p w:rsidR="0091067D" w:rsidRDefault="0091067D" w:rsidP="0091067D">
      <w:pPr>
        <w:pStyle w:val="Default"/>
        <w:rPr>
          <w:color w:val="auto"/>
          <w:sz w:val="23"/>
          <w:szCs w:val="23"/>
        </w:rPr>
      </w:pPr>
      <w:r>
        <w:rPr>
          <w:rFonts w:ascii="Times New Roman" w:hAnsi="Times New Roman" w:cs="Times New Roman"/>
          <w:i/>
          <w:iCs/>
          <w:color w:val="auto"/>
          <w:sz w:val="23"/>
          <w:szCs w:val="23"/>
        </w:rPr>
        <w:t xml:space="preserve">E-mailová adresa: </w:t>
      </w:r>
      <w:r w:rsidR="00E776FD">
        <w:rPr>
          <w:rFonts w:ascii="Times New Roman" w:hAnsi="Times New Roman" w:cs="Times New Roman"/>
          <w:i/>
          <w:iCs/>
          <w:color w:val="auto"/>
          <w:sz w:val="23"/>
          <w:szCs w:val="23"/>
        </w:rPr>
        <w:t>xxxxxxxxxxxxxxxxxxxxxxxxx</w:t>
      </w:r>
      <w:r>
        <w:rPr>
          <w:rFonts w:ascii="Times New Roman" w:hAnsi="Times New Roman" w:cs="Times New Roman"/>
          <w:i/>
          <w:iCs/>
          <w:color w:val="auto"/>
          <w:sz w:val="23"/>
          <w:szCs w:val="23"/>
        </w:rPr>
        <w:t xml:space="preserv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Běžná projektová komunikace bude vedena s kontaktní osobou.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I.7 – OCHRANA A BEZPEČNOST ÚČASTNÍKŮ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musí mít zavedeny účinné postupy a mechanismy, které zajišťují bezpečnost a ochranu účastníků v jeho projektu.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musí zajistit, aby účastníkům mobility v zahraničí bylo poskytováno pojistné krytí.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I.8 – DOPLŇUJÍCÍ USTANOVENÍ O VYUŽÍVÁNÍ VÝSLEDKŮ (VČETNĚ PRÁV DUŠEVNÍHO A PRŮMYSLOVÉHO VLASTNICTVÍ) </w:t>
      </w:r>
    </w:p>
    <w:p w:rsidR="0091067D" w:rsidRDefault="0091067D" w:rsidP="0091067D">
      <w:pPr>
        <w:pStyle w:val="Default"/>
        <w:rPr>
          <w:color w:val="auto"/>
          <w:sz w:val="23"/>
          <w:szCs w:val="23"/>
        </w:rPr>
      </w:pPr>
      <w:r>
        <w:rPr>
          <w:rFonts w:ascii="Times New Roman" w:hAnsi="Times New Roman" w:cs="Times New Roman"/>
          <w:color w:val="auto"/>
          <w:sz w:val="23"/>
          <w:szCs w:val="23"/>
        </w:rPr>
        <w:t>Vedle ustanovení článku II.9.3 platí, že pokud příjemce vytvoří v rámci projektu vzdělávací materiály, musí být takové materiály zpřístupněny prostřednictvím internetu zdarma a v rámci otevřených licencí</w:t>
      </w:r>
      <w:r>
        <w:rPr>
          <w:rFonts w:ascii="Times New Roman" w:hAnsi="Times New Roman" w:cs="Times New Roman"/>
          <w:color w:val="auto"/>
          <w:sz w:val="16"/>
          <w:szCs w:val="16"/>
        </w:rPr>
        <w:t>3</w:t>
      </w:r>
      <w:r>
        <w:rPr>
          <w:rFonts w:ascii="Times New Roman" w:hAnsi="Times New Roman" w:cs="Times New Roman"/>
          <w:color w:val="auto"/>
          <w:sz w:val="23"/>
          <w:szCs w:val="23"/>
        </w:rPr>
        <w:t xml:space="preserve">. </w:t>
      </w:r>
    </w:p>
    <w:p w:rsidR="0091067D" w:rsidRDefault="0091067D" w:rsidP="0091067D">
      <w:pPr>
        <w:pStyle w:val="Default"/>
        <w:rPr>
          <w:color w:val="auto"/>
          <w:sz w:val="23"/>
          <w:szCs w:val="23"/>
        </w:rPr>
      </w:pPr>
      <w:r>
        <w:rPr>
          <w:rFonts w:ascii="Times New Roman" w:hAnsi="Times New Roman" w:cs="Times New Roman"/>
          <w:sz w:val="10"/>
          <w:szCs w:val="10"/>
        </w:rPr>
        <w:t xml:space="preserve">3 </w:t>
      </w:r>
      <w:r>
        <w:rPr>
          <w:rFonts w:ascii="Times New Roman" w:hAnsi="Times New Roman" w:cs="Times New Roman"/>
          <w:sz w:val="16"/>
          <w:szCs w:val="16"/>
        </w:rPr>
        <w:t xml:space="preserve">Otevřená licence – způsob, jakým vlastník díla uděluje jiným osobám povolení k používání zdroje. Licence se pojí s jednotlivými zdroji. Podle rozsahu udělených povolení nebo uložených omezení existují různé otevřené licence a příjemce si může vybrat konkrétní licenci, která se bude uplatňovat na jeho dílo. Otevřená licence musí být spojena s každým vytvořeným zdrojem. Otevřená licence nepředstavuje převod autorských práv ani práv duševního vlastnictví.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I.9 – POUŽÍVÁNÍ NÁSTROJŮ IT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I.9.1 Mobility Tool+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musí internetový nástroj Mobility Tool+ používat k záznamu všech informací souvisejících s aktivitami vykonávanými v rámci projektu, včetně aktivit s nulovým grantem z fondů EU a k vyhotovení a předložení dílčí zprávy, průběžné zprávy (je-li k dispozici v nástroji Mobility Tool+ a pro případy stanovené v článku I.4.3) a závěrečné zprávy.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Alespoň jednou měsíčně během projektu mobility musí příjemce vložit a aktualizovat jakékoli nové informace týkající se účastníků a mobilit. </w:t>
      </w:r>
      <w:r>
        <w:rPr>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9 </w:t>
      </w:r>
    </w:p>
    <w:p w:rsidR="0091067D" w:rsidRDefault="0091067D" w:rsidP="0091067D">
      <w:pPr>
        <w:pStyle w:val="Default"/>
        <w:rPr>
          <w:color w:val="auto"/>
        </w:rPr>
      </w:pPr>
    </w:p>
    <w:p w:rsidR="0091067D" w:rsidRDefault="0091067D" w:rsidP="0091067D">
      <w:pPr>
        <w:pStyle w:val="Default"/>
        <w:pageBreakBefore/>
        <w:rPr>
          <w:color w:val="auto"/>
          <w:sz w:val="23"/>
          <w:szCs w:val="23"/>
        </w:rPr>
      </w:pPr>
      <w:r>
        <w:rPr>
          <w:rFonts w:ascii="Times New Roman" w:hAnsi="Times New Roman" w:cs="Times New Roman"/>
          <w:b/>
          <w:bCs/>
          <w:color w:val="auto"/>
          <w:sz w:val="23"/>
          <w:szCs w:val="23"/>
        </w:rPr>
        <w:lastRenderedPageBreak/>
        <w:t xml:space="preserve">I.9.2 Platforma pro šíření výsledků programu Erasmus+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může používat Platformu pro šíření výsledků programu Erasmus+ (http://ec.europja.eu/erasmus-plus/projects/) k šíření výsledků projektů v souladu s pokyny, které jsou na ní uvedeny].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I.10 – DOPLŇUJÍCÍ USTANOVENÍ O SUBDODÁVKÁCH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Odchylně nejsou ustanovení čl. II.11.1 písm. c) a d) použitelná.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I.11 – DOPLŇUJÍCÍ USTANOVENÍ O VIDITELNOSTI FINANCOVÁNÍ EVROPSKOU UNIÍ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Aniž je dotčen článek II.8, musí příjemce uvést podporu přijatou v rámci programu Erasmus+ ve všech komunikačních a propagačních materiálech, na internetových stránkách a sociálních médiích. Pokyny pro příjemce a další třetí osoby jsou k dispozici na internetové adrese http://eacea.ec.europa.eu/about-eacea/visual-identity_en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I.12 – PODPORA ÚČASTNÍKŮ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Pokud při provádění projektu musí příjemce poskytnout účastníkům podporu, musí být v souladu s podmínkami upřesněnými v příloze II a příloze V (je-li to relevantní). Podle těchto podmínek musí být uvedeny alespoň tyto informace: </w:t>
      </w:r>
    </w:p>
    <w:p w:rsidR="0091067D" w:rsidRDefault="0091067D" w:rsidP="0091067D">
      <w:pPr>
        <w:pStyle w:val="Default"/>
        <w:spacing w:after="188"/>
        <w:rPr>
          <w:color w:val="auto"/>
          <w:sz w:val="23"/>
          <w:szCs w:val="23"/>
        </w:rPr>
      </w:pPr>
      <w:r>
        <w:rPr>
          <w:rFonts w:ascii="Times New Roman" w:hAnsi="Times New Roman" w:cs="Times New Roman"/>
          <w:color w:val="auto"/>
          <w:sz w:val="23"/>
          <w:szCs w:val="23"/>
        </w:rPr>
        <w:t xml:space="preserve">a) maximální výše finanční podpory. Tato částka nesmí překročit 60 000 EUR na každého účastníka; </w:t>
      </w:r>
    </w:p>
    <w:p w:rsidR="0091067D" w:rsidRDefault="0091067D" w:rsidP="0091067D">
      <w:pPr>
        <w:pStyle w:val="Default"/>
        <w:spacing w:after="188"/>
        <w:rPr>
          <w:color w:val="auto"/>
          <w:sz w:val="23"/>
          <w:szCs w:val="23"/>
        </w:rPr>
      </w:pPr>
      <w:r>
        <w:rPr>
          <w:rFonts w:ascii="Times New Roman" w:hAnsi="Times New Roman" w:cs="Times New Roman"/>
          <w:color w:val="auto"/>
          <w:sz w:val="23"/>
          <w:szCs w:val="23"/>
        </w:rPr>
        <w:t xml:space="preserve">b) kritéria pro stanovení přesné výše podpory; </w:t>
      </w:r>
    </w:p>
    <w:p w:rsidR="0091067D" w:rsidRDefault="0091067D" w:rsidP="0091067D">
      <w:pPr>
        <w:pStyle w:val="Default"/>
        <w:spacing w:after="188"/>
        <w:rPr>
          <w:color w:val="auto"/>
          <w:sz w:val="23"/>
          <w:szCs w:val="23"/>
        </w:rPr>
      </w:pPr>
      <w:r>
        <w:rPr>
          <w:rFonts w:ascii="Times New Roman" w:hAnsi="Times New Roman" w:cs="Times New Roman"/>
          <w:color w:val="auto"/>
          <w:sz w:val="23"/>
          <w:szCs w:val="23"/>
        </w:rPr>
        <w:t xml:space="preserve">c) aktivity, pro které účastník může obdržet podporu, na základě pevně stanoveného seznamu; </w:t>
      </w:r>
    </w:p>
    <w:p w:rsidR="0091067D" w:rsidRDefault="0091067D" w:rsidP="0091067D">
      <w:pPr>
        <w:pStyle w:val="Default"/>
        <w:spacing w:after="188"/>
        <w:rPr>
          <w:rFonts w:ascii="Times New Roman" w:hAnsi="Times New Roman" w:cs="Times New Roman"/>
          <w:color w:val="auto"/>
          <w:sz w:val="23"/>
          <w:szCs w:val="23"/>
        </w:rPr>
      </w:pPr>
      <w:r>
        <w:rPr>
          <w:rFonts w:ascii="Times New Roman" w:hAnsi="Times New Roman" w:cs="Times New Roman"/>
          <w:color w:val="auto"/>
          <w:sz w:val="23"/>
          <w:szCs w:val="23"/>
        </w:rPr>
        <w:t xml:space="preserve">d) definice osob či kategorií osob, jež mohou podporu získat;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 kritéria, jimiž se bude poskytnutí podpory řídit]. </w:t>
      </w:r>
    </w:p>
    <w:p w:rsidR="0091067D" w:rsidRDefault="0091067D" w:rsidP="0091067D">
      <w:pPr>
        <w:pStyle w:val="Default"/>
        <w:rPr>
          <w:rFonts w:ascii="Times New Roman" w:hAnsi="Times New Roman" w:cs="Times New Roman"/>
          <w:color w:val="auto"/>
          <w:sz w:val="23"/>
          <w:szCs w:val="23"/>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Je-li to relevantní, musí příjemce v souladu s dokumenty poskytnutými v příloze V: </w:t>
      </w:r>
    </w:p>
    <w:p w:rsidR="0091067D" w:rsidRDefault="0091067D" w:rsidP="0091067D">
      <w:pPr>
        <w:pStyle w:val="Default"/>
        <w:spacing w:after="267"/>
        <w:rPr>
          <w:color w:val="auto"/>
          <w:sz w:val="23"/>
          <w:szCs w:val="23"/>
        </w:rPr>
      </w:pPr>
      <w:r>
        <w:rPr>
          <w:rFonts w:ascii="Times New Roman" w:hAnsi="Times New Roman" w:cs="Times New Roman"/>
          <w:color w:val="auto"/>
          <w:sz w:val="23"/>
          <w:szCs w:val="23"/>
        </w:rPr>
        <w:t xml:space="preserve">– buď převést finanční podporu pro rozpočtové kategorie cestovní náklady / pobytové náklady / jazyková podpora v plné výši účastníkům činností mobility s uplatněním sazeb pro jednotkové příspěvky podle přílohy IV,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nebo poskytnout podporu pro rozpočtové kategorie cestovní náklady / pobytové náklady / jazyková podpora účastníkům činností mobility ve formě zajištění požadovaných cest / </w:t>
      </w:r>
    </w:p>
    <w:p w:rsidR="0091067D" w:rsidRDefault="0091067D" w:rsidP="0091067D">
      <w:pPr>
        <w:pStyle w:val="Default"/>
        <w:rPr>
          <w:color w:val="auto"/>
          <w:sz w:val="18"/>
          <w:szCs w:val="18"/>
        </w:rPr>
      </w:pP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10 </w:t>
      </w:r>
    </w:p>
    <w:p w:rsidR="0091067D" w:rsidRDefault="0091067D" w:rsidP="0091067D">
      <w:pPr>
        <w:pStyle w:val="Default"/>
        <w:rPr>
          <w:color w:val="auto"/>
        </w:rPr>
      </w:pPr>
    </w:p>
    <w:p w:rsidR="0091067D" w:rsidRDefault="0091067D" w:rsidP="0091067D">
      <w:pPr>
        <w:pStyle w:val="Default"/>
        <w:pageBreakBefore/>
        <w:rPr>
          <w:color w:val="auto"/>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pobytu / jazykové podpory. V takovém případě musí příjemce zaručit, aby zajišťování cest / pobytu / jazykové podpory splňovalo nezbytné kvalitativní a bezpečnostní normy.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může zkombinovat obě možnosti stanovené v předchozím odstavci tak, aby zajistili spravedlivé a rovné zacházení se všemi účastníky. V takovém případě se musí podmínky použitelné na každou možnost uplatňovat na rozpočtové kategorie, jichž se příslušná možnost týká.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I.13 – SOUHLAS RODIČŮ / ZÁKONNÝCH ZÁSTUPCŮ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musí v případě nezletilých účastníků získat souhlas jejich rodičů / zákonných zástupců před jejich účastí v jakékoli mobilitě.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ČLÁNEK I.14 – SPECIFICKÉ ODCHYLKY OD PŘÍLOHY I VŠEOBECNÉ PODMÍNKY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1. Není-li stanoveno jinak, musí být v příloze I Všeobecné podmínky pro účely této dohody výraz „Komise“ vykládán jako „agentura“, výraz „akce“ jako „projekt“ a výraz „jednotkové náklady“ jako „jednotkové příspěvky“.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Není-li stanoveno jinak, musí být pro účely této dohody v příloze I Všeobecné podmínky pojem „finanční výkaz“ vykládán jako „část zprávy týkající se rozpočtu“.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V článku II.4.1, článku II.8.2, článku II.20.3, článku II.27.1, článku II.27.3, čl. II.27.4 odst. 1, čl. II.27.8 odst. 1 a článku II.27.9 musí být odkaz na „Komisi“ vykládán jako odkaz na „agenturu a Komisi“.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V článku II.12 musí být výraz „finanční podpora“ vykládán jako „podpora“ a výraz „třetí osoby“ jako „účastníci“.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2. Pro účely této dohody se nepoužijí následující ustanovení přílohy I Všeobecné podmínky: čl. II.2.d bod ii), článek II.12.2, článek II.13.4, čl. II.17.2.1 písm. h), článek II.18.3, článek II.19.2, článek II.19.3, článek II.20.3, článek II.21, čl. II.25.3 šestý pododstavec písm. c), článek II.27.7. </w:t>
      </w:r>
    </w:p>
    <w:p w:rsidR="0091067D" w:rsidRDefault="0091067D" w:rsidP="0091067D">
      <w:pPr>
        <w:pStyle w:val="Default"/>
        <w:rPr>
          <w:color w:val="auto"/>
          <w:sz w:val="23"/>
          <w:szCs w:val="23"/>
        </w:rPr>
      </w:pPr>
      <w:r>
        <w:rPr>
          <w:rFonts w:ascii="Times New Roman" w:hAnsi="Times New Roman" w:cs="Times New Roman"/>
          <w:color w:val="auto"/>
          <w:sz w:val="23"/>
          <w:szCs w:val="23"/>
        </w:rPr>
        <w:t>Pro účely této dohody se výrazy „</w:t>
      </w:r>
      <w:r>
        <w:rPr>
          <w:rFonts w:ascii="Times New Roman" w:hAnsi="Times New Roman" w:cs="Times New Roman"/>
          <w:i/>
          <w:iCs/>
          <w:color w:val="auto"/>
          <w:sz w:val="23"/>
          <w:szCs w:val="23"/>
        </w:rPr>
        <w:t>přidružené subjekty</w:t>
      </w:r>
      <w:r>
        <w:rPr>
          <w:rFonts w:ascii="Times New Roman" w:hAnsi="Times New Roman" w:cs="Times New Roman"/>
          <w:color w:val="auto"/>
          <w:sz w:val="23"/>
          <w:szCs w:val="23"/>
        </w:rPr>
        <w:t>“, „</w:t>
      </w:r>
      <w:r>
        <w:rPr>
          <w:rFonts w:ascii="Times New Roman" w:hAnsi="Times New Roman" w:cs="Times New Roman"/>
          <w:i/>
          <w:iCs/>
          <w:color w:val="auto"/>
          <w:sz w:val="23"/>
          <w:szCs w:val="23"/>
        </w:rPr>
        <w:t>průběžná platba</w:t>
      </w:r>
      <w:r>
        <w:rPr>
          <w:rFonts w:ascii="Times New Roman" w:hAnsi="Times New Roman" w:cs="Times New Roman"/>
          <w:color w:val="auto"/>
          <w:sz w:val="23"/>
          <w:szCs w:val="23"/>
        </w:rPr>
        <w:t>“, „</w:t>
      </w:r>
      <w:r>
        <w:rPr>
          <w:rFonts w:ascii="Times New Roman" w:hAnsi="Times New Roman" w:cs="Times New Roman"/>
          <w:i/>
          <w:iCs/>
          <w:color w:val="auto"/>
          <w:sz w:val="23"/>
          <w:szCs w:val="23"/>
        </w:rPr>
        <w:t>jednorázová částka</w:t>
      </w:r>
      <w:r>
        <w:rPr>
          <w:rFonts w:ascii="Times New Roman" w:hAnsi="Times New Roman" w:cs="Times New Roman"/>
          <w:color w:val="auto"/>
          <w:sz w:val="23"/>
          <w:szCs w:val="23"/>
        </w:rPr>
        <w:t>“ a „</w:t>
      </w:r>
      <w:r>
        <w:rPr>
          <w:rFonts w:ascii="Times New Roman" w:hAnsi="Times New Roman" w:cs="Times New Roman"/>
          <w:i/>
          <w:iCs/>
          <w:color w:val="auto"/>
          <w:sz w:val="23"/>
          <w:szCs w:val="23"/>
        </w:rPr>
        <w:t>paušální sazba</w:t>
      </w:r>
      <w:r>
        <w:rPr>
          <w:rFonts w:ascii="Times New Roman" w:hAnsi="Times New Roman" w:cs="Times New Roman"/>
          <w:color w:val="auto"/>
          <w:sz w:val="23"/>
          <w:szCs w:val="23"/>
        </w:rPr>
        <w:t xml:space="preserve">“ nepoužijí, jsou-li zmíněny ve všeobecných podmínkách. </w:t>
      </w:r>
    </w:p>
    <w:p w:rsidR="0091067D" w:rsidRDefault="0091067D" w:rsidP="0091067D">
      <w:pPr>
        <w:pStyle w:val="Default"/>
        <w:rPr>
          <w:color w:val="auto"/>
          <w:sz w:val="23"/>
          <w:szCs w:val="23"/>
        </w:rPr>
      </w:pPr>
      <w:r>
        <w:rPr>
          <w:color w:val="auto"/>
          <w:sz w:val="23"/>
          <w:szCs w:val="23"/>
        </w:rPr>
        <w:t xml:space="preserve">3. Článek II.7.1 musí být vykládán takto: </w:t>
      </w:r>
    </w:p>
    <w:p w:rsidR="0091067D" w:rsidRDefault="0091067D" w:rsidP="0091067D">
      <w:pPr>
        <w:pStyle w:val="Default"/>
        <w:rPr>
          <w:color w:val="auto"/>
          <w:sz w:val="23"/>
          <w:szCs w:val="23"/>
        </w:rPr>
      </w:pPr>
      <w:r>
        <w:rPr>
          <w:rFonts w:ascii="Times New Roman" w:hAnsi="Times New Roman" w:cs="Times New Roman"/>
          <w:color w:val="auto"/>
          <w:sz w:val="23"/>
          <w:szCs w:val="23"/>
        </w:rPr>
        <w:t>„</w:t>
      </w:r>
      <w:r>
        <w:rPr>
          <w:rFonts w:ascii="Times New Roman" w:hAnsi="Times New Roman" w:cs="Times New Roman"/>
          <w:b/>
          <w:bCs/>
          <w:color w:val="auto"/>
          <w:sz w:val="23"/>
          <w:szCs w:val="23"/>
        </w:rPr>
        <w:t xml:space="preserve">II.7.1 Zpracování osobních údajů ze strany agentury a Komise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Agentura musí veškeré osobní údaje uvedené v dohodě zpracovávat v souladu s ustanoveními vnitrostátního práva. </w:t>
      </w:r>
      <w:r>
        <w:rPr>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11 </w:t>
      </w:r>
    </w:p>
    <w:p w:rsidR="0091067D" w:rsidRDefault="0091067D" w:rsidP="0091067D">
      <w:pPr>
        <w:pStyle w:val="Default"/>
        <w:rPr>
          <w:color w:val="auto"/>
        </w:rPr>
      </w:pPr>
    </w:p>
    <w:p w:rsidR="0091067D" w:rsidRDefault="0091067D" w:rsidP="0091067D">
      <w:pPr>
        <w:pStyle w:val="Default"/>
        <w:pageBreakBefore/>
        <w:rPr>
          <w:color w:val="auto"/>
          <w:sz w:val="16"/>
          <w:szCs w:val="16"/>
        </w:rPr>
      </w:pPr>
      <w:r>
        <w:rPr>
          <w:rFonts w:ascii="Times New Roman" w:hAnsi="Times New Roman" w:cs="Times New Roman"/>
          <w:color w:val="auto"/>
          <w:sz w:val="23"/>
          <w:szCs w:val="23"/>
        </w:rPr>
        <w:lastRenderedPageBreak/>
        <w:t>Agentura musí veškeré osobní údaje uvedené v dohodě nebo uložené na nástrojích IT poskytnutých Evropskou komisí zpracovávat v souladu s nařízením (ES) č. 45/2001 a s nařízením (EU) 2016/679 od okamžiku nabytí účinnosti v květnu 2018</w:t>
      </w:r>
      <w:r>
        <w:rPr>
          <w:rFonts w:ascii="Calibri" w:hAnsi="Calibri" w:cs="Calibri"/>
          <w:color w:val="auto"/>
          <w:sz w:val="22"/>
          <w:szCs w:val="22"/>
        </w:rPr>
        <w:t>.</w:t>
      </w:r>
      <w:r>
        <w:rPr>
          <w:rFonts w:ascii="Times New Roman" w:hAnsi="Times New Roman" w:cs="Times New Roman"/>
          <w:color w:val="auto"/>
          <w:sz w:val="16"/>
          <w:szCs w:val="16"/>
        </w:rPr>
        <w:t xml:space="preserve">4 </w:t>
      </w:r>
    </w:p>
    <w:p w:rsidR="0091067D" w:rsidRDefault="0091067D" w:rsidP="0091067D">
      <w:pPr>
        <w:pStyle w:val="Default"/>
        <w:pageBreakBefore/>
        <w:rPr>
          <w:color w:val="auto"/>
          <w:sz w:val="16"/>
          <w:szCs w:val="16"/>
        </w:rPr>
      </w:pPr>
      <w:r>
        <w:rPr>
          <w:rFonts w:ascii="Times New Roman" w:hAnsi="Times New Roman" w:cs="Times New Roman"/>
          <w:sz w:val="14"/>
          <w:szCs w:val="14"/>
        </w:rPr>
        <w:lastRenderedPageBreak/>
        <w:t xml:space="preserve">4 </w:t>
      </w:r>
      <w:r>
        <w:rPr>
          <w:rFonts w:ascii="Times New Roman" w:hAnsi="Times New Roman" w:cs="Times New Roman"/>
          <w:sz w:val="20"/>
          <w:szCs w:val="20"/>
        </w:rPr>
        <w:t xml:space="preserve">Nařízení Evropského parlamentu a Rady (ES) č. 45/2001 ze dne 18. prosince 2000 o ochraně fyzických osob v souvislosti se zpracováním osobních údajů orgány a institucemi Společenství a o volném pohybu těchto údajů. Nařízení Evropského parlamentu a Rady (EU) 2016/679 ze dne 27. dubna 2016 o ochraně fyzických osob v souvislosti se zpracováním osobních údajů a o volném pohybu těchto údajů a o zrušení směrnice 95/46/ES.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Tyto údaje musí správce údajů uvedený v článku I.6.1 zpracovávat výhradně pro účely provádění, správy a kontroly dohody a pro účely ochrany finančních zájmů EU, včetně kontrol, auditů a vyšetřování v souladu s článkem II.27, aniž je dotčeno případné předání institucím, které jsou pověřeny úkoly sledování nebo inspekce při uplatňování vnitrostátního práva vztahujícího se na dohodu.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má právo na přístup k vlastním osobním údajům a na jejich opravu. S veškerými dotazy o zpracování svých osobních údajů se musí za tímto účelem obracet na správce údajů uvedeného v článku I.6.1.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Příjemce se může kdykoli obrátit na Evropského inspektora ochrany údajů.“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4. V článku II.9.3 musí být název a odst. 1 písm. a) vykládány takto: </w:t>
      </w:r>
    </w:p>
    <w:p w:rsidR="0091067D" w:rsidRDefault="0091067D" w:rsidP="0091067D">
      <w:pPr>
        <w:pStyle w:val="Default"/>
        <w:rPr>
          <w:color w:val="auto"/>
          <w:sz w:val="23"/>
          <w:szCs w:val="23"/>
        </w:rPr>
      </w:pPr>
      <w:r>
        <w:rPr>
          <w:rFonts w:ascii="Times New Roman" w:hAnsi="Times New Roman" w:cs="Times New Roman"/>
          <w:b/>
          <w:bCs/>
          <w:color w:val="auto"/>
          <w:sz w:val="23"/>
          <w:szCs w:val="23"/>
        </w:rPr>
        <w:t xml:space="preserve">„II.9.3 Užívací práva agentury a Unie k výsledkům a dříve založeným právům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poskytuje agentuře a Unii tato užívací práva k výsledkům </w:t>
      </w:r>
      <w:r>
        <w:rPr>
          <w:rFonts w:ascii="Times New Roman" w:hAnsi="Times New Roman" w:cs="Times New Roman"/>
          <w:i/>
          <w:iCs/>
          <w:color w:val="auto"/>
          <w:sz w:val="23"/>
          <w:szCs w:val="23"/>
        </w:rPr>
        <w:t>projektu</w:t>
      </w:r>
      <w:r>
        <w:rPr>
          <w:rFonts w:ascii="Times New Roman" w:hAnsi="Times New Roman" w:cs="Times New Roman"/>
          <w:color w:val="auto"/>
          <w:sz w:val="23"/>
          <w:szCs w:val="23"/>
        </w:rPr>
        <w:t xml:space="preserv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a) pro její vlastní účely, zejména právo tyto výsledky poskytnout osobám, jež pracují pro agenturu, orgány, agentury a subjekty Unie, orgánům členských států, jakož i je kopírovat a reprodukovat v plném či částečném rozsahu a v neomezeném počtu kopií;“.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Pro zbývající část tohoto článku se odkazy na „Unii“ musí vykládat jako odkaz na „agenturu a Unii“.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5. Ustanovení čl. II.10.1 odst. 2 musí být vykládáno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musí zajistit, že agentura, Komise, Evropský účetní dvůr a Evropský úřad pro boj proti podvodům (OLAF) budou moci vykonávat svá práva podle článku II.27 rovněž vůči zhotovitelům, dodavatelům nebo poskytovatelům příjemce.“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6. Článek II.18 musí být vykládán takto: </w:t>
      </w:r>
    </w:p>
    <w:p w:rsidR="0091067D" w:rsidRDefault="0091067D" w:rsidP="0091067D">
      <w:pPr>
        <w:pStyle w:val="Default"/>
        <w:rPr>
          <w:color w:val="auto"/>
          <w:sz w:val="18"/>
          <w:szCs w:val="18"/>
        </w:rPr>
      </w:pPr>
      <w:r>
        <w:rPr>
          <w:rFonts w:ascii="Times New Roman" w:hAnsi="Times New Roman" w:cs="Times New Roman"/>
          <w:b/>
          <w:bCs/>
          <w:color w:val="auto"/>
          <w:sz w:val="23"/>
          <w:szCs w:val="23"/>
        </w:rPr>
        <w:t xml:space="preserve">„II.18.1 </w:t>
      </w:r>
      <w:r>
        <w:rPr>
          <w:rFonts w:ascii="Times New Roman" w:hAnsi="Times New Roman" w:cs="Times New Roman"/>
          <w:color w:val="auto"/>
          <w:sz w:val="23"/>
          <w:szCs w:val="23"/>
        </w:rPr>
        <w:t xml:space="preserve">Dohoda se řídí právním řádem České republiky. </w:t>
      </w:r>
      <w:r>
        <w:rPr>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Pr="00816AB0" w:rsidRDefault="00816AB0" w:rsidP="0091067D">
      <w:pPr>
        <w:pStyle w:val="Default"/>
        <w:rPr>
          <w:rFonts w:ascii="Calibri" w:hAnsi="Calibri" w:cs="Calibri"/>
          <w:color w:val="auto"/>
          <w:sz w:val="22"/>
          <w:szCs w:val="22"/>
        </w:rPr>
      </w:pPr>
      <w:r>
        <w:rPr>
          <w:rFonts w:ascii="Calibri" w:hAnsi="Calibri" w:cs="Calibri"/>
          <w:color w:val="auto"/>
          <w:sz w:val="22"/>
          <w:szCs w:val="22"/>
        </w:rPr>
        <w:t xml:space="preserve">12 </w:t>
      </w:r>
    </w:p>
    <w:p w:rsidR="0091067D" w:rsidRDefault="0091067D" w:rsidP="0091067D">
      <w:pPr>
        <w:pStyle w:val="Default"/>
        <w:pageBreakBefore/>
        <w:rPr>
          <w:color w:val="auto"/>
          <w:sz w:val="23"/>
          <w:szCs w:val="23"/>
        </w:rPr>
      </w:pPr>
      <w:r>
        <w:rPr>
          <w:rFonts w:ascii="Times New Roman" w:hAnsi="Times New Roman" w:cs="Times New Roman"/>
          <w:b/>
          <w:bCs/>
          <w:color w:val="auto"/>
          <w:sz w:val="23"/>
          <w:szCs w:val="23"/>
        </w:rPr>
        <w:lastRenderedPageBreak/>
        <w:t xml:space="preserve">II.18.2 </w:t>
      </w:r>
      <w:r>
        <w:rPr>
          <w:rFonts w:ascii="Times New Roman" w:hAnsi="Times New Roman" w:cs="Times New Roman"/>
          <w:color w:val="auto"/>
          <w:sz w:val="23"/>
          <w:szCs w:val="23"/>
        </w:rPr>
        <w:t xml:space="preserve">Výlučnou pravomoc rozhodovat spory mezi agenturou a příjemcem, jež se týkají výkladu, uplatňování či platnosti této dohody a jež nelze urovnat smírnou cestou, má příslušný soud určený v souladu s platným vnitrostátním právem.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Proti agentuře může být podána žaloba u příslušného soudu České republiky podle právního řádu České republiky.“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7. Článek II.19.1 musí být vykládán takto: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„Podmínky způsobilosti nákladů jsou definovány v oddílech I.1 a II.1 přílohy III.“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8. Článek II.20.1 musí být vykládán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„Podmínky pro vykazování nákladů a příspěvků jsou definovány v oddílech I.2 a II.2 přílohy III.“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9. Článek II.20.2 musí být vykládán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„Podmínky pro záznamy a jiné podklady dokládající vykázané náklady a příspěvky jsou definovány v oddílech I.2 a II.2 přílohy III.“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10. Ustanovení čl. II.22 odst. 1 musí být vykládáno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„Je-li </w:t>
      </w:r>
      <w:r>
        <w:rPr>
          <w:rFonts w:ascii="Times New Roman" w:hAnsi="Times New Roman" w:cs="Times New Roman"/>
          <w:i/>
          <w:iCs/>
          <w:color w:val="auto"/>
          <w:sz w:val="23"/>
          <w:szCs w:val="23"/>
        </w:rPr>
        <w:t xml:space="preserve">projekt </w:t>
      </w:r>
      <w:r>
        <w:rPr>
          <w:rFonts w:ascii="Times New Roman" w:hAnsi="Times New Roman" w:cs="Times New Roman"/>
          <w:color w:val="auto"/>
          <w:sz w:val="23"/>
          <w:szCs w:val="23"/>
        </w:rPr>
        <w:t xml:space="preserve">prováděn v souladu s popisem v příloze II, je příjemce oprávněn upravit souhrnný rozpočet v příloze II tím způsobem, že prostředky v rozpočtu přesouvá mezi jednotlivými rozpočtovými kategoriemi. Pokud jsou splněny podmínky stanovené v článku I.3.3, tyto úpravy nevyžadují změnu dohody dle článku II.13.“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11. Ustanovení čl. II.23 písm. b) musí být vykládáno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„b) nepředloží takovou žádost ani ve lhůtě dalších 30 kalendářních dnů poté, co mu agentura zašle písemnou upomínku.“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12. Ustanovení čl. II.24.1.3 odst. 1 musí být vykládáno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„V době pozastavení plateb není příjemce oprávněn předkládat žádné žádosti o platby ani podpůrné dokumenty uvedené v článku I.4.3 a I.4.4.“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13. Článek II.25.1 musí být vykládán takto: </w:t>
      </w:r>
    </w:p>
    <w:p w:rsidR="0091067D" w:rsidRDefault="0091067D" w:rsidP="0091067D">
      <w:pPr>
        <w:pStyle w:val="Default"/>
        <w:rPr>
          <w:color w:val="auto"/>
          <w:sz w:val="23"/>
          <w:szCs w:val="23"/>
        </w:rPr>
      </w:pPr>
      <w:r>
        <w:rPr>
          <w:rFonts w:ascii="Times New Roman" w:hAnsi="Times New Roman" w:cs="Times New Roman"/>
          <w:color w:val="auto"/>
          <w:sz w:val="23"/>
          <w:szCs w:val="23"/>
        </w:rPr>
        <w:t>„</w:t>
      </w:r>
      <w:r>
        <w:rPr>
          <w:rFonts w:ascii="Times New Roman" w:hAnsi="Times New Roman" w:cs="Times New Roman"/>
          <w:b/>
          <w:bCs/>
          <w:color w:val="auto"/>
          <w:sz w:val="23"/>
          <w:szCs w:val="23"/>
        </w:rPr>
        <w:t xml:space="preserve">II.25.1 Krok 1 – Uplatnění sazby proplácených nákladů na způsobilé náklady a připočtení jednotkových příspěvků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Tento krok je prováděn následovně: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Je-li grant v souladu s čl. I.3.2 písm. a) udělen formou proplacení způsobilých nákladů, je sazba proplácených nákladů specifikovaná v oddíle II.2 přílohy III </w:t>
      </w:r>
    </w:p>
    <w:p w:rsidR="0091067D" w:rsidRDefault="0091067D" w:rsidP="0091067D">
      <w:pPr>
        <w:pStyle w:val="Default"/>
        <w:rPr>
          <w:color w:val="auto"/>
          <w:sz w:val="18"/>
          <w:szCs w:val="18"/>
        </w:rPr>
      </w:pPr>
      <w:r>
        <w:rPr>
          <w:rFonts w:ascii="Times New Roman" w:hAnsi="Times New Roman" w:cs="Times New Roman"/>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13 </w:t>
      </w:r>
    </w:p>
    <w:p w:rsidR="0091067D" w:rsidRDefault="0091067D" w:rsidP="0091067D">
      <w:pPr>
        <w:pStyle w:val="Default"/>
        <w:rPr>
          <w:color w:val="auto"/>
        </w:rPr>
      </w:pPr>
    </w:p>
    <w:p w:rsidR="0091067D" w:rsidRDefault="0091067D" w:rsidP="0091067D">
      <w:pPr>
        <w:pStyle w:val="Default"/>
        <w:pageBreakBefore/>
        <w:rPr>
          <w:color w:val="auto"/>
        </w:rPr>
      </w:pPr>
    </w:p>
    <w:p w:rsidR="0091067D" w:rsidRDefault="0091067D" w:rsidP="0091067D">
      <w:pPr>
        <w:pStyle w:val="Default"/>
        <w:spacing w:after="267"/>
        <w:rPr>
          <w:color w:val="auto"/>
          <w:sz w:val="23"/>
          <w:szCs w:val="23"/>
        </w:rPr>
      </w:pPr>
      <w:r>
        <w:rPr>
          <w:rFonts w:ascii="Times New Roman" w:hAnsi="Times New Roman" w:cs="Times New Roman"/>
          <w:color w:val="auto"/>
          <w:sz w:val="23"/>
          <w:szCs w:val="23"/>
        </w:rPr>
        <w:t xml:space="preserve">uplatněna na způsobilé náklady na </w:t>
      </w:r>
      <w:r>
        <w:rPr>
          <w:rFonts w:ascii="Times New Roman" w:hAnsi="Times New Roman" w:cs="Times New Roman"/>
          <w:i/>
          <w:iCs/>
          <w:color w:val="auto"/>
          <w:sz w:val="23"/>
          <w:szCs w:val="23"/>
        </w:rPr>
        <w:t>projekt</w:t>
      </w:r>
      <w:r>
        <w:rPr>
          <w:rFonts w:ascii="Times New Roman" w:hAnsi="Times New Roman" w:cs="Times New Roman"/>
          <w:color w:val="auto"/>
          <w:sz w:val="23"/>
          <w:szCs w:val="23"/>
        </w:rPr>
        <w:t xml:space="preserve">, které schválí agentura pro dané kategorie nákladů a příjemce.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b) Je-li grant v souladu s čl. I.3.2 písm. b) udělen formou jednotkového příspěvku, je jednotkový příspěvek specifikovaný v příloze IV vynásoben skutečným počtem jednotek, který schválí agentura pro příjemce.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Stanoví-li článek I.3.2 kombinaci různých forem grantů, výsledné částky se sčítají.“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14. Ustanovení čl. II.25.4 odst. 2 musí být vykládáno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„Rozsah snížení je úměrný rozsahu, v němž </w:t>
      </w:r>
      <w:r>
        <w:rPr>
          <w:rFonts w:ascii="Times New Roman" w:hAnsi="Times New Roman" w:cs="Times New Roman"/>
          <w:i/>
          <w:iCs/>
          <w:color w:val="auto"/>
          <w:sz w:val="23"/>
          <w:szCs w:val="23"/>
        </w:rPr>
        <w:t xml:space="preserve">projekt </w:t>
      </w:r>
      <w:r>
        <w:rPr>
          <w:rFonts w:ascii="Times New Roman" w:hAnsi="Times New Roman" w:cs="Times New Roman"/>
          <w:color w:val="auto"/>
          <w:sz w:val="23"/>
          <w:szCs w:val="23"/>
        </w:rPr>
        <w:t xml:space="preserve">nebyl proveden řádně, či rozsahu závažnosti porušení povinnosti, jak stanoví oddíl IV přílohy III.“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15. Ustanovení čl. II.26.2 odst. 3 musí být vykládáno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„Není-li do data uvedeného ve výzvě k úhradě platba provedena, bude agentura nárokovat dlužnou částku: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a) započtením, bez předchozího souhlasu příjemce, proti veškerým dlužným částkám, které agentura dluží příjemci („započtení“); </w:t>
      </w:r>
    </w:p>
    <w:p w:rsidR="0091067D" w:rsidRDefault="0091067D" w:rsidP="0091067D">
      <w:pPr>
        <w:pStyle w:val="Default"/>
        <w:rPr>
          <w:color w:val="auto"/>
          <w:sz w:val="23"/>
          <w:szCs w:val="23"/>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Za výjimečných okolností je agentura za účelem ochrany finančních zájmů Unie oprávněna provést započtení ještě před termínem splatnosti.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Proti započtení lze podat žalobu u příslušného soudu určeného v článku II.18.2; </w:t>
      </w:r>
    </w:p>
    <w:p w:rsidR="0091067D" w:rsidRDefault="0091067D" w:rsidP="0091067D">
      <w:pPr>
        <w:pStyle w:val="Default"/>
        <w:spacing w:after="30"/>
        <w:rPr>
          <w:color w:val="auto"/>
          <w:sz w:val="23"/>
          <w:szCs w:val="23"/>
        </w:rPr>
      </w:pPr>
      <w:r>
        <w:rPr>
          <w:rFonts w:ascii="Times New Roman" w:hAnsi="Times New Roman" w:cs="Times New Roman"/>
          <w:color w:val="auto"/>
          <w:sz w:val="23"/>
          <w:szCs w:val="23"/>
        </w:rPr>
        <w:t xml:space="preserve">b) čerpáním finanční záruky, stanoví-li tak článek I.4.2 („čerpání finanční záruky“); </w:t>
      </w:r>
    </w:p>
    <w:p w:rsidR="0091067D" w:rsidRDefault="0091067D" w:rsidP="0091067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c) podáním žaloby v souladu s článkem II.18.2 či se zvláštními podmínkami.“ </w:t>
      </w:r>
    </w:p>
    <w:p w:rsidR="0091067D" w:rsidRDefault="0091067D" w:rsidP="0091067D">
      <w:pPr>
        <w:pStyle w:val="Default"/>
        <w:rPr>
          <w:rFonts w:ascii="Times New Roman" w:hAnsi="Times New Roman" w:cs="Times New Roman"/>
          <w:color w:val="auto"/>
          <w:sz w:val="23"/>
          <w:szCs w:val="23"/>
        </w:rPr>
      </w:pP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16. Ustanovení čl. II.27.2 odst. 3 musí být vykládáno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„Období uvedená v prvním a druhém pododstavci se prodlužují v případě, že prodloužení vyžaduje vnitrostátní právo nebo že v souvislosti s grantem probíhají audity, jsou podány opravné prostředky, probíhají soudní spory či jsou vymáhány pohledávky, a to včetně případů podle článku II.27.7. V takových případech je příjemce povinen uchovávat dokumenty až do doby, kdy jsou tyto audity, uplatňování opravných prostředků, soudní spory či vymáhání pohledávek ukončeny.“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17. Článek II.27.3 musí být vykládán takto: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„Příjemce je povinen poskytnout všechny údaje včetně údajů v elektronickém formátu, jež si agentura nebo Komise či externí subjekt zmocněný tak činit jménem agentury vyžádají. </w:t>
      </w:r>
    </w:p>
    <w:p w:rsidR="0091067D" w:rsidRDefault="0091067D" w:rsidP="0091067D">
      <w:pPr>
        <w:pStyle w:val="Default"/>
        <w:rPr>
          <w:color w:val="auto"/>
          <w:sz w:val="18"/>
          <w:szCs w:val="18"/>
        </w:rPr>
      </w:pPr>
      <w:r>
        <w:rPr>
          <w:rFonts w:ascii="Times New Roman" w:hAnsi="Times New Roman" w:cs="Times New Roman"/>
          <w:color w:val="auto"/>
          <w:sz w:val="23"/>
          <w:szCs w:val="23"/>
        </w:rPr>
        <w:t xml:space="preserve">Nesplní-li příjemce povinnost podle prvního pododstavce, je agentura oprávněna posoudit: </w:t>
      </w:r>
      <w:r>
        <w:rPr>
          <w:color w:val="auto"/>
          <w:sz w:val="18"/>
          <w:szCs w:val="18"/>
        </w:rPr>
        <w:t>Dohoda č.: 2018-1-CZ01-KA102-047094 Standardní grantová dohoda (</w:t>
      </w:r>
      <w:r>
        <w:rPr>
          <w:b/>
          <w:bCs/>
          <w:color w:val="auto"/>
          <w:sz w:val="18"/>
          <w:szCs w:val="18"/>
        </w:rPr>
        <w:t>s jedním příjemcem</w:t>
      </w:r>
      <w:r>
        <w:rPr>
          <w:color w:val="auto"/>
          <w:sz w:val="18"/>
          <w:szCs w:val="18"/>
        </w:rPr>
        <w:t xml:space="preserve">) </w:t>
      </w:r>
    </w:p>
    <w:p w:rsidR="0091067D" w:rsidRDefault="0091067D" w:rsidP="0091067D">
      <w:pPr>
        <w:pStyle w:val="Default"/>
        <w:rPr>
          <w:rFonts w:ascii="Calibri" w:hAnsi="Calibri" w:cs="Calibri"/>
          <w:color w:val="auto"/>
          <w:sz w:val="22"/>
          <w:szCs w:val="22"/>
        </w:rPr>
      </w:pPr>
      <w:r>
        <w:rPr>
          <w:rFonts w:ascii="Calibri" w:hAnsi="Calibri" w:cs="Calibri"/>
          <w:color w:val="auto"/>
          <w:sz w:val="22"/>
          <w:szCs w:val="22"/>
        </w:rPr>
        <w:t xml:space="preserve">14 </w:t>
      </w:r>
    </w:p>
    <w:p w:rsidR="0091067D" w:rsidRDefault="0091067D" w:rsidP="0091067D">
      <w:pPr>
        <w:pStyle w:val="Default"/>
        <w:rPr>
          <w:color w:val="auto"/>
        </w:rPr>
      </w:pPr>
    </w:p>
    <w:p w:rsidR="0091067D" w:rsidRDefault="0091067D" w:rsidP="0091067D">
      <w:pPr>
        <w:pStyle w:val="Default"/>
        <w:pageBreakBefore/>
        <w:rPr>
          <w:color w:val="auto"/>
        </w:rPr>
      </w:pPr>
    </w:p>
    <w:p w:rsidR="0091067D" w:rsidRDefault="0091067D" w:rsidP="0091067D">
      <w:pPr>
        <w:pStyle w:val="Default"/>
        <w:spacing w:after="27"/>
        <w:rPr>
          <w:color w:val="auto"/>
          <w:sz w:val="23"/>
          <w:szCs w:val="23"/>
        </w:rPr>
      </w:pPr>
      <w:r>
        <w:rPr>
          <w:rFonts w:ascii="Times New Roman" w:hAnsi="Times New Roman" w:cs="Times New Roman"/>
          <w:color w:val="auto"/>
          <w:sz w:val="23"/>
          <w:szCs w:val="23"/>
        </w:rPr>
        <w:t xml:space="preserve">a) jako nezpůsobilé náklady, jež nejsou dostatečně odůvodněny údaji, které tento příjemce poskytne; </w:t>
      </w:r>
    </w:p>
    <w:p w:rsidR="0091067D" w:rsidRDefault="0091067D" w:rsidP="0091067D">
      <w:pPr>
        <w:pStyle w:val="Default"/>
        <w:rPr>
          <w:color w:val="auto"/>
          <w:sz w:val="23"/>
          <w:szCs w:val="23"/>
        </w:rPr>
      </w:pPr>
      <w:r>
        <w:rPr>
          <w:rFonts w:ascii="Times New Roman" w:hAnsi="Times New Roman" w:cs="Times New Roman"/>
          <w:color w:val="auto"/>
          <w:sz w:val="23"/>
          <w:szCs w:val="23"/>
        </w:rPr>
        <w:t xml:space="preserve">b) jako nezpůsobilý jakýkoli jednotkový, jednorázový nebo paušální příspěvek, jenž není dostatečně odůvodněn údaji, které tento příjemce poskytne.“ </w:t>
      </w:r>
    </w:p>
    <w:p w:rsidR="0091067D" w:rsidRDefault="0091067D" w:rsidP="0091067D">
      <w:pPr>
        <w:pStyle w:val="Default"/>
        <w:rPr>
          <w:color w:val="auto"/>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34"/>
        <w:gridCol w:w="3134"/>
      </w:tblGrid>
      <w:tr w:rsidR="0091067D">
        <w:tblPrEx>
          <w:tblCellMar>
            <w:top w:w="0" w:type="dxa"/>
            <w:bottom w:w="0" w:type="dxa"/>
          </w:tblCellMar>
        </w:tblPrEx>
        <w:trPr>
          <w:trHeight w:val="523"/>
        </w:trPr>
        <w:tc>
          <w:tcPr>
            <w:tcW w:w="3134" w:type="dxa"/>
          </w:tcPr>
          <w:p w:rsidR="0091067D" w:rsidRDefault="0091067D" w:rsidP="00CD4B00">
            <w:pPr>
              <w:pStyle w:val="Default"/>
              <w:rPr>
                <w:rFonts w:ascii="Times New Roman" w:hAnsi="Times New Roman" w:cs="Times New Roman"/>
                <w:sz w:val="23"/>
                <w:szCs w:val="23"/>
              </w:rPr>
            </w:pPr>
            <w:r>
              <w:rPr>
                <w:rFonts w:ascii="Times New Roman" w:hAnsi="Times New Roman" w:cs="Times New Roman"/>
                <w:color w:val="auto"/>
                <w:sz w:val="23"/>
                <w:szCs w:val="23"/>
              </w:rPr>
              <w:t xml:space="preserve">PODPISY </w:t>
            </w:r>
            <w:r>
              <w:rPr>
                <w:rFonts w:ascii="Times New Roman" w:hAnsi="Times New Roman" w:cs="Times New Roman"/>
                <w:sz w:val="23"/>
                <w:szCs w:val="23"/>
              </w:rPr>
              <w:t xml:space="preserve">Za příjemce </w:t>
            </w:r>
            <w:r w:rsidR="00CD4B00">
              <w:rPr>
                <w:rFonts w:ascii="Times New Roman" w:hAnsi="Times New Roman" w:cs="Times New Roman"/>
                <w:sz w:val="23"/>
                <w:szCs w:val="23"/>
              </w:rPr>
              <w:t>xxxxxxxxx</w:t>
            </w:r>
            <w:r>
              <w:rPr>
                <w:rFonts w:ascii="Times New Roman" w:hAnsi="Times New Roman" w:cs="Times New Roman"/>
                <w:i/>
                <w:iCs/>
                <w:sz w:val="23"/>
                <w:szCs w:val="23"/>
              </w:rPr>
              <w:t xml:space="preserve"> </w:t>
            </w:r>
          </w:p>
        </w:tc>
        <w:tc>
          <w:tcPr>
            <w:tcW w:w="3134" w:type="dxa"/>
          </w:tcPr>
          <w:p w:rsidR="0091067D" w:rsidRDefault="0091067D">
            <w:pPr>
              <w:pStyle w:val="Default"/>
              <w:rPr>
                <w:rFonts w:ascii="Times New Roman" w:hAnsi="Times New Roman" w:cs="Times New Roman"/>
                <w:sz w:val="23"/>
                <w:szCs w:val="23"/>
              </w:rPr>
            </w:pPr>
            <w:r>
              <w:rPr>
                <w:rFonts w:ascii="Times New Roman" w:hAnsi="Times New Roman" w:cs="Times New Roman"/>
                <w:sz w:val="23"/>
                <w:szCs w:val="23"/>
              </w:rPr>
              <w:t xml:space="preserve">Za agenturu </w:t>
            </w:r>
          </w:p>
          <w:p w:rsidR="0091067D" w:rsidRDefault="00CD4B00">
            <w:pPr>
              <w:pStyle w:val="Default"/>
              <w:rPr>
                <w:rFonts w:ascii="Times New Roman" w:hAnsi="Times New Roman" w:cs="Times New Roman"/>
                <w:sz w:val="23"/>
                <w:szCs w:val="23"/>
              </w:rPr>
            </w:pPr>
            <w:r>
              <w:rPr>
                <w:rFonts w:ascii="Times New Roman" w:hAnsi="Times New Roman" w:cs="Times New Roman"/>
                <w:sz w:val="23"/>
                <w:szCs w:val="23"/>
              </w:rPr>
              <w:t>xxxxxxxxxxxx</w:t>
            </w:r>
            <w:bookmarkStart w:id="0" w:name="_GoBack"/>
            <w:bookmarkEnd w:id="0"/>
          </w:p>
        </w:tc>
      </w:tr>
    </w:tbl>
    <w:p w:rsidR="0091067D" w:rsidRDefault="0091067D"/>
    <w:sectPr w:rsidR="0091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A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33213"/>
    <w:multiLevelType w:val="hybridMultilevel"/>
    <w:tmpl w:val="EE2A86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ECF1B3"/>
    <w:multiLevelType w:val="hybridMultilevel"/>
    <w:tmpl w:val="912696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F43B82"/>
    <w:multiLevelType w:val="hybridMultilevel"/>
    <w:tmpl w:val="A3DDC2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7EA05A"/>
    <w:multiLevelType w:val="hybridMultilevel"/>
    <w:tmpl w:val="EFE5DF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259C24"/>
    <w:multiLevelType w:val="hybridMultilevel"/>
    <w:tmpl w:val="BD33C2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E0AE7A"/>
    <w:multiLevelType w:val="hybridMultilevel"/>
    <w:tmpl w:val="C8DB7F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DBF5A7"/>
    <w:multiLevelType w:val="hybridMultilevel"/>
    <w:tmpl w:val="A175BB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43D967"/>
    <w:multiLevelType w:val="hybridMultilevel"/>
    <w:tmpl w:val="400B22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2AD1D9"/>
    <w:multiLevelType w:val="hybridMultilevel"/>
    <w:tmpl w:val="E3D9BC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6CAC42"/>
    <w:multiLevelType w:val="hybridMultilevel"/>
    <w:tmpl w:val="07B67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015ECF"/>
    <w:multiLevelType w:val="hybridMultilevel"/>
    <w:tmpl w:val="B899C4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871990"/>
    <w:multiLevelType w:val="hybridMultilevel"/>
    <w:tmpl w:val="B03A44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337D03"/>
    <w:multiLevelType w:val="hybridMultilevel"/>
    <w:tmpl w:val="0BD1B2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324DF4"/>
    <w:multiLevelType w:val="hybridMultilevel"/>
    <w:tmpl w:val="74576E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7A02F6"/>
    <w:multiLevelType w:val="hybridMultilevel"/>
    <w:tmpl w:val="F84538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12E0DE9"/>
    <w:multiLevelType w:val="hybridMultilevel"/>
    <w:tmpl w:val="912176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D0F87D"/>
    <w:multiLevelType w:val="hybridMultilevel"/>
    <w:tmpl w:val="19CAE3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0570AA"/>
    <w:multiLevelType w:val="hybridMultilevel"/>
    <w:tmpl w:val="FB6F2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FC4A968"/>
    <w:multiLevelType w:val="hybridMultilevel"/>
    <w:tmpl w:val="A0316B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9"/>
  </w:num>
  <w:num w:numId="4">
    <w:abstractNumId w:val="0"/>
  </w:num>
  <w:num w:numId="5">
    <w:abstractNumId w:val="12"/>
  </w:num>
  <w:num w:numId="6">
    <w:abstractNumId w:val="13"/>
  </w:num>
  <w:num w:numId="7">
    <w:abstractNumId w:val="10"/>
  </w:num>
  <w:num w:numId="8">
    <w:abstractNumId w:val="5"/>
  </w:num>
  <w:num w:numId="9">
    <w:abstractNumId w:val="14"/>
  </w:num>
  <w:num w:numId="10">
    <w:abstractNumId w:val="16"/>
  </w:num>
  <w:num w:numId="11">
    <w:abstractNumId w:val="15"/>
  </w:num>
  <w:num w:numId="12">
    <w:abstractNumId w:val="7"/>
  </w:num>
  <w:num w:numId="13">
    <w:abstractNumId w:val="17"/>
  </w:num>
  <w:num w:numId="14">
    <w:abstractNumId w:val="8"/>
  </w:num>
  <w:num w:numId="15">
    <w:abstractNumId w:val="6"/>
  </w:num>
  <w:num w:numId="16">
    <w:abstractNumId w:val="18"/>
  </w:num>
  <w:num w:numId="17">
    <w:abstractNumId w:val="4"/>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D"/>
    <w:rsid w:val="00816AB0"/>
    <w:rsid w:val="0091067D"/>
    <w:rsid w:val="009C6099"/>
    <w:rsid w:val="00B95D14"/>
    <w:rsid w:val="00CD4B00"/>
    <w:rsid w:val="00D653A7"/>
    <w:rsid w:val="00E77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CB299-C74B-429D-9956-241289AA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106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4195</Words>
  <Characters>24753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Adamkova</dc:creator>
  <cp:keywords/>
  <dc:description/>
  <cp:lastModifiedBy>Lada Adamkova</cp:lastModifiedBy>
  <cp:revision>3</cp:revision>
  <dcterms:created xsi:type="dcterms:W3CDTF">2018-08-06T08:00:00Z</dcterms:created>
  <dcterms:modified xsi:type="dcterms:W3CDTF">2018-08-06T08:21:00Z</dcterms:modified>
</cp:coreProperties>
</file>