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B9" w:rsidRDefault="004D3C27">
      <w:pPr>
        <w:spacing w:after="240"/>
        <w:jc w:val="center"/>
        <w:rPr>
          <w:b/>
          <w:sz w:val="22"/>
        </w:rPr>
      </w:pPr>
      <w:r>
        <w:rPr>
          <w:b/>
          <w:sz w:val="22"/>
        </w:rPr>
        <w:t>SPOLEČNÉ PROHLÁŠENÍ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4F4BB9">
        <w:trPr>
          <w:trHeight w:val="229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Identifikace poskytovatele financování: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Identifikace příjemce financování:</w:t>
            </w:r>
          </w:p>
        </w:tc>
      </w:tr>
      <w:tr w:rsidR="004F4BB9">
        <w:trPr>
          <w:trHeight w:val="27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BB9" w:rsidRDefault="004D3C27">
            <w:pPr>
              <w:pStyle w:val="sTextbold"/>
              <w:keepNext/>
              <w:spacing w:before="240" w:after="240"/>
              <w:rPr>
                <w:b w:val="0"/>
              </w:rPr>
            </w:pPr>
            <w:r>
              <w:t xml:space="preserve">SG </w:t>
            </w:r>
            <w:proofErr w:type="spellStart"/>
            <w:r>
              <w:t>Equipment</w:t>
            </w:r>
            <w:proofErr w:type="spellEnd"/>
            <w:r>
              <w:t xml:space="preserve"> Finance Czech Republic s.r.o.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BB9" w:rsidRDefault="004D3C27">
            <w:pPr>
              <w:pStyle w:val="sTextbold"/>
              <w:keepNext/>
              <w:spacing w:before="240" w:after="240"/>
            </w:pPr>
            <w:r>
              <w:t>Technické služby města Liberce a.s.</w:t>
            </w:r>
          </w:p>
        </w:tc>
      </w:tr>
      <w:tr w:rsidR="004F4BB9">
        <w:trPr>
          <w:trHeight w:val="1461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náměstí Junkových 2772/1</w:t>
            </w:r>
          </w:p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00 Praha 5</w:t>
            </w:r>
          </w:p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</w:t>
            </w:r>
            <w:r>
              <w:rPr>
                <w:sz w:val="18"/>
                <w:szCs w:val="18"/>
              </w:rPr>
              <w:tab/>
              <w:t>61061344</w:t>
            </w:r>
          </w:p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  <w:r>
              <w:rPr>
                <w:sz w:val="18"/>
                <w:szCs w:val="18"/>
              </w:rPr>
              <w:tab/>
              <w:t>CZ61061344</w:t>
            </w:r>
          </w:p>
          <w:p w:rsidR="004F4BB9" w:rsidRDefault="004D3C27">
            <w:pPr>
              <w:pStyle w:val="sTabnorm"/>
              <w:keepNext/>
              <w:ind w:right="17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 v OR: Městský soud v Praze, C 43038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Erbenova 376/2,</w:t>
            </w:r>
          </w:p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 08 Liberec 8</w:t>
            </w:r>
          </w:p>
          <w:p w:rsidR="004F4BB9" w:rsidRDefault="004D3C27">
            <w:pPr>
              <w:pStyle w:val="sTabnorm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</w:t>
            </w:r>
            <w:r>
              <w:rPr>
                <w:sz w:val="18"/>
                <w:szCs w:val="18"/>
              </w:rPr>
              <w:tab/>
              <w:t>25007017</w:t>
            </w:r>
          </w:p>
          <w:p w:rsidR="004F4BB9" w:rsidRDefault="004D3C27">
            <w:pPr>
              <w:pStyle w:val="sTabnorm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  <w:r>
              <w:rPr>
                <w:sz w:val="18"/>
                <w:szCs w:val="18"/>
              </w:rPr>
              <w:tab/>
              <w:t>CZ25007017</w:t>
            </w:r>
          </w:p>
          <w:p w:rsidR="004F4BB9" w:rsidRDefault="004D3C27">
            <w:pPr>
              <w:pStyle w:val="sTabnorm"/>
              <w:spacing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 v OR: Krajský soud v Ústí nad Labem, B 877</w:t>
            </w:r>
          </w:p>
        </w:tc>
      </w:tr>
      <w:tr w:rsidR="004F4BB9">
        <w:trPr>
          <w:trHeight w:val="326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dále jen </w:t>
            </w:r>
            <w:r>
              <w:rPr>
                <w:b/>
                <w:sz w:val="18"/>
                <w:szCs w:val="18"/>
              </w:rPr>
              <w:t xml:space="preserve">SGEF 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BB9" w:rsidRDefault="004D3C27">
            <w:pPr>
              <w:pStyle w:val="sTabnorm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dále jen </w:t>
            </w:r>
            <w:r>
              <w:rPr>
                <w:b/>
                <w:sz w:val="18"/>
                <w:szCs w:val="18"/>
              </w:rPr>
              <w:t>příjemce financování</w:t>
            </w:r>
            <w:r>
              <w:rPr>
                <w:sz w:val="18"/>
                <w:szCs w:val="18"/>
              </w:rPr>
              <w:t xml:space="preserve"> - </w:t>
            </w:r>
          </w:p>
        </w:tc>
      </w:tr>
    </w:tbl>
    <w:p w:rsidR="004F4BB9" w:rsidRDefault="004D3C27">
      <w:pPr>
        <w:pStyle w:val="sOdstavec"/>
        <w:spacing w:before="360"/>
      </w:pPr>
      <w:r>
        <w:t xml:space="preserve">SGEF a příjemce financování uzavřeli dne </w:t>
      </w:r>
      <w:proofErr w:type="gramStart"/>
      <w:r>
        <w:t>13.03.2018</w:t>
      </w:r>
      <w:proofErr w:type="gramEnd"/>
      <w:r>
        <w:rPr>
          <w:rStyle w:val="sTextnormChar"/>
        </w:rPr>
        <w:t xml:space="preserve"> smlouvu o </w:t>
      </w:r>
      <w:r>
        <w:t>zajišťovacím převodu vlastnického práva</w:t>
      </w:r>
      <w:r>
        <w:rPr>
          <w:rStyle w:val="sTextnormChar"/>
        </w:rPr>
        <w:t xml:space="preserve"> (dále jen </w:t>
      </w:r>
      <w:r>
        <w:rPr>
          <w:rStyle w:val="sTextnormChar"/>
          <w:b/>
        </w:rPr>
        <w:t>„zajišťovací instrument“</w:t>
      </w:r>
      <w:r>
        <w:rPr>
          <w:rStyle w:val="sTextnormChar"/>
        </w:rPr>
        <w:t>) k</w:t>
      </w:r>
      <w:r>
        <w:t> zajištění dluhů příjemce financování vůči SGEF v souvislosti s financováním poskytnutým ze strany SGEF dle smlouvy o úvěru č. 17009652/18 uzavřené dne 13.03.2018.</w:t>
      </w:r>
    </w:p>
    <w:p w:rsidR="004F4BB9" w:rsidRDefault="004D3C27">
      <w:pPr>
        <w:pStyle w:val="sOdstavec"/>
      </w:pPr>
      <w:r>
        <w:t xml:space="preserve">Vzhledem k tomu, že v době uzavření zajišťovacího instrumentu nemohlo být známo výrobní číslo předmětu zajištění, strany společně prohlašují, že nyní, když je již známo, se </w:t>
      </w:r>
      <w:r w:rsidR="002A47DB">
        <w:t>toto číslo, to jest WMA80SZZ3JP</w:t>
      </w:r>
      <w:bookmarkStart w:id="0" w:name="_GoBack"/>
      <w:bookmarkEnd w:id="0"/>
      <w:r>
        <w:t xml:space="preserve">108253,FBMKCASPL80718051,FBMCASPL807180051, doplňuje do textu zajišťovacího instrumentu a předmět zajištění je tak s určitostí identifikován. </w:t>
      </w:r>
    </w:p>
    <w:p w:rsidR="004F4BB9" w:rsidRDefault="004D3C27">
      <w:pPr>
        <w:pStyle w:val="sOdstavec"/>
        <w:spacing w:after="120"/>
      </w:pPr>
      <w:r>
        <w:t>Strany tímto prohlašují, že shora uvedený zajišťovací instrument tak, jak byl doplněn tímto prohlášením, je platný, účinný, nikoliv zdánlivý a že se jím cítí být vázány. Toto prohlášení je učiněno svobodně a vážně, bez omylu a donucení, nikoli v tísni za nápadně nevýhodných podmínek.</w:t>
      </w:r>
    </w:p>
    <w:p w:rsidR="004F4BB9" w:rsidRDefault="004D3C27">
      <w:pPr>
        <w:pStyle w:val="sTextnorm"/>
        <w:keepNext/>
        <w:keepLines/>
        <w:spacing w:after="200"/>
      </w:pPr>
      <w:r>
        <w:t>Na důkaz toho strany připojují své podpisy.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4527"/>
      </w:tblGrid>
      <w:tr w:rsidR="004D3C27" w:rsidTr="004D3C27">
        <w:trPr>
          <w:trHeight w:val="657"/>
          <w:jc w:val="center"/>
        </w:trPr>
        <w:tc>
          <w:tcPr>
            <w:tcW w:w="3984" w:type="dxa"/>
            <w:gridSpan w:val="2"/>
            <w:tcBorders>
              <w:bottom w:val="single" w:sz="4" w:space="0" w:color="auto"/>
            </w:tcBorders>
          </w:tcPr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Praha, </w:t>
            </w:r>
            <w:proofErr w:type="gramStart"/>
            <w:r>
              <w:rPr>
                <w:sz w:val="18"/>
                <w:szCs w:val="18"/>
              </w:rPr>
              <w:t>31.07.2018</w:t>
            </w:r>
            <w:proofErr w:type="gramEnd"/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Místo, datum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Liberec, </w:t>
            </w:r>
            <w:proofErr w:type="gramStart"/>
            <w:r>
              <w:rPr>
                <w:sz w:val="18"/>
                <w:szCs w:val="18"/>
              </w:rPr>
              <w:t>31.07.2018</w:t>
            </w:r>
            <w:proofErr w:type="gramEnd"/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Místo, datum</w:t>
            </w:r>
          </w:p>
        </w:tc>
      </w:tr>
      <w:tr w:rsidR="004D3C27" w:rsidTr="004D3C27">
        <w:trPr>
          <w:trHeight w:val="236"/>
          <w:jc w:val="center"/>
        </w:trPr>
        <w:tc>
          <w:tcPr>
            <w:tcW w:w="3984" w:type="dxa"/>
            <w:gridSpan w:val="2"/>
            <w:tcBorders>
              <w:bottom w:val="nil"/>
            </w:tcBorders>
          </w:tcPr>
          <w:p w:rsidR="004D3C27" w:rsidRDefault="004D3C27">
            <w:pPr>
              <w:pStyle w:val="sTabnorm"/>
              <w:keepNext/>
              <w:keepLines/>
              <w:spacing w:before="24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Poskytovatel financování:</w:t>
            </w:r>
          </w:p>
        </w:tc>
        <w:tc>
          <w:tcPr>
            <w:tcW w:w="4527" w:type="dxa"/>
            <w:tcBorders>
              <w:bottom w:val="nil"/>
            </w:tcBorders>
          </w:tcPr>
          <w:p w:rsidR="004D3C27" w:rsidRDefault="004D3C27">
            <w:pPr>
              <w:pStyle w:val="sTabnorm"/>
              <w:keepNext/>
              <w:keepLines/>
              <w:spacing w:before="24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Příjemce financování:</w:t>
            </w:r>
          </w:p>
        </w:tc>
      </w:tr>
      <w:tr w:rsidR="004D3C27" w:rsidTr="004D3C27">
        <w:trPr>
          <w:trHeight w:val="244"/>
          <w:jc w:val="center"/>
        </w:trPr>
        <w:tc>
          <w:tcPr>
            <w:tcW w:w="3984" w:type="dxa"/>
            <w:gridSpan w:val="2"/>
            <w:tcBorders>
              <w:top w:val="nil"/>
            </w:tcBorders>
          </w:tcPr>
          <w:p w:rsidR="004D3C27" w:rsidRDefault="004D3C27">
            <w:pPr>
              <w:pStyle w:val="sTabnorm"/>
              <w:keepNext/>
              <w:keepLines/>
              <w:spacing w:after="6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SG </w:t>
            </w:r>
            <w:proofErr w:type="spellStart"/>
            <w:r>
              <w:rPr>
                <w:b/>
                <w:sz w:val="18"/>
                <w:szCs w:val="18"/>
              </w:rPr>
              <w:t>Equipment</w:t>
            </w:r>
            <w:proofErr w:type="spellEnd"/>
            <w:r>
              <w:rPr>
                <w:b/>
                <w:sz w:val="18"/>
                <w:szCs w:val="18"/>
              </w:rPr>
              <w:t xml:space="preserve"> Finance Czech Republic s.r.o.</w:t>
            </w:r>
          </w:p>
        </w:tc>
        <w:tc>
          <w:tcPr>
            <w:tcW w:w="4527" w:type="dxa"/>
            <w:tcBorders>
              <w:top w:val="nil"/>
            </w:tcBorders>
          </w:tcPr>
          <w:p w:rsidR="004D3C27" w:rsidRDefault="004D3C27">
            <w:pPr>
              <w:pStyle w:val="sTabnorm"/>
              <w:keepNext/>
              <w:keepLines/>
              <w:spacing w:after="6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Technické služby města Liberce a.s.</w:t>
            </w:r>
          </w:p>
        </w:tc>
      </w:tr>
      <w:tr w:rsidR="004D3C27" w:rsidTr="004D3C27">
        <w:trPr>
          <w:trHeight w:val="1054"/>
          <w:jc w:val="center"/>
        </w:trPr>
        <w:tc>
          <w:tcPr>
            <w:tcW w:w="2425" w:type="dxa"/>
            <w:tcBorders>
              <w:bottom w:val="nil"/>
              <w:right w:val="nil"/>
            </w:tcBorders>
            <w:vAlign w:val="bottom"/>
          </w:tcPr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</w:t>
            </w:r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bottom"/>
          </w:tcPr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</w:t>
            </w:r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  <w:tc>
          <w:tcPr>
            <w:tcW w:w="4527" w:type="dxa"/>
            <w:tcBorders>
              <w:bottom w:val="nil"/>
            </w:tcBorders>
            <w:vAlign w:val="bottom"/>
          </w:tcPr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</w:t>
            </w:r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</w:t>
            </w:r>
          </w:p>
        </w:tc>
      </w:tr>
      <w:tr w:rsidR="004D3C27" w:rsidTr="004D3C27">
        <w:trPr>
          <w:trHeight w:val="1095"/>
          <w:jc w:val="center"/>
        </w:trPr>
        <w:tc>
          <w:tcPr>
            <w:tcW w:w="2425" w:type="dxa"/>
            <w:tcBorders>
              <w:top w:val="nil"/>
              <w:bottom w:val="nil"/>
              <w:right w:val="nil"/>
            </w:tcBorders>
            <w:vAlign w:val="center"/>
          </w:tcPr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</w:t>
            </w:r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</w:t>
            </w:r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</w:t>
            </w:r>
          </w:p>
        </w:tc>
        <w:tc>
          <w:tcPr>
            <w:tcW w:w="4527" w:type="dxa"/>
            <w:tcBorders>
              <w:top w:val="nil"/>
              <w:bottom w:val="nil"/>
            </w:tcBorders>
            <w:vAlign w:val="center"/>
          </w:tcPr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</w:t>
            </w:r>
          </w:p>
          <w:p w:rsidR="004D3C27" w:rsidRDefault="004D3C27">
            <w:pPr>
              <w:pStyle w:val="sTabnorm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</w:t>
            </w:r>
          </w:p>
        </w:tc>
      </w:tr>
      <w:tr w:rsidR="004D3C27" w:rsidTr="004D3C27">
        <w:trPr>
          <w:trHeight w:val="232"/>
          <w:jc w:val="center"/>
        </w:trPr>
        <w:tc>
          <w:tcPr>
            <w:tcW w:w="2425" w:type="dxa"/>
            <w:tcBorders>
              <w:top w:val="nil"/>
              <w:right w:val="nil"/>
            </w:tcBorders>
          </w:tcPr>
          <w:p w:rsidR="004D3C27" w:rsidRDefault="004D3C27">
            <w:pPr>
              <w:pStyle w:val="sTabnorm"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</w:t>
            </w:r>
          </w:p>
          <w:p w:rsidR="004D3C27" w:rsidRDefault="004D3C27">
            <w:pPr>
              <w:pStyle w:val="sTabnorm"/>
              <w:keepLines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4D3C27" w:rsidRDefault="004D3C27">
            <w:pPr>
              <w:pStyle w:val="sTabnorm"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  <w:p w:rsidR="004D3C27" w:rsidRDefault="004D3C27">
            <w:pPr>
              <w:pStyle w:val="sTabnorm"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</w:t>
            </w:r>
          </w:p>
        </w:tc>
        <w:tc>
          <w:tcPr>
            <w:tcW w:w="4527" w:type="dxa"/>
            <w:tcBorders>
              <w:top w:val="nil"/>
            </w:tcBorders>
          </w:tcPr>
          <w:p w:rsidR="004D3C27" w:rsidRDefault="004D3C27">
            <w:pPr>
              <w:pStyle w:val="sTabnorm"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</w:t>
            </w:r>
          </w:p>
          <w:p w:rsidR="004D3C27" w:rsidRDefault="004D3C27">
            <w:pPr>
              <w:pStyle w:val="sTabnorm"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Funkce</w:t>
            </w:r>
          </w:p>
        </w:tc>
      </w:tr>
    </w:tbl>
    <w:p w:rsidR="004F4BB9" w:rsidRDefault="004F4BB9">
      <w:pPr>
        <w:keepNext/>
        <w:keepLines/>
        <w:spacing w:after="240"/>
        <w:rPr>
          <w:sz w:val="18"/>
          <w:szCs w:val="20"/>
        </w:rPr>
      </w:pPr>
    </w:p>
    <w:sectPr w:rsidR="004F4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44" w:rsidRDefault="004D3C27">
      <w:r>
        <w:separator/>
      </w:r>
    </w:p>
  </w:endnote>
  <w:endnote w:type="continuationSeparator" w:id="0">
    <w:p w:rsidR="002A1144" w:rsidRDefault="004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B9" w:rsidRDefault="004F4B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jc w:val="center"/>
      <w:tblLook w:val="04A0" w:firstRow="1" w:lastRow="0" w:firstColumn="1" w:lastColumn="0" w:noHBand="0" w:noVBand="1"/>
    </w:tblPr>
    <w:tblGrid>
      <w:gridCol w:w="4535"/>
      <w:gridCol w:w="1134"/>
      <w:gridCol w:w="4535"/>
    </w:tblGrid>
    <w:tr w:rsidR="004F4BB9">
      <w:trPr>
        <w:trHeight w:val="108"/>
        <w:jc w:val="center"/>
      </w:trPr>
      <w:tc>
        <w:tcPr>
          <w:tcW w:w="4535" w:type="dxa"/>
          <w:vAlign w:val="center"/>
        </w:tcPr>
        <w:p w:rsidR="004F4BB9" w:rsidRDefault="004F4BB9">
          <w:pPr>
            <w:pStyle w:val="sZapati"/>
            <w:rPr>
              <w:sz w:val="12"/>
              <w:szCs w:val="12"/>
            </w:rPr>
          </w:pPr>
        </w:p>
      </w:tc>
      <w:tc>
        <w:tcPr>
          <w:tcW w:w="1134" w:type="dxa"/>
          <w:vMerge w:val="restart"/>
        </w:tcPr>
        <w:p w:rsidR="004F4BB9" w:rsidRDefault="004D3C27">
          <w:pPr>
            <w:pStyle w:val="sZapati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A47DB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>SECTIONPAGES</w:instrText>
          </w:r>
          <w:r>
            <w:fldChar w:fldCharType="separate"/>
          </w:r>
          <w:r w:rsidR="002A47DB">
            <w:rPr>
              <w:noProof/>
            </w:rPr>
            <w:t>1</w:t>
          </w:r>
          <w:r>
            <w:fldChar w:fldCharType="end"/>
          </w:r>
        </w:p>
      </w:tc>
      <w:tc>
        <w:tcPr>
          <w:tcW w:w="4535" w:type="dxa"/>
          <w:vMerge w:val="restart"/>
        </w:tcPr>
        <w:p w:rsidR="004F4BB9" w:rsidRDefault="004D3C27">
          <w:pPr>
            <w:pStyle w:val="sZapati"/>
            <w:jc w:val="right"/>
          </w:pPr>
          <w:r>
            <w:t>CZ_ZSD_000_810_101_c</w:t>
          </w:r>
        </w:p>
      </w:tc>
    </w:tr>
    <w:tr w:rsidR="004F4BB9">
      <w:trPr>
        <w:trHeight w:val="107"/>
        <w:jc w:val="center"/>
      </w:trPr>
      <w:tc>
        <w:tcPr>
          <w:tcW w:w="4535" w:type="dxa"/>
          <w:vAlign w:val="center"/>
        </w:tcPr>
        <w:p w:rsidR="004F4BB9" w:rsidRDefault="004F4BB9">
          <w:pPr>
            <w:pStyle w:val="sZapati"/>
            <w:rPr>
              <w:sz w:val="12"/>
              <w:szCs w:val="12"/>
            </w:rPr>
          </w:pPr>
        </w:p>
      </w:tc>
      <w:tc>
        <w:tcPr>
          <w:tcW w:w="1134" w:type="dxa"/>
          <w:vMerge/>
        </w:tcPr>
        <w:p w:rsidR="004F4BB9" w:rsidRDefault="004F4BB9"/>
      </w:tc>
      <w:tc>
        <w:tcPr>
          <w:tcW w:w="4535" w:type="dxa"/>
          <w:vMerge/>
        </w:tcPr>
        <w:p w:rsidR="004F4BB9" w:rsidRDefault="004F4BB9"/>
      </w:tc>
    </w:tr>
  </w:tbl>
  <w:p w:rsidR="004F4BB9" w:rsidRDefault="004F4BB9">
    <w:pPr>
      <w:pStyle w:val="sZapati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jc w:val="center"/>
      <w:tblLook w:val="04A0" w:firstRow="1" w:lastRow="0" w:firstColumn="1" w:lastColumn="0" w:noHBand="0" w:noVBand="1"/>
    </w:tblPr>
    <w:tblGrid>
      <w:gridCol w:w="4535"/>
      <w:gridCol w:w="1134"/>
      <w:gridCol w:w="4535"/>
    </w:tblGrid>
    <w:tr w:rsidR="004F4BB9">
      <w:trPr>
        <w:trHeight w:val="113"/>
        <w:jc w:val="center"/>
      </w:trPr>
      <w:tc>
        <w:tcPr>
          <w:tcW w:w="4535" w:type="dxa"/>
          <w:vAlign w:val="center"/>
        </w:tcPr>
        <w:p w:rsidR="004F4BB9" w:rsidRDefault="004F4BB9">
          <w:pPr>
            <w:jc w:val="center"/>
            <w:rPr>
              <w:sz w:val="12"/>
              <w:szCs w:val="12"/>
            </w:rPr>
          </w:pPr>
        </w:p>
      </w:tc>
      <w:tc>
        <w:tcPr>
          <w:tcW w:w="1134" w:type="dxa"/>
          <w:vMerge w:val="restart"/>
        </w:tcPr>
        <w:p w:rsidR="004F4BB9" w:rsidRDefault="004D3C27">
          <w:pPr>
            <w:pStyle w:val="sZapati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>PAGE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/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>SECTIONPAGES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535" w:type="dxa"/>
          <w:vMerge w:val="restart"/>
        </w:tcPr>
        <w:p w:rsidR="004F4BB9" w:rsidRDefault="004D3C27">
          <w:pPr>
            <w:pStyle w:val="sZapati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CZ_SDA_XXX_XXX_XXX_c</w:t>
          </w:r>
          <w:proofErr w:type="spellEnd"/>
        </w:p>
      </w:tc>
    </w:tr>
    <w:tr w:rsidR="004F4BB9">
      <w:trPr>
        <w:trHeight w:val="107"/>
        <w:jc w:val="center"/>
      </w:trPr>
      <w:tc>
        <w:tcPr>
          <w:tcW w:w="4535" w:type="dxa"/>
          <w:vAlign w:val="center"/>
        </w:tcPr>
        <w:p w:rsidR="004F4BB9" w:rsidRDefault="004F4BB9">
          <w:pPr>
            <w:pStyle w:val="sZapati"/>
            <w:rPr>
              <w:sz w:val="12"/>
              <w:szCs w:val="12"/>
            </w:rPr>
          </w:pPr>
        </w:p>
      </w:tc>
      <w:tc>
        <w:tcPr>
          <w:tcW w:w="1134" w:type="dxa"/>
          <w:vMerge/>
        </w:tcPr>
        <w:p w:rsidR="004F4BB9" w:rsidRDefault="004F4BB9"/>
      </w:tc>
      <w:tc>
        <w:tcPr>
          <w:tcW w:w="4535" w:type="dxa"/>
          <w:vMerge/>
        </w:tcPr>
        <w:p w:rsidR="004F4BB9" w:rsidRDefault="004F4BB9"/>
      </w:tc>
    </w:tr>
  </w:tbl>
  <w:p w:rsidR="004F4BB9" w:rsidRDefault="004F4BB9">
    <w:pPr>
      <w:pStyle w:val="sZapati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B9" w:rsidRDefault="004D3C27">
      <w:r>
        <w:separator/>
      </w:r>
    </w:p>
  </w:footnote>
  <w:footnote w:type="continuationSeparator" w:id="0">
    <w:p w:rsidR="004F4BB9" w:rsidRDefault="004D3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B9" w:rsidRDefault="004F4B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B9" w:rsidRDefault="004D3C27">
    <w:pPr>
      <w:pStyle w:val="Zhlav"/>
    </w:pPr>
    <w:r>
      <w:rPr>
        <w:noProof/>
        <w:lang w:val="cs-CZ"/>
      </w:rPr>
      <w:drawing>
        <wp:anchor distT="0" distB="0" distL="114300" distR="114300" simplePos="0" relativeHeight="4096" behindDoc="0" locked="0" layoutInCell="1" allowOverlap="1">
          <wp:simplePos x="0" y="0"/>
          <wp:positionH relativeFrom="column">
            <wp:posOffset>-894714</wp:posOffset>
          </wp:positionH>
          <wp:positionV relativeFrom="paragraph">
            <wp:posOffset>-556259</wp:posOffset>
          </wp:positionV>
          <wp:extent cx="3778885" cy="1187450"/>
          <wp:effectExtent l="0" t="0" r="0" b="0"/>
          <wp:wrapTopAndBottom/>
          <wp:docPr id="1" name="Picture_2" descr="Picture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7888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3072" behindDoc="0" locked="0" layoutInCell="1" allowOverlap="1">
          <wp:simplePos x="0" y="0"/>
          <wp:positionH relativeFrom="column">
            <wp:posOffset>2879090</wp:posOffset>
          </wp:positionH>
          <wp:positionV relativeFrom="paragraph">
            <wp:posOffset>-556259</wp:posOffset>
          </wp:positionV>
          <wp:extent cx="3778885" cy="1187450"/>
          <wp:effectExtent l="0" t="0" r="0" b="0"/>
          <wp:wrapTopAndBottom/>
          <wp:docPr id="2" name="Picture_1" descr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7888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B9" w:rsidRDefault="004D3C27">
    <w:pPr>
      <w:pStyle w:val="Zhlav"/>
    </w:pPr>
    <w:r>
      <w:rPr>
        <w:noProof/>
        <w:lang w:val="cs-CZ"/>
      </w:rPr>
      <w:drawing>
        <wp:anchor distT="0" distB="0" distL="0" distR="0" simplePos="0" relativeHeight="2048" behindDoc="1" locked="0" layoutInCell="0" allowOverlap="0">
          <wp:simplePos x="0" y="0"/>
          <wp:positionH relativeFrom="page">
            <wp:posOffset>-10794</wp:posOffset>
          </wp:positionH>
          <wp:positionV relativeFrom="page">
            <wp:posOffset>-3809</wp:posOffset>
          </wp:positionV>
          <wp:extent cx="7534910" cy="1296035"/>
          <wp:effectExtent l="0" t="0" r="8890" b="0"/>
          <wp:wrapNone/>
          <wp:docPr id="3" name="Picture_0" descr="Picture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_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07DB"/>
    <w:multiLevelType w:val="multilevel"/>
    <w:tmpl w:val="F3FC95D6"/>
    <w:lvl w:ilvl="0">
      <w:start w:val="1"/>
      <w:numFmt w:val="upperRoman"/>
      <w:pStyle w:val="sNadpis2"/>
      <w:lvlText w:val="%1."/>
      <w:lvlJc w:val="left"/>
      <w:pPr>
        <w:tabs>
          <w:tab w:val="left" w:pos="708"/>
        </w:tabs>
        <w:ind w:left="360" w:hanging="360"/>
      </w:pPr>
      <w:rPr>
        <w:rFonts w:hint="default"/>
      </w:rPr>
    </w:lvl>
    <w:lvl w:ilvl="1">
      <w:start w:val="1"/>
      <w:numFmt w:val="decimal"/>
      <w:pStyle w:val="sOdstavec"/>
      <w:isLgl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08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0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08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08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08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</w:tabs>
        <w:ind w:left="4320" w:hanging="1440"/>
      </w:pPr>
      <w:rPr>
        <w:rFonts w:hint="default"/>
      </w:rPr>
    </w:lvl>
  </w:abstractNum>
  <w:abstractNum w:abstractNumId="1" w15:restartNumberingAfterBreak="0">
    <w:nsid w:val="24D07429"/>
    <w:multiLevelType w:val="hybridMultilevel"/>
    <w:tmpl w:val="3A484B4A"/>
    <w:lvl w:ilvl="0" w:tplc="EB76AC80">
      <w:start w:val="1"/>
      <w:numFmt w:val="none"/>
      <w:pStyle w:val="sOdstavec4"/>
      <w:suff w:val="space"/>
      <w:lvlText w:val="-"/>
      <w:lvlJc w:val="left"/>
      <w:pPr>
        <w:tabs>
          <w:tab w:val="left" w:pos="708"/>
        </w:tabs>
        <w:ind w:left="964" w:hanging="113"/>
      </w:pPr>
      <w:rPr>
        <w:rFonts w:hint="default"/>
      </w:rPr>
    </w:lvl>
    <w:lvl w:ilvl="1" w:tplc="1D8CDA8C">
      <w:start w:val="1"/>
      <w:numFmt w:val="lowerLetter"/>
      <w:lvlText w:val="%2."/>
      <w:lvlJc w:val="left"/>
      <w:pPr>
        <w:tabs>
          <w:tab w:val="left" w:pos="708"/>
        </w:tabs>
        <w:ind w:left="1440" w:hanging="360"/>
      </w:pPr>
    </w:lvl>
    <w:lvl w:ilvl="2" w:tplc="A742178C">
      <w:start w:val="1"/>
      <w:numFmt w:val="lowerRoman"/>
      <w:lvlText w:val="%3."/>
      <w:lvlJc w:val="right"/>
      <w:pPr>
        <w:tabs>
          <w:tab w:val="left" w:pos="708"/>
        </w:tabs>
        <w:ind w:left="2160" w:hanging="180"/>
      </w:pPr>
    </w:lvl>
    <w:lvl w:ilvl="3" w:tplc="A7561BD6">
      <w:start w:val="1"/>
      <w:numFmt w:val="decimal"/>
      <w:lvlText w:val="%4."/>
      <w:lvlJc w:val="left"/>
      <w:pPr>
        <w:tabs>
          <w:tab w:val="left" w:pos="708"/>
        </w:tabs>
        <w:ind w:left="2880" w:hanging="360"/>
      </w:pPr>
    </w:lvl>
    <w:lvl w:ilvl="4" w:tplc="20FA7076">
      <w:start w:val="1"/>
      <w:numFmt w:val="lowerLetter"/>
      <w:lvlText w:val="%5."/>
      <w:lvlJc w:val="left"/>
      <w:pPr>
        <w:tabs>
          <w:tab w:val="left" w:pos="708"/>
        </w:tabs>
        <w:ind w:left="3600" w:hanging="360"/>
      </w:pPr>
    </w:lvl>
    <w:lvl w:ilvl="5" w:tplc="FA6A397A">
      <w:start w:val="1"/>
      <w:numFmt w:val="lowerRoman"/>
      <w:lvlText w:val="%6."/>
      <w:lvlJc w:val="right"/>
      <w:pPr>
        <w:tabs>
          <w:tab w:val="left" w:pos="708"/>
        </w:tabs>
        <w:ind w:left="4320" w:hanging="180"/>
      </w:pPr>
    </w:lvl>
    <w:lvl w:ilvl="6" w:tplc="6666B6DC">
      <w:start w:val="1"/>
      <w:numFmt w:val="decimal"/>
      <w:lvlText w:val="%7."/>
      <w:lvlJc w:val="left"/>
      <w:pPr>
        <w:tabs>
          <w:tab w:val="left" w:pos="708"/>
        </w:tabs>
        <w:ind w:left="5040" w:hanging="360"/>
      </w:pPr>
    </w:lvl>
    <w:lvl w:ilvl="7" w:tplc="9CF88366">
      <w:start w:val="1"/>
      <w:numFmt w:val="lowerLetter"/>
      <w:lvlText w:val="%8."/>
      <w:lvlJc w:val="left"/>
      <w:pPr>
        <w:tabs>
          <w:tab w:val="left" w:pos="708"/>
        </w:tabs>
        <w:ind w:left="5760" w:hanging="360"/>
      </w:pPr>
    </w:lvl>
    <w:lvl w:ilvl="8" w:tplc="6DE6A8A8">
      <w:start w:val="1"/>
      <w:numFmt w:val="lowerRoman"/>
      <w:lvlText w:val="%9."/>
      <w:lvlJc w:val="right"/>
      <w:pPr>
        <w:tabs>
          <w:tab w:val="left" w:pos="708"/>
        </w:tabs>
        <w:ind w:left="6480" w:hanging="180"/>
      </w:pPr>
    </w:lvl>
  </w:abstractNum>
  <w:abstractNum w:abstractNumId="2" w15:restartNumberingAfterBreak="0">
    <w:nsid w:val="52857BA3"/>
    <w:multiLevelType w:val="multilevel"/>
    <w:tmpl w:val="2B769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B9"/>
    <w:rsid w:val="002A1144"/>
    <w:rsid w:val="002A47DB"/>
    <w:rsid w:val="004D3C27"/>
    <w:rsid w:val="004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79E97-892D-48ED-99DC-07CD9DB4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link w:val="Nadpis1Char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Nadpis">
    <w:name w:val="sNadpis"/>
    <w:basedOn w:val="Nzev"/>
    <w:link w:val="sNadpisChar"/>
    <w:pPr>
      <w:contextualSpacing w:val="0"/>
      <w:jc w:val="center"/>
      <w:outlineLvl w:val="0"/>
    </w:pPr>
    <w:rPr>
      <w:rFonts w:ascii="Arial" w:eastAsia="Times New Roman" w:hAnsi="Arial" w:cs="Arial"/>
      <w:b/>
      <w:caps/>
      <w:spacing w:val="5"/>
      <w:sz w:val="24"/>
      <w:szCs w:val="24"/>
      <w:lang w:eastAsia="cs-CZ"/>
    </w:rPr>
  </w:style>
  <w:style w:type="character" w:customStyle="1" w:styleId="sNadpisChar">
    <w:name w:val="sNadpis Char"/>
    <w:link w:val="sNadpis"/>
    <w:rPr>
      <w:rFonts w:ascii="Arial" w:eastAsia="Times New Roman" w:hAnsi="Arial" w:cs="Arial"/>
      <w:b/>
      <w:caps/>
      <w:spacing w:val="5"/>
      <w:kern w:val="28"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Nadpis1">
    <w:name w:val="sNadpis1"/>
    <w:basedOn w:val="Normln"/>
    <w:link w:val="sNadpis1Char"/>
    <w:pPr>
      <w:spacing w:after="480"/>
      <w:jc w:val="center"/>
    </w:pPr>
    <w:rPr>
      <w:rFonts w:cs="Arial"/>
      <w:szCs w:val="20"/>
    </w:rPr>
  </w:style>
  <w:style w:type="character" w:customStyle="1" w:styleId="sNadpis1Char">
    <w:name w:val="sNadpis1 Char"/>
    <w:link w:val="sNadpis1"/>
    <w:rPr>
      <w:rFonts w:ascii="Arial" w:eastAsia="Times New Roman" w:hAnsi="Arial" w:cs="Arial"/>
      <w:sz w:val="20"/>
      <w:szCs w:val="20"/>
      <w:lang w:val="cs-CZ" w:eastAsia="cs-CZ" w:bidi="ar-SA"/>
    </w:rPr>
  </w:style>
  <w:style w:type="paragraph" w:customStyle="1" w:styleId="sNadpis2">
    <w:name w:val="sNadpis2"/>
    <w:basedOn w:val="Nadpis1"/>
    <w:link w:val="sNadpis2Char"/>
    <w:pPr>
      <w:keepLines w:val="0"/>
      <w:numPr>
        <w:numId w:val="3"/>
      </w:numPr>
      <w:spacing w:before="0" w:after="240" w:line="240" w:lineRule="auto"/>
      <w:jc w:val="center"/>
    </w:pPr>
    <w:rPr>
      <w:rFonts w:ascii="Arial" w:eastAsia="Times New Roman" w:hAnsi="Arial" w:cs="Arial"/>
      <w:b/>
      <w:bCs/>
      <w:iCs/>
      <w:caps/>
      <w:color w:val="auto"/>
      <w:sz w:val="20"/>
      <w:szCs w:val="20"/>
      <w:lang w:eastAsia="cs-CZ"/>
    </w:rPr>
  </w:style>
  <w:style w:type="character" w:customStyle="1" w:styleId="sNadpis2Char">
    <w:name w:val="sNadpis2 Char"/>
    <w:link w:val="sNadpis2"/>
    <w:rPr>
      <w:rFonts w:ascii="Arial" w:eastAsia="Times New Roman" w:hAnsi="Arial" w:cs="Arial"/>
      <w:b/>
      <w:bCs/>
      <w:iCs/>
      <w:caps/>
      <w:sz w:val="20"/>
      <w:szCs w:val="20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dstavec">
    <w:name w:val="sOdstavec"/>
    <w:basedOn w:val="Normln"/>
    <w:link w:val="sOdstavecChar"/>
    <w:pPr>
      <w:numPr>
        <w:ilvl w:val="1"/>
        <w:numId w:val="3"/>
      </w:numPr>
      <w:spacing w:after="240"/>
      <w:jc w:val="both"/>
      <w:outlineLvl w:val="1"/>
    </w:pPr>
    <w:rPr>
      <w:rFonts w:cs="Arial"/>
      <w:color w:val="000000"/>
      <w:sz w:val="18"/>
      <w:szCs w:val="18"/>
    </w:rPr>
  </w:style>
  <w:style w:type="character" w:customStyle="1" w:styleId="sOdstavecChar">
    <w:name w:val="sOdstavec Char"/>
    <w:link w:val="sOdstavec"/>
    <w:rPr>
      <w:rFonts w:ascii="Arial" w:eastAsia="Times New Roman" w:hAnsi="Arial" w:cs="Arial"/>
      <w:color w:val="000000"/>
      <w:sz w:val="18"/>
      <w:szCs w:val="18"/>
      <w:lang w:val="cs-CZ" w:eastAsia="cs-CZ" w:bidi="ar-SA"/>
    </w:rPr>
  </w:style>
  <w:style w:type="paragraph" w:customStyle="1" w:styleId="sOdstavec1">
    <w:name w:val="sOdstavec1"/>
    <w:basedOn w:val="Normln"/>
    <w:link w:val="sOdstavec1Char"/>
    <w:pPr>
      <w:spacing w:after="240"/>
      <w:ind w:left="567"/>
      <w:jc w:val="both"/>
      <w:outlineLvl w:val="1"/>
    </w:pPr>
    <w:rPr>
      <w:rFonts w:cs="Arial"/>
      <w:bCs/>
      <w:iCs/>
      <w:color w:val="000000"/>
      <w:sz w:val="18"/>
      <w:szCs w:val="18"/>
    </w:rPr>
  </w:style>
  <w:style w:type="character" w:customStyle="1" w:styleId="sOdstavec1Char">
    <w:name w:val="sOdstavec1 Char"/>
    <w:basedOn w:val="Standardnpsmoodstavce"/>
    <w:link w:val="sOdstavec1"/>
    <w:rPr>
      <w:rFonts w:ascii="Arial" w:eastAsia="Times New Roman" w:hAnsi="Arial" w:cs="Arial"/>
      <w:bCs/>
      <w:iCs/>
      <w:color w:val="000000"/>
      <w:sz w:val="18"/>
      <w:szCs w:val="18"/>
      <w:lang w:val="cs-CZ" w:eastAsia="cs-CZ" w:bidi="ar-SA"/>
    </w:rPr>
  </w:style>
  <w:style w:type="paragraph" w:customStyle="1" w:styleId="sOdstavec2">
    <w:name w:val="sOdstavec2"/>
    <w:basedOn w:val="Normln"/>
    <w:link w:val="sOdstavec2Char"/>
    <w:pPr>
      <w:keepNext/>
      <w:numPr>
        <w:ilvl w:val="2"/>
        <w:numId w:val="3"/>
      </w:numPr>
      <w:spacing w:after="240"/>
      <w:outlineLvl w:val="1"/>
    </w:pPr>
    <w:rPr>
      <w:rFonts w:cs="Arial"/>
      <w:bCs/>
      <w:iCs/>
      <w:color w:val="000000"/>
      <w:szCs w:val="20"/>
    </w:rPr>
  </w:style>
  <w:style w:type="character" w:customStyle="1" w:styleId="sOdstavec2Char">
    <w:name w:val="sOdstavec2 Char"/>
    <w:link w:val="sOdstavec2"/>
    <w:rPr>
      <w:rFonts w:ascii="Arial" w:eastAsia="Times New Roman" w:hAnsi="Arial" w:cs="Arial"/>
      <w:bCs/>
      <w:iCs/>
      <w:color w:val="000000"/>
      <w:sz w:val="20"/>
      <w:szCs w:val="20"/>
      <w:lang w:val="cs-CZ" w:eastAsia="cs-CZ" w:bidi="ar-SA"/>
    </w:rPr>
  </w:style>
  <w:style w:type="paragraph" w:customStyle="1" w:styleId="sOdstavec3">
    <w:name w:val="sOdstavec3"/>
    <w:basedOn w:val="sOdstavec2"/>
    <w:link w:val="sOdstavec3Char"/>
    <w:pPr>
      <w:numPr>
        <w:ilvl w:val="0"/>
        <w:numId w:val="0"/>
      </w:numPr>
      <w:ind w:left="964"/>
    </w:pPr>
  </w:style>
  <w:style w:type="character" w:customStyle="1" w:styleId="sOdstavec3Char">
    <w:name w:val="sOdstavec3 Char"/>
    <w:basedOn w:val="sOdstavec2Char"/>
    <w:link w:val="sOdstavec3"/>
    <w:rPr>
      <w:rFonts w:ascii="Arial" w:eastAsia="Times New Roman" w:hAnsi="Arial" w:cs="Arial"/>
      <w:bCs/>
      <w:iCs/>
      <w:color w:val="000000"/>
      <w:sz w:val="20"/>
      <w:szCs w:val="20"/>
      <w:lang w:val="cs-CZ" w:eastAsia="cs-CZ" w:bidi="ar-SA"/>
    </w:rPr>
  </w:style>
  <w:style w:type="paragraph" w:customStyle="1" w:styleId="sOdstavec4">
    <w:name w:val="sOdstavec4"/>
    <w:basedOn w:val="sOdstavec"/>
    <w:link w:val="sOdstavec4Char"/>
    <w:pPr>
      <w:numPr>
        <w:ilvl w:val="0"/>
        <w:numId w:val="4"/>
      </w:numPr>
      <w:spacing w:after="100"/>
    </w:pPr>
  </w:style>
  <w:style w:type="character" w:customStyle="1" w:styleId="sOdstavec4Char">
    <w:name w:val="sOdstavec4 Char"/>
    <w:basedOn w:val="sOdstavecChar"/>
    <w:link w:val="sOdstavec4"/>
    <w:rPr>
      <w:rFonts w:ascii="Arial" w:eastAsia="Times New Roman" w:hAnsi="Arial" w:cs="Arial"/>
      <w:color w:val="000000"/>
      <w:sz w:val="18"/>
      <w:szCs w:val="18"/>
      <w:lang w:val="cs-CZ" w:eastAsia="cs-CZ" w:bidi="ar-SA"/>
    </w:rPr>
  </w:style>
  <w:style w:type="paragraph" w:customStyle="1" w:styleId="sTabbold">
    <w:name w:val="sTab_bold"/>
    <w:basedOn w:val="Normln"/>
    <w:link w:val="sTabboldChar"/>
    <w:pPr>
      <w:keepNext/>
      <w:keepLines/>
    </w:pPr>
    <w:rPr>
      <w:rFonts w:eastAsia="Calibri" w:cs="Arial"/>
      <w:b/>
      <w:color w:val="000000"/>
      <w:szCs w:val="20"/>
    </w:rPr>
  </w:style>
  <w:style w:type="character" w:customStyle="1" w:styleId="sTabboldChar">
    <w:name w:val="sTab_bold Char"/>
    <w:basedOn w:val="sOdstavec1Char"/>
    <w:link w:val="sTabbold"/>
    <w:rPr>
      <w:rFonts w:ascii="Arial" w:eastAsia="Calibri" w:hAnsi="Arial" w:cs="Arial"/>
      <w:b/>
      <w:bCs w:val="0"/>
      <w:iCs w:val="0"/>
      <w:color w:val="000000"/>
      <w:sz w:val="20"/>
      <w:szCs w:val="20"/>
      <w:lang w:val="cs-CZ" w:eastAsia="cs-CZ" w:bidi="ar-SA"/>
    </w:rPr>
  </w:style>
  <w:style w:type="paragraph" w:customStyle="1" w:styleId="sTabnorm">
    <w:name w:val="sTab_norm"/>
    <w:basedOn w:val="Normln"/>
    <w:link w:val="sTabnormChar"/>
    <w:pPr>
      <w:jc w:val="both"/>
    </w:pPr>
    <w:rPr>
      <w:rFonts w:cs="Arial"/>
      <w:color w:val="000000"/>
      <w:szCs w:val="20"/>
    </w:rPr>
  </w:style>
  <w:style w:type="character" w:customStyle="1" w:styleId="sTabnormChar">
    <w:name w:val="sTab_norm Char"/>
    <w:basedOn w:val="sOdstavec1Char"/>
    <w:link w:val="sTabnorm"/>
    <w:rPr>
      <w:rFonts w:ascii="Arial" w:eastAsia="Times New Roman" w:hAnsi="Arial" w:cs="Arial"/>
      <w:bCs w:val="0"/>
      <w:iCs w:val="0"/>
      <w:color w:val="000000"/>
      <w:sz w:val="20"/>
      <w:szCs w:val="20"/>
      <w:lang w:val="cs-CZ" w:eastAsia="cs-CZ" w:bidi="ar-SA"/>
    </w:rPr>
  </w:style>
  <w:style w:type="paragraph" w:customStyle="1" w:styleId="sTextbold">
    <w:name w:val="sText_bold"/>
    <w:basedOn w:val="Normln"/>
    <w:link w:val="sTextboldChar"/>
    <w:pPr>
      <w:jc w:val="both"/>
    </w:pPr>
    <w:rPr>
      <w:b/>
      <w:sz w:val="18"/>
      <w:szCs w:val="18"/>
    </w:rPr>
  </w:style>
  <w:style w:type="character" w:customStyle="1" w:styleId="sTextboldChar">
    <w:name w:val="sText_bold Char"/>
    <w:link w:val="sTextbold"/>
    <w:rPr>
      <w:rFonts w:ascii="Arial" w:eastAsia="Times New Roman" w:hAnsi="Arial" w:cs="Times New Roman"/>
      <w:b/>
      <w:sz w:val="18"/>
      <w:szCs w:val="18"/>
      <w:lang w:val="cs-CZ" w:eastAsia="cs-CZ" w:bidi="ar-SA"/>
    </w:rPr>
  </w:style>
  <w:style w:type="paragraph" w:customStyle="1" w:styleId="sTextnorm">
    <w:name w:val="sText_norm"/>
    <w:basedOn w:val="Normln"/>
    <w:link w:val="sTextnormChar"/>
    <w:pPr>
      <w:spacing w:before="60" w:after="60"/>
      <w:jc w:val="both"/>
      <w:outlineLvl w:val="1"/>
    </w:pPr>
    <w:rPr>
      <w:rFonts w:cs="Arial"/>
      <w:bCs/>
      <w:iCs/>
      <w:color w:val="000000"/>
      <w:sz w:val="18"/>
      <w:szCs w:val="18"/>
    </w:rPr>
  </w:style>
  <w:style w:type="character" w:customStyle="1" w:styleId="sTextnormChar">
    <w:name w:val="sText_norm Char"/>
    <w:link w:val="sTextnorm"/>
    <w:rPr>
      <w:rFonts w:ascii="Arial" w:eastAsia="Times New Roman" w:hAnsi="Arial" w:cs="Arial"/>
      <w:bCs/>
      <w:iCs/>
      <w:color w:val="000000"/>
      <w:sz w:val="18"/>
      <w:szCs w:val="18"/>
      <w:lang w:val="cs-CZ" w:eastAsia="cs-CZ" w:bidi="ar-SA"/>
    </w:rPr>
  </w:style>
  <w:style w:type="paragraph" w:customStyle="1" w:styleId="sZapati">
    <w:name w:val="sZapati"/>
    <w:basedOn w:val="Zpat"/>
    <w:link w:val="sZapatiChar"/>
    <w:pPr>
      <w:tabs>
        <w:tab w:val="clear" w:pos="4536"/>
        <w:tab w:val="clear" w:pos="9072"/>
        <w:tab w:val="center" w:pos="4253"/>
        <w:tab w:val="right" w:pos="8647"/>
      </w:tabs>
      <w:jc w:val="center"/>
    </w:pPr>
    <w:rPr>
      <w:rFonts w:ascii="Arial" w:eastAsia="Times New Roman" w:hAnsi="Arial" w:cs="Arial"/>
      <w:sz w:val="16"/>
      <w:szCs w:val="16"/>
      <w:lang w:val="en-GB" w:eastAsia="cs-CZ"/>
    </w:rPr>
  </w:style>
  <w:style w:type="character" w:customStyle="1" w:styleId="sZapatiChar">
    <w:name w:val="sZapati Char"/>
    <w:link w:val="sZapati"/>
    <w:rPr>
      <w:rFonts w:ascii="Arial" w:eastAsia="Times New Roman" w:hAnsi="Arial" w:cs="Arial"/>
      <w:sz w:val="16"/>
      <w:szCs w:val="16"/>
      <w:lang w:val="en-GB" w:eastAsia="cs-CZ" w:bidi="ar-SA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Times New Roman" w:hAnsi="Times New Roman"/>
      <w:szCs w:val="20"/>
      <w:lang w:val="en-US"/>
    </w:r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 w:val="20"/>
      <w:szCs w:val="20"/>
      <w:lang w:val="en-US" w:eastAsia="cs-CZ" w:bidi="ar-SA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Times New Roman" w:hAnsi="Arial" w:cs="Times New Roman"/>
      <w:sz w:val="20"/>
      <w:szCs w:val="20"/>
      <w:lang w:val="cs-CZ" w:eastAsia="cs-CZ" w:bidi="ar-SA"/>
    </w:rPr>
  </w:style>
  <w:style w:type="paragraph" w:styleId="Pedmtkomente">
    <w:name w:val="annotation subject"/>
    <w:basedOn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eastAsia="Times New Roman" w:hAnsi="Arial" w:cs="Times New Roman"/>
      <w:b/>
      <w:bCs/>
      <w:sz w:val="20"/>
      <w:szCs w:val="20"/>
      <w:lang w:val="cs-CZ" w:eastAsia="cs-CZ" w:bidi="ar-SA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Pr>
      <w:rFonts w:ascii="Segoe UI" w:eastAsia="Times New Roman" w:hAnsi="Segoe UI" w:cs="Segoe UI"/>
      <w:sz w:val="18"/>
      <w:szCs w:val="18"/>
      <w:lang w:val="cs-CZ" w:eastAsia="cs-CZ" w:bidi="ar-SA"/>
    </w:rPr>
  </w:style>
  <w:style w:type="table" w:styleId="Mkatabulky">
    <w:name w:val="Table 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1593</Characters>
  <Application>Microsoft Office Word</Application>
  <DocSecurity>0</DocSecurity>
  <Lines>13</Lines>
  <Paragraphs>3</Paragraphs>
  <ScaleCrop>false</ScaleCrop>
  <Company>Unicorn-SG Equipment Finance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Kovarikova Zuzana (SGEF)</cp:lastModifiedBy>
  <cp:revision>3</cp:revision>
  <dcterms:created xsi:type="dcterms:W3CDTF">2018-07-31T08:50:00Z</dcterms:created>
  <dcterms:modified xsi:type="dcterms:W3CDTF">2018-07-31T08:58:00Z</dcterms:modified>
</cp:coreProperties>
</file>